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D219" w14:textId="77777777" w:rsidR="00870D06" w:rsidRPr="00EA5B2A" w:rsidRDefault="00870D06" w:rsidP="00870D06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B03FF2B" w14:textId="77777777" w:rsidR="00870D06" w:rsidRPr="00EA5B2A" w:rsidRDefault="00870D06" w:rsidP="00870D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7360F8A6" w14:textId="77777777" w:rsidR="00870D06" w:rsidRPr="00EA5B2A" w:rsidRDefault="00870D06" w:rsidP="00870D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A2FE4F3" w14:textId="77777777" w:rsidR="00870D06" w:rsidRPr="00EA5B2A" w:rsidRDefault="00870D06" w:rsidP="00870D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4A6F26CD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 (J3)</w:t>
      </w:r>
    </w:p>
    <w:p w14:paraId="25306F39" w14:textId="77777777" w:rsidR="00870D06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4E27B4FF" w14:textId="77777777" w:rsidR="00870D06" w:rsidRPr="00EA5B2A" w:rsidRDefault="00870D06" w:rsidP="00870D06">
      <w:pPr>
        <w:spacing w:after="0"/>
        <w:ind w:left="-1170" w:right="26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64578BED" w14:textId="6548F492" w:rsidR="00870D06" w:rsidRPr="00EA5B2A" w:rsidRDefault="00870D06" w:rsidP="00870D06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C867D2">
        <w:rPr>
          <w:rFonts w:ascii="Gill Sans MT" w:eastAsia="MS Mincho" w:hAnsi="Gill Sans MT" w:cs="Arial"/>
          <w:noProof/>
          <w:sz w:val="18"/>
          <w:szCs w:val="18"/>
          <w:lang w:eastAsia="ja-JP"/>
        </w:rPr>
        <w:t>December 21, 2018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0D9FF584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4C9A8A71" w14:textId="77777777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5FBDE172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127ECECC" w14:textId="77777777" w:rsidR="00870D06" w:rsidRDefault="00870D06" w:rsidP="00870D06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F536627" w14:textId="77777777" w:rsidR="00C867D2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For </w:t>
      </w:r>
      <w:r w:rsidR="00FD0E46"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the</w:t>
      </w: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Attention Of:</w:t>
      </w:r>
    </w:p>
    <w:p w14:paraId="2F40DCB2" w14:textId="77777777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Colonel John </w:t>
      </w:r>
      <w:proofErr w:type="spellStart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Kenkel</w:t>
      </w:r>
      <w:proofErr w:type="spellEnd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</w:t>
      </w:r>
    </w:p>
    <w:p w14:paraId="08A6C82A" w14:textId="77777777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proofErr w:type="gramStart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U,S</w:t>
      </w:r>
      <w:proofErr w:type="gramEnd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Army Attaché</w:t>
      </w:r>
    </w:p>
    <w:p w14:paraId="649DAE54" w14:textId="7E05C38D" w:rsidR="00870D06" w:rsidRPr="00FD0E46" w:rsidRDefault="00C867D2" w:rsidP="00C867D2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US Embassy, Israel </w:t>
      </w:r>
    </w:p>
    <w:p w14:paraId="75474236" w14:textId="49C400E3" w:rsidR="00870D06" w:rsidRPr="00FD0E4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7F62D443" w14:textId="4FC8C978" w:rsidR="00870D06" w:rsidRDefault="00870D06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 w:rsidRPr="00FD0E46">
        <w:rPr>
          <w:rFonts w:ascii="Gill Sans MT" w:eastAsia="MS Mincho" w:hAnsi="Gill Sans MT" w:cs="Arial"/>
          <w:bCs/>
          <w:sz w:val="18"/>
          <w:szCs w:val="18"/>
          <w:lang w:eastAsia="ja-JP"/>
        </w:rPr>
        <w:t>Dear</w:t>
      </w:r>
      <w:r w:rsidR="00C867D2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COL </w:t>
      </w:r>
      <w:proofErr w:type="spellStart"/>
      <w:r w:rsidR="00C867D2">
        <w:rPr>
          <w:rFonts w:ascii="Gill Sans MT" w:eastAsia="MS Mincho" w:hAnsi="Gill Sans MT" w:cs="Arial"/>
          <w:bCs/>
          <w:sz w:val="18"/>
          <w:szCs w:val="18"/>
          <w:lang w:eastAsia="ja-JP"/>
        </w:rPr>
        <w:t>Kenkel</w:t>
      </w:r>
      <w:proofErr w:type="spellEnd"/>
      <w:r w:rsidR="00C867D2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, </w:t>
      </w:r>
    </w:p>
    <w:p w14:paraId="64E5E8BE" w14:textId="631EAD4B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2AEB0225" w14:textId="0333A5DC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ab/>
        <w:t xml:space="preserve">The following is a request for information (RFI), by the head of the IDF Doctrine department in the IDF J3/7 Directorate, Colonel Vardi. The Doctrine Department </w:t>
      </w:r>
      <w:proofErr w:type="gramStart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is in charge of</w:t>
      </w:r>
      <w:proofErr w:type="gramEnd"/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the Doctrine development in the IDF, as a whole (joint staff) and provides guidance, policy and best practices for all the military branches. </w:t>
      </w:r>
    </w:p>
    <w:p w14:paraId="6F6EA067" w14:textId="020C78D1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383ABF0" w14:textId="4205D2BF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Pamphlet 385 63 of the US Army says, in </w:t>
      </w:r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>its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first page – “This pamphlet provides minimum requirements for… it also establishes standards and </w:t>
      </w:r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>procedures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for the safe firing of ammunition, demolitions, lasers, guided missiles, and rockets, and the delivery of </w:t>
      </w:r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>bombs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for training, target practice, and to the extent practicable, combat” </w:t>
      </w:r>
    </w:p>
    <w:p w14:paraId="35A4FD4A" w14:textId="1595D65A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304D05B3" w14:textId="7D55BB45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Do you have similar phrases in the current version? Do you have other doctrinal guidance for the safe application of friendly firepower </w:t>
      </w:r>
      <w:r>
        <w:rPr>
          <w:rFonts w:ascii="Gill Sans MT" w:eastAsia="MS Mincho" w:hAnsi="Gill Sans MT" w:cs="Arial"/>
          <w:b/>
          <w:sz w:val="18"/>
          <w:szCs w:val="18"/>
          <w:lang w:eastAsia="ja-JP"/>
        </w:rPr>
        <w:t>in combat?</w:t>
      </w: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Is here a common and accepted procedure for determining such guidance? </w:t>
      </w:r>
    </w:p>
    <w:p w14:paraId="0BBA18CA" w14:textId="5CFE479E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220E547D" w14:textId="577198EE" w:rsidR="00C867D2" w:rsidRDefault="00C867D2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>The November 1997 version of “J-Fire: Multiservice procedures for the joint application of firepower FM</w:t>
      </w:r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90-20 “presents in </w:t>
      </w:r>
      <w:proofErr w:type="gramStart"/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>it</w:t>
      </w:r>
      <w:proofErr w:type="gramEnd"/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table 12”, risk estimates for aircraft delivered ordnance” this table give risk-estimate distances for probability of incapacitation (PI) equal to either 10% or 0.1%. Are these two numbers 10% and 0.1% - still used in current doctrinal documents? Can you explain and for the elaborate the </w:t>
      </w:r>
      <w:proofErr w:type="spellStart"/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>choise</w:t>
      </w:r>
      <w:proofErr w:type="spellEnd"/>
      <w:r w:rsidR="00A0319D"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 of 10% and 0.1%? </w:t>
      </w:r>
    </w:p>
    <w:p w14:paraId="3C04D46D" w14:textId="20563E01" w:rsidR="00A0319D" w:rsidRDefault="00A0319D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</w:p>
    <w:p w14:paraId="27956F20" w14:textId="02A845FB" w:rsidR="00A0319D" w:rsidRPr="00C867D2" w:rsidRDefault="00A0319D" w:rsidP="00870D06">
      <w:pPr>
        <w:spacing w:after="0"/>
        <w:ind w:right="26"/>
        <w:jc w:val="both"/>
        <w:rPr>
          <w:rFonts w:ascii="Gill Sans MT" w:eastAsia="MS Mincho" w:hAnsi="Gill Sans MT" w:cs="Arial"/>
          <w:bCs/>
          <w:sz w:val="18"/>
          <w:szCs w:val="18"/>
          <w:lang w:eastAsia="ja-JP"/>
        </w:rPr>
      </w:pPr>
      <w:r>
        <w:rPr>
          <w:rFonts w:ascii="Gill Sans MT" w:eastAsia="MS Mincho" w:hAnsi="Gill Sans MT" w:cs="Arial"/>
          <w:bCs/>
          <w:sz w:val="18"/>
          <w:szCs w:val="18"/>
          <w:lang w:eastAsia="ja-JP"/>
        </w:rPr>
        <w:t xml:space="preserve">Any additional and relevant doctrinal document, that you can supply us with, would be greatly appreciated. </w:t>
      </w:r>
    </w:p>
    <w:p w14:paraId="288BBDE3" w14:textId="22205C8B" w:rsidR="00870D06" w:rsidRPr="00EA5B2A" w:rsidRDefault="00FD0E4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9504" behindDoc="1" locked="0" layoutInCell="1" allowOverlap="1" wp14:anchorId="6FCCB5F3" wp14:editId="299B93A3">
            <wp:simplePos x="0" y="0"/>
            <wp:positionH relativeFrom="column">
              <wp:posOffset>1926027</wp:posOffset>
            </wp:positionH>
            <wp:positionV relativeFrom="paragraph">
              <wp:posOffset>125730</wp:posOffset>
            </wp:positionV>
            <wp:extent cx="2306320" cy="603250"/>
            <wp:effectExtent l="0" t="0" r="0" b="6350"/>
            <wp:wrapNone/>
            <wp:docPr id="4" name="5BDF7B70-5B7C-48D2-BC7B-BEF68B4618D0" descr="cid:5BDF7B70-5B7C-48D2-BC7B-BEF68B46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BDF7B70-5B7C-48D2-BC7B-BEF68B4618D0" descr="cid:5BDF7B70-5B7C-48D2-BC7B-BEF68B4618D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FDFE3" w14:textId="478A5D0B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FA91298" w14:textId="3001CBC4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8B0B582" w14:textId="77777777" w:rsidR="00FD0E46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0349DE92" w14:textId="60FEC3F7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7456" behindDoc="1" locked="0" layoutInCell="1" allowOverlap="1" wp14:anchorId="7F9B3DEE" wp14:editId="01A3BEE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6432" behindDoc="1" locked="0" layoutInCell="1" allowOverlap="1" wp14:anchorId="01DFB668" wp14:editId="7E656B6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CPT (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P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) Ben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3EC2B28" w14:textId="5D2C27A5" w:rsidR="00FD0E46" w:rsidRPr="00EA5B2A" w:rsidRDefault="00FD0E46" w:rsidP="00FD0E46">
      <w:pPr>
        <w:spacing w:after="0"/>
        <w:ind w:right="-1234"/>
        <w:jc w:val="center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56406623" w14:textId="77777777" w:rsidR="00FD0E46" w:rsidRDefault="00FD0E46" w:rsidP="00FD0E46">
      <w:pPr>
        <w:spacing w:after="0"/>
        <w:ind w:right="-1234"/>
        <w:jc w:val="center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Operations Directorate</w:t>
      </w:r>
    </w:p>
    <w:p w14:paraId="443B3361" w14:textId="41CDDA73" w:rsidR="00870D06" w:rsidRPr="00EA5B2A" w:rsidRDefault="00870D06" w:rsidP="00870D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bookmarkStart w:id="0" w:name="_GoBack"/>
      <w:bookmarkEnd w:id="0"/>
      <w:r>
        <w:rPr>
          <w:noProof/>
          <w:lang w:bidi="he-IL"/>
        </w:rPr>
        <w:drawing>
          <wp:anchor distT="0" distB="0" distL="114300" distR="114300" simplePos="0" relativeHeight="251661312" behindDoc="1" locked="0" layoutInCell="1" allowOverlap="1" wp14:anchorId="029C93A5" wp14:editId="114249CB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2336" behindDoc="1" locked="0" layoutInCell="1" allowOverlap="1" wp14:anchorId="56C490C7" wp14:editId="4DF3184E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3360" behindDoc="1" locked="0" layoutInCell="1" allowOverlap="1" wp14:anchorId="01F84567" wp14:editId="2C8B247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71028481" wp14:editId="08A23E3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780AC" w14:textId="0084FA5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BF030B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88A6580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7064CB2B" w14:textId="77777777" w:rsidR="00870D06" w:rsidRPr="00EA5B2A" w:rsidRDefault="00870D06" w:rsidP="00870D06">
      <w:pPr>
        <w:rPr>
          <w:rFonts w:ascii="Gill Sans MT" w:hAnsi="Gill Sans MT"/>
          <w:sz w:val="18"/>
          <w:szCs w:val="18"/>
        </w:rPr>
      </w:pPr>
    </w:p>
    <w:p w14:paraId="65D33192" w14:textId="77777777" w:rsidR="00870D06" w:rsidRPr="00EA5B2A" w:rsidRDefault="00870D06" w:rsidP="00870D06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>
        <w:rPr>
          <w:rFonts w:ascii="Gill Sans MT" w:hAnsi="Gill Sans MT"/>
          <w:sz w:val="18"/>
          <w:szCs w:val="18"/>
        </w:rPr>
        <w:tab/>
      </w:r>
    </w:p>
    <w:p w14:paraId="5A8C581E" w14:textId="77777777" w:rsidR="001B6637" w:rsidRDefault="001B6637"/>
    <w:sectPr w:rsidR="001B6637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537B4" w14:textId="77777777" w:rsidR="00D62529" w:rsidRDefault="00D62529" w:rsidP="00870D06">
      <w:pPr>
        <w:spacing w:after="0" w:line="240" w:lineRule="auto"/>
      </w:pPr>
      <w:r>
        <w:separator/>
      </w:r>
    </w:p>
  </w:endnote>
  <w:endnote w:type="continuationSeparator" w:id="0">
    <w:p w14:paraId="7D68D62E" w14:textId="77777777" w:rsidR="00D62529" w:rsidRDefault="00D62529" w:rsidP="0087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06B02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35CD00" wp14:editId="60063E62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25DF0D" w14:textId="77777777" w:rsidR="00770B40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74B29D23" wp14:editId="0343423A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AEAAA53" w14:textId="77777777" w:rsidR="00770B40" w:rsidRPr="005024F2" w:rsidRDefault="00A86C45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2019.03.1.001</w:t>
                          </w:r>
                        </w:p>
                        <w:p w14:paraId="579507A0" w14:textId="77777777" w:rsidR="00770B40" w:rsidRPr="005024F2" w:rsidRDefault="00A86C45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35CD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9.1pt;margin-top:-70.2pt;width:117.7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0F25DF0D" w14:textId="77777777" w:rsidR="00770B40" w:rsidRDefault="00A86C45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74B29D23" wp14:editId="0343423A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AEAAA53" w14:textId="77777777" w:rsidR="00770B40" w:rsidRPr="005024F2" w:rsidRDefault="00A86C45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579507A0" w14:textId="77777777" w:rsidR="00770B40" w:rsidRPr="005024F2" w:rsidRDefault="00A86C45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Pr="000C762E">
      <w:rPr>
        <w:rFonts w:ascii="Arial" w:hAnsi="Arial" w:cs="Arial"/>
        <w:sz w:val="14"/>
        <w:szCs w:val="16"/>
      </w:rPr>
      <w:t xml:space="preserve">For further information please contact </w:t>
    </w:r>
    <w:r>
      <w:rPr>
        <w:rFonts w:ascii="Arial" w:hAnsi="Arial" w:cs="Arial"/>
        <w:sz w:val="14"/>
        <w:szCs w:val="16"/>
      </w:rPr>
      <w:t xml:space="preserve">CPT Benzi Zimmerman – </w:t>
    </w:r>
  </w:p>
  <w:p w14:paraId="1EE6147B" w14:textId="77777777" w:rsidR="00516DF0" w:rsidRPr="000C762E" w:rsidRDefault="00A86C45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 xml:space="preserve">972-3-740-7723 | </w:t>
    </w:r>
    <w:r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 xml:space="preserve">972-542-074487| </w:t>
    </w:r>
    <w:r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Ben_Zimerman@mail.gov.il</w:t>
    </w:r>
  </w:p>
  <w:p w14:paraId="7BAC639C" w14:textId="77777777" w:rsidR="00516DF0" w:rsidRPr="00440ED6" w:rsidRDefault="00D62529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98F78" w14:textId="77777777" w:rsidR="00D62529" w:rsidRDefault="00D62529" w:rsidP="00870D06">
      <w:pPr>
        <w:spacing w:after="0" w:line="240" w:lineRule="auto"/>
      </w:pPr>
      <w:r>
        <w:separator/>
      </w:r>
    </w:p>
  </w:footnote>
  <w:footnote w:type="continuationSeparator" w:id="0">
    <w:p w14:paraId="522FF5A9" w14:textId="77777777" w:rsidR="00D62529" w:rsidRDefault="00D62529" w:rsidP="0087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05DF2" w14:textId="6795FB14" w:rsidR="00F906D4" w:rsidRPr="000C3048" w:rsidRDefault="00870D06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45719AA0" wp14:editId="19185F79">
          <wp:simplePos x="0" y="0"/>
          <wp:positionH relativeFrom="margin">
            <wp:posOffset>812542</wp:posOffset>
          </wp:positionH>
          <wp:positionV relativeFrom="paragraph">
            <wp:posOffset>-150784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61312" behindDoc="0" locked="0" layoutInCell="1" allowOverlap="1" wp14:anchorId="17D9F7C9" wp14:editId="5F1489DE">
          <wp:simplePos x="0" y="0"/>
          <wp:positionH relativeFrom="margin">
            <wp:align>left</wp:align>
          </wp:positionH>
          <wp:positionV relativeFrom="line">
            <wp:posOffset>-131116</wp:posOffset>
          </wp:positionV>
          <wp:extent cx="781050" cy="732790"/>
          <wp:effectExtent l="0" t="0" r="0" b="0"/>
          <wp:wrapNone/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30F392" w14:textId="77777777" w:rsidR="00F65090" w:rsidRDefault="00D62529" w:rsidP="00F650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D06"/>
    <w:rsid w:val="001B6637"/>
    <w:rsid w:val="001F2910"/>
    <w:rsid w:val="00870D06"/>
    <w:rsid w:val="008B78C1"/>
    <w:rsid w:val="00A0319D"/>
    <w:rsid w:val="00A86C45"/>
    <w:rsid w:val="00C867D2"/>
    <w:rsid w:val="00D62529"/>
    <w:rsid w:val="00FD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140CD"/>
  <w15:chartTrackingRefBased/>
  <w15:docId w15:val="{516A9995-3DC1-4E73-8082-0AD46ABB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0D06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D06"/>
    <w:rPr>
      <w:rFonts w:ascii="Calibri" w:eastAsia="Calibri" w:hAnsi="Calibri" w:cs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870D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D06"/>
    <w:rPr>
      <w:rFonts w:ascii="Calibri" w:eastAsia="Calibri" w:hAnsi="Calibri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3CBDD-3D2D-41CA-A1CE-CD157AF1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benzi zimmerman</dc:creator>
  <cp:keywords/>
  <dc:description/>
  <cp:lastModifiedBy>benzi zimmerman</cp:lastModifiedBy>
  <cp:revision>2</cp:revision>
  <dcterms:created xsi:type="dcterms:W3CDTF">2018-12-21T05:44:00Z</dcterms:created>
  <dcterms:modified xsi:type="dcterms:W3CDTF">2018-12-21T05:44:00Z</dcterms:modified>
</cp:coreProperties>
</file>