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552"/>
        <w:gridCol w:w="1275"/>
        <w:gridCol w:w="1276"/>
        <w:gridCol w:w="2592"/>
        <w:gridCol w:w="2105"/>
        <w:gridCol w:w="857"/>
        <w:tblGridChange w:id="0">
          <w:tblGrid>
            <w:gridCol w:w="2518"/>
            <w:gridCol w:w="2552"/>
            <w:gridCol w:w="1275"/>
            <w:gridCol w:w="1276"/>
            <w:gridCol w:w="2592"/>
            <w:gridCol w:w="2105"/>
            <w:gridCol w:w="85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ה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'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22/06/2017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ד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' 21/06/2017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ג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'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20/06/2017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'19/06/2017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color w:val="0070c0"/>
                <w:rtl w:val="1"/>
              </w:rPr>
              <w:t xml:space="preserve">'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18/06/2017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1"/>
              </w:rPr>
              <w:t xml:space="preserve">שעה</w:t>
            </w:r>
          </w:p>
        </w:tc>
      </w:tr>
      <w:tr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תנועה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מהמלון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לרחבת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הטקס</w:t>
            </w:r>
          </w:p>
        </w:tc>
        <w:tc>
          <w:tcPr>
            <w:gridSpan w:val="2"/>
            <w:shd w:fill="f2dcdb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עיבוד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צוותי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08:30</w:t>
            </w:r>
          </w:p>
        </w:tc>
      </w:tr>
      <w:tr>
        <w:tc>
          <w:tcPr>
            <w:vMerge w:val="restart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פארק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הניצחון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מוזיאון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המלחמה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הפטריוטית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הגדולה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מלחה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II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טקס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הנחת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זר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קבר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חייל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אלמוני</w:t>
            </w:r>
          </w:p>
        </w:tc>
        <w:tc>
          <w:tcPr>
            <w:gridSpan w:val="2"/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מדיניות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ובטחון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דובר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מר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פאבל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פלגנגאור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הרצאת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פתיחה</w:t>
            </w:r>
            <w:r w:rsidDel="00000000" w:rsidR="00000000" w:rsidRPr="00000000">
              <w:rPr>
                <w:rtl w:val="1"/>
              </w:rPr>
              <w:t xml:space="preserve"> -  </w:t>
            </w:r>
            <w:r w:rsidDel="00000000" w:rsidR="00000000" w:rsidRPr="00000000">
              <w:rPr>
                <w:rtl w:val="1"/>
              </w:rPr>
              <w:t xml:space="preserve">יחסים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בילטרלים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רוסיה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ישראל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מרצה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שגריר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עברית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09:00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תנועה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לאקדמיה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הצבאית</w:t>
            </w:r>
          </w:p>
        </w:tc>
        <w:tc>
          <w:tcPr>
            <w:gridSpan w:val="2"/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09:30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be5f1"/>
          </w:tcPr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ביקור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באקדמיה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הצבאית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מיקום</w:t>
            </w:r>
            <w:r w:rsidDel="00000000" w:rsidR="00000000" w:rsidRPr="00000000">
              <w:rPr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rtl w:val="1"/>
              </w:rPr>
              <w:t xml:space="preserve">האקדמיה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gridSpan w:val="2"/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מדיניות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רוסיה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במזה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דובר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נאומקין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יורי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אלכסנדר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מלשנקו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  </w:t>
            </w:r>
            <w:r w:rsidDel="00000000" w:rsidR="00000000" w:rsidRPr="00000000">
              <w:rPr>
                <w:rtl w:val="1"/>
              </w:rPr>
              <w:t xml:space="preserve">אנגלית</w:t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מצב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פוליטי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פנימי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דוברים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גב</w:t>
            </w:r>
            <w:r w:rsidDel="00000000" w:rsidR="00000000" w:rsidRPr="00000000">
              <w:rPr>
                <w:b w:val="1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rtl w:val="1"/>
              </w:rPr>
              <w:t xml:space="preserve">מריה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ליפמן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פטרוב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אנגלית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תנועה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לגלריה</w:t>
            </w:r>
          </w:p>
        </w:tc>
        <w:tc>
          <w:tcPr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תנועה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למוזיאון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* </w:t>
            </w:r>
            <w:r w:rsidDel="00000000" w:rsidR="00000000" w:rsidRPr="00000000">
              <w:rPr>
                <w:rtl w:val="1"/>
              </w:rPr>
              <w:t xml:space="preserve">הפסקה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11:15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כריכים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קטנים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רוסלן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דפ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': </w:t>
            </w: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מוזיאון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המלחמה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הפטריוטית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1812</w:t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מצב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כלכלי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והשפעה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מדיניות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הפנים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דובר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גונטמאכר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1"/>
              </w:rPr>
              <w:t xml:space="preserve">אנגלית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דפ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':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גלריית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טריטייאקוב</w:t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12:00</w:t>
            </w:r>
          </w:p>
        </w:tc>
      </w:tr>
      <w:tr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be5f1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נושא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מדיניות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רוסיה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דוברים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מר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איבנוב</w:t>
            </w:r>
            <w:r w:rsidDel="00000000" w:rsidR="00000000" w:rsidRPr="00000000">
              <w:rPr>
                <w:rtl w:val="1"/>
              </w:rPr>
              <w:t xml:space="preserve">  /</w:t>
            </w:r>
            <w:r w:rsidDel="00000000" w:rsidR="00000000" w:rsidRPr="00000000">
              <w:rPr>
                <w:rtl w:val="1"/>
              </w:rPr>
              <w:t xml:space="preserve">לוקינוב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נאומקין</w:t>
            </w:r>
            <w:r w:rsidDel="00000000" w:rsidR="00000000" w:rsidRPr="00000000">
              <w:rPr>
                <w:rtl w:val="1"/>
              </w:rPr>
              <w:t xml:space="preserve"> / / </w:t>
            </w:r>
            <w:r w:rsidDel="00000000" w:rsidR="00000000" w:rsidRPr="00000000">
              <w:rPr>
                <w:rtl w:val="1"/>
              </w:rPr>
              <w:t xml:space="preserve">טרנין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** </w:t>
            </w:r>
            <w:r w:rsidDel="00000000" w:rsidR="00000000" w:rsidRPr="00000000">
              <w:rPr>
                <w:rtl w:val="1"/>
              </w:rPr>
              <w:t xml:space="preserve">אופציה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איוון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טימופייב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איבנוב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אנגלית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צהריים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מסכמת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מסעדת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ירושלים</w:t>
            </w:r>
          </w:p>
        </w:tc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צהריים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כריכים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החוץ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צהריים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בתנועה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סנדביצ</w:t>
            </w:r>
            <w:r w:rsidDel="00000000" w:rsidR="00000000" w:rsidRPr="00000000">
              <w:rPr>
                <w:rtl w:val="1"/>
              </w:rPr>
              <w:t xml:space="preserve">'</w:t>
            </w:r>
            <w:r w:rsidDel="00000000" w:rsidR="00000000" w:rsidRPr="00000000">
              <w:rPr>
                <w:rtl w:val="1"/>
              </w:rPr>
              <w:t xml:space="preserve">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13:00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למשרד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החוץ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צהריים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בתנועה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סנדביצ</w:t>
            </w:r>
            <w:r w:rsidDel="00000000" w:rsidR="00000000" w:rsidRPr="00000000">
              <w:rPr>
                <w:rtl w:val="1"/>
              </w:rPr>
              <w:t xml:space="preserve">'</w:t>
            </w:r>
            <w:r w:rsidDel="00000000" w:rsidR="00000000" w:rsidRPr="00000000">
              <w:rPr>
                <w:rtl w:val="1"/>
              </w:rPr>
              <w:t xml:space="preserve">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צהריים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הפסקת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קפה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כריכים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גדולים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מלון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יאנה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התארגנות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לאזרחי</w:t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לגשר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הפטריארך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למסגד</w:t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e5dfec"/>
          </w:tcPr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משרד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החוץ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hd w:fill="dbe5f1" w:val="clear"/>
              <w:bidi w:val="1"/>
              <w:spacing w:after="200" w:before="0" w:line="276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נושא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רוסיה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מזה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ת</w:t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דובר</w:t>
            </w:r>
            <w:r w:rsidDel="00000000" w:rsidR="00000000" w:rsidRPr="00000000">
              <w:rPr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rtl w:val="1"/>
              </w:rPr>
              <w:t xml:space="preserve">סגן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שר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החוץ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לענייני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מזה</w:t>
            </w:r>
            <w:r w:rsidDel="00000000" w:rsidR="00000000" w:rsidRPr="00000000">
              <w:rPr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rtl w:val="1"/>
              </w:rPr>
              <w:t xml:space="preserve">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ואפריקה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ושליח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הנשיא</w:t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לאזור</w:t>
            </w:r>
            <w:r w:rsidDel="00000000" w:rsidR="00000000" w:rsidRPr="00000000">
              <w:rPr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rtl w:val="1"/>
              </w:rPr>
              <w:t xml:space="preserve">מר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מיכאל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בוגדנוב</w:t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שפה</w:t>
            </w:r>
            <w:r w:rsidDel="00000000" w:rsidR="00000000" w:rsidRPr="00000000">
              <w:rPr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color w:val="000000"/>
                <w:rtl w:val="1"/>
              </w:rPr>
              <w:t xml:space="preserve">רוסית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hd w:fill="dbe5f1" w:val="clear"/>
              <w:bidi w:val="1"/>
              <w:spacing w:after="200" w:before="0" w:line="276" w:lineRule="auto"/>
              <w:ind w:left="36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נושא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תכנון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מדיניות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1"/>
              </w:rPr>
              <w:t xml:space="preserve">החוץ</w:t>
            </w:r>
          </w:p>
          <w:p w:rsidR="00000000" w:rsidDel="00000000" w:rsidP="00000000" w:rsidRDefault="00000000" w:rsidRPr="00000000">
            <w:pPr>
              <w:pBdr/>
              <w:shd w:fill="dbe5f1" w:val="clear"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דובר</w:t>
            </w:r>
            <w:r w:rsidDel="00000000" w:rsidR="00000000" w:rsidRPr="00000000">
              <w:rPr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rtl w:val="1"/>
              </w:rPr>
              <w:t xml:space="preserve">ראש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מחלקת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תכנון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מדיני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מר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אולג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סטפנוב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1"/>
              </w:rPr>
              <w:t xml:space="preserve">רוסית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color w:val="000000"/>
                <w:shd w:fill="ebf1dd" w:val="clear"/>
              </w:rPr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הכרות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-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מרכז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מוסקבה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מתחם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הקרמלין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(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גשר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הפטריארך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גני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אלכסנדר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מתחם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הקרמלין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כיכר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אדומה</w:t>
            </w:r>
            <w:r w:rsidDel="00000000" w:rsidR="00000000" w:rsidRPr="00000000">
              <w:rPr>
                <w:color w:val="000000"/>
                <w:shd w:fill="ebf1dd" w:val="clear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14:30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תפקיד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הייצוא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הבטחוני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במדיניות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החוץ</w:t>
            </w:r>
            <w:r w:rsidDel="00000000" w:rsidR="00000000" w:rsidRPr="00000000">
              <w:rPr>
                <w:rtl w:val="1"/>
              </w:rPr>
              <w:t xml:space="preserve">  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מרצה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פוחוב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שפה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אנגלית</w:t>
            </w:r>
          </w:p>
        </w:tc>
        <w:tc>
          <w:tcPr>
            <w:gridSpan w:val="2"/>
            <w:vMerge w:val="continue"/>
            <w:shd w:fill="e5dfec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</w:tr>
      <w:tr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סיור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מיעוטים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דתיים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במוסקבה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ביקור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במסגד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חופשי</w:t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5dfec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</w:tr>
      <w:tr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deada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יחסים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מדיניים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ביטחוניים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מרצה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נספצ</w:t>
            </w:r>
          </w:p>
        </w:tc>
        <w:tc>
          <w:tcPr>
            <w:gridSpan w:val="2"/>
            <w:vMerge w:val="continue"/>
            <w:shd w:fill="e5dfec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</w:tr>
      <w:tr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לשדה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ת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ׁ(</w:t>
            </w:r>
            <w:r w:rsidDel="00000000" w:rsidR="00000000" w:rsidRPr="00000000">
              <w:rPr>
                <w:rtl w:val="1"/>
              </w:rPr>
              <w:t xml:space="preserve">כריכים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קטנים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Merge w:val="continue"/>
            <w:shd w:fill="fdeada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e5dfec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</w:tr>
      <w:t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dcdb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הפסקת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קפה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עיבוד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צוותי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כריכים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קטנים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gridSpan w:val="2"/>
            <w:vMerge w:val="restart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תיירות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רחוב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ארבט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הישן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כולל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ארוחת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ערב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עצמאית</w:t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</w:tr>
      <w:tr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dcdb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552"/>
        <w:gridCol w:w="2551"/>
        <w:gridCol w:w="2592"/>
        <w:gridCol w:w="2105"/>
        <w:gridCol w:w="857"/>
        <w:tblGridChange w:id="0">
          <w:tblGrid>
            <w:gridCol w:w="2518"/>
            <w:gridCol w:w="2552"/>
            <w:gridCol w:w="2551"/>
            <w:gridCol w:w="2592"/>
            <w:gridCol w:w="2105"/>
            <w:gridCol w:w="857"/>
          </w:tblGrid>
        </w:tblGridChange>
      </w:tblGrid>
      <w:tr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למופע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נסיעה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השגריר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אוטובוס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איסוף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למעוניינים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ק</w:t>
            </w:r>
            <w:r w:rsidDel="00000000" w:rsidR="00000000" w:rsidRPr="00000000">
              <w:rPr>
                <w:rtl w:val="1"/>
              </w:rPr>
              <w:t xml:space="preserve">"</w:t>
            </w:r>
            <w:r w:rsidDel="00000000" w:rsidR="00000000" w:rsidRPr="00000000">
              <w:rPr>
                <w:rtl w:val="1"/>
              </w:rPr>
              <w:t xml:space="preserve">פ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בבית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השגריר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19:00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/>
          </w:tcPr>
          <w:p w:rsidR="00000000" w:rsidDel="00000000" w:rsidP="00000000" w:rsidRDefault="00000000" w:rsidRPr="00000000">
            <w:pPr>
              <w:pBdr/>
              <w:shd w:fill="f2f2f2" w:val="clear"/>
              <w:bidi w:val="1"/>
              <w:contextualSpacing w:val="0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תרבות</w:t>
            </w:r>
            <w:r w:rsidDel="00000000" w:rsidR="00000000" w:rsidRPr="00000000">
              <w:rPr>
                <w:color w:val="000000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rtl w:val="1"/>
              </w:rPr>
              <w:t xml:space="preserve">מופע</w:t>
            </w:r>
            <w:r w:rsidDel="00000000" w:rsidR="00000000" w:rsidRPr="00000000">
              <w:rPr>
                <w:color w:val="000000"/>
                <w:rtl w:val="1"/>
              </w:rPr>
              <w:t xml:space="preserve"> "</w:t>
            </w:r>
            <w:r w:rsidDel="00000000" w:rsidR="00000000" w:rsidRPr="00000000">
              <w:rPr>
                <w:color w:val="000000"/>
                <w:rtl w:val="1"/>
              </w:rPr>
              <w:t xml:space="preserve">קוסטרומה</w:t>
            </w:r>
            <w:r w:rsidDel="00000000" w:rsidR="00000000" w:rsidRPr="00000000">
              <w:rPr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נחיתה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DMO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19:30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20:00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המראה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DME</w:t>
            </w:r>
          </w:p>
        </w:tc>
        <w:tc>
          <w:tcPr>
            <w:vMerge w:val="continue"/>
            <w:shd w:fill="f2f2f2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תנועה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למרכז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העיר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20:30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21:30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1"/>
              </w:rPr>
              <w:t xml:space="preserve">הגעה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למלון</w:t>
            </w:r>
            <w:r w:rsidDel="00000000" w:rsidR="00000000" w:rsidRPr="00000000">
              <w:rPr>
                <w:rtl w:val="1"/>
              </w:rPr>
              <w:t xml:space="preserve">+</w:t>
            </w:r>
            <w:r w:rsidDel="00000000" w:rsidR="00000000" w:rsidRPr="00000000">
              <w:rPr>
                <w:rtl w:val="1"/>
              </w:rPr>
              <w:t xml:space="preserve">צ</w:t>
            </w:r>
            <w:r w:rsidDel="00000000" w:rsidR="00000000" w:rsidRPr="00000000">
              <w:rPr>
                <w:rtl w:val="1"/>
              </w:rPr>
              <w:t xml:space="preserve">'</w:t>
            </w:r>
            <w:r w:rsidDel="00000000" w:rsidR="00000000" w:rsidRPr="00000000">
              <w:rPr>
                <w:rtl w:val="1"/>
              </w:rPr>
              <w:t xml:space="preserve">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אין</w:t>
            </w:r>
          </w:p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שיחת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פתיחה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קצרה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הפסקת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וכריכים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>
            <w:pPr>
              <w:pBdr/>
              <w:bidi w:val="1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22:00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/>
      <w:pgMar w:bottom="1440" w:top="368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left" w:pos="1302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ab/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bidi w:val="1"/>
      <w:spacing w:before="720" w:lineRule="auto"/>
      <w:contextualSpacing w:val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1"/>
      </w:rPr>
      <w:t xml:space="preserve">תכנית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ביקור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מב</w:t>
    </w:r>
    <w:r w:rsidDel="00000000" w:rsidR="00000000" w:rsidRPr="00000000">
      <w:rPr>
        <w:sz w:val="24"/>
        <w:szCs w:val="24"/>
        <w:rtl w:val="1"/>
      </w:rPr>
      <w:t xml:space="preserve">"</w:t>
    </w:r>
    <w:r w:rsidDel="00000000" w:rsidR="00000000" w:rsidRPr="00000000">
      <w:rPr>
        <w:sz w:val="24"/>
        <w:szCs w:val="24"/>
        <w:rtl w:val="1"/>
      </w:rPr>
      <w:t xml:space="preserve">ל</w:t>
    </w:r>
    <w:r w:rsidDel="00000000" w:rsidR="00000000" w:rsidRPr="00000000">
      <w:rPr>
        <w:sz w:val="24"/>
        <w:szCs w:val="24"/>
        <w:rtl w:val="1"/>
      </w:rPr>
      <w:t xml:space="preserve"> 2017 </w:t>
      <w:tab/>
    </w:r>
    <w:r w:rsidDel="00000000" w:rsidR="00000000" w:rsidRPr="00000000">
      <w:rPr>
        <w:sz w:val="24"/>
        <w:szCs w:val="24"/>
        <w:rtl w:val="1"/>
      </w:rPr>
      <w:t xml:space="preserve">תאריך</w:t>
    </w:r>
    <w:r w:rsidDel="00000000" w:rsidR="00000000" w:rsidRPr="00000000">
      <w:rPr>
        <w:sz w:val="24"/>
        <w:szCs w:val="24"/>
        <w:rtl w:val="1"/>
      </w:rPr>
      <w:t xml:space="preserve"> </w:t>
    </w:r>
    <w:r w:rsidDel="00000000" w:rsidR="00000000" w:rsidRPr="00000000">
      <w:rPr>
        <w:sz w:val="24"/>
        <w:szCs w:val="24"/>
        <w:rtl w:val="1"/>
      </w:rPr>
      <w:t xml:space="preserve">עדכון</w:t>
    </w:r>
    <w:r w:rsidDel="00000000" w:rsidR="00000000" w:rsidRPr="00000000">
      <w:rPr>
        <w:sz w:val="24"/>
        <w:szCs w:val="24"/>
        <w:rtl w:val="1"/>
      </w:rPr>
      <w:t xml:space="preserve">: 02/06/2017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0E7BA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751A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E0AC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B5E9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B5E92"/>
  </w:style>
  <w:style w:type="paragraph" w:styleId="Footer">
    <w:name w:val="footer"/>
    <w:basedOn w:val="Normal"/>
    <w:link w:val="FooterChar"/>
    <w:uiPriority w:val="99"/>
    <w:unhideWhenUsed w:val="1"/>
    <w:rsid w:val="001B5E9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E92"/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