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360" w:lineRule="auto"/>
        <w:jc w:val="center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160" w:line="360" w:lineRule="auto"/>
        <w:jc w:val="center"/>
        <w:rPr>
          <w:rFonts w:ascii="David" w:cs="David" w:eastAsia="David" w:hAnsi="David"/>
          <w:b w:val="1"/>
          <w:sz w:val="144"/>
          <w:szCs w:val="1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line="360" w:lineRule="auto"/>
        <w:jc w:val="center"/>
        <w:rPr>
          <w:rFonts w:ascii="David" w:cs="David" w:eastAsia="David" w:hAnsi="David"/>
          <w:b w:val="1"/>
          <w:sz w:val="144"/>
          <w:szCs w:val="144"/>
        </w:rPr>
      </w:pPr>
      <w:r w:rsidDel="00000000" w:rsidR="00000000" w:rsidRPr="00000000">
        <w:rPr>
          <w:rFonts w:ascii="David" w:cs="David" w:eastAsia="David" w:hAnsi="David"/>
          <w:b w:val="1"/>
          <w:sz w:val="144"/>
          <w:szCs w:val="144"/>
          <w:rtl w:val="1"/>
        </w:rPr>
        <w:t xml:space="preserve">הגן</w:t>
      </w:r>
      <w:r w:rsidDel="00000000" w:rsidR="00000000" w:rsidRPr="00000000">
        <w:rPr>
          <w:rFonts w:ascii="David" w:cs="David" w:eastAsia="David" w:hAnsi="David"/>
          <w:b w:val="1"/>
          <w:sz w:val="144"/>
          <w:szCs w:val="14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144"/>
          <w:szCs w:val="144"/>
          <w:rtl w:val="1"/>
        </w:rPr>
        <w:t xml:space="preserve">הארכיאולוגי</w:t>
      </w:r>
    </w:p>
    <w:p w:rsidR="00000000" w:rsidDel="00000000" w:rsidP="00000000" w:rsidRDefault="00000000" w:rsidRPr="00000000" w14:paraId="00000004">
      <w:pPr>
        <w:bidi w:val="1"/>
        <w:spacing w:after="160" w:line="360" w:lineRule="auto"/>
        <w:jc w:val="center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מסגרת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יחידת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</w:t>
      </w:r>
    </w:p>
    <w:p w:rsidR="00000000" w:rsidDel="00000000" w:rsidP="00000000" w:rsidRDefault="00000000" w:rsidRPr="00000000" w14:paraId="00000005">
      <w:pPr>
        <w:bidi w:val="1"/>
        <w:spacing w:after="160" w:line="360" w:lineRule="auto"/>
        <w:jc w:val="center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תאריך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דצמבר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נושאים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מרכזיים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במערך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בחברות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האנושיות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סקירת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הפיזיים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הקדומים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דגימת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0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מבוא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למדריכה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16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הארכיאולוגי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ונחשוף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תרבויות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המוצגות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פריטים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ארכיאולוגים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שנמצאו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bidi w:val="1"/>
        <w:spacing w:after="160"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בשיתוף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ומפקד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לשעבר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יגאל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נחנך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2016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הארכיאולוגי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60" w:line="360" w:lineRule="auto"/>
        <w:jc w:val="both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פתיחה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הקריה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ממוקם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בלב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תל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ומשמש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כמפקדת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המטה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הכללי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צבא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ההגנה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לישראל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מתוקף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המפקדה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הראשית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לכלל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העשייה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הרחבה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והמתקדמת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ומגמות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החדשנות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והקידמה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בצעדי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ענק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ישנה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חשיבות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עליונה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לחיבור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המשרתים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לשורשים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האנושיים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התפתחו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וכיוצא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הצבא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</w:p>
    <w:p w:rsidR="00000000" w:rsidDel="00000000" w:rsidP="00000000" w:rsidRDefault="00000000" w:rsidRPr="00000000" w14:paraId="00000017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כזה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הגן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הארכיאולוגי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מיצג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המחולק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לארבעה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רובעים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מהם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מייצג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עתיקה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התקיימה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בחירה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קפדנית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פריטים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ארכיאולוגים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שנמצאו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המספרים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הסיפור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התקופתי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והאנושי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</w:p>
    <w:p w:rsidR="00000000" w:rsidDel="00000000" w:rsidP="00000000" w:rsidRDefault="00000000" w:rsidRPr="00000000" w14:paraId="00000018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רובע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1-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בירה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ירושלים</w:t>
      </w:r>
    </w:p>
    <w:p w:rsidR="00000000" w:rsidDel="00000000" w:rsidP="00000000" w:rsidRDefault="00000000" w:rsidRPr="00000000" w14:paraId="0000001A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הבירה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מזה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- 3000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שנים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שקבע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ככזו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בטרם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הפיכתה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לעיר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קודש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כבירה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מעניק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מעמד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כמרכז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השלטוני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הארץ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וכזו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נשארת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הבירה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נתפסת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כמייצגת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הסמלית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מדינתה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לעיתים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שער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הכניסה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ולכן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במרבית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ערי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הבירה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מונומנטים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ונופים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סמליים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וייצוגיים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0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הנתפסים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כחשובים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להצביע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כוחו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שדרות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רחבות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ארמונות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אנדרטאות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ואתרי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הנצחה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).</w:t>
      </w:r>
    </w:p>
    <w:p w:rsidR="00000000" w:rsidDel="00000000" w:rsidP="00000000" w:rsidRDefault="00000000" w:rsidRPr="00000000" w14:paraId="0000001D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המקדש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והשני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שופץ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</w:p>
    <w:p w:rsidR="00000000" w:rsidDel="00000000" w:rsidP="00000000" w:rsidRDefault="00000000" w:rsidRPr="00000000" w14:paraId="0000001E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מקודשת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ביהדות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בנצרות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ובאסלאם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והייתה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חיי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היהודי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בימי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קדם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ומושא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לתפילותיו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לחזור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גלותו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משום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חשיבותה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הדתית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שלוש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הדתות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היוותה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ההיסטוריה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מוקד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וסכסוכים</w:t>
      </w:r>
    </w:p>
    <w:p w:rsidR="00000000" w:rsidDel="00000000" w:rsidP="00000000" w:rsidRDefault="00000000" w:rsidRPr="00000000" w14:paraId="0000001F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האבן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המאפיינת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פריט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כיאה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לבניה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ולאורח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אבן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הגיר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האבן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הירושלמית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</w:t>
      </w:r>
    </w:p>
    <w:p w:rsidR="00000000" w:rsidDel="00000000" w:rsidP="00000000" w:rsidRDefault="00000000" w:rsidRPr="00000000" w14:paraId="00000020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rFonts w:ascii="David" w:cs="David" w:eastAsia="David" w:hAnsi="David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אבן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מהכותל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הדרומי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השוקלת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 6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טון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הובאה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מהכותל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הדרומי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המקדש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קרס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גן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ארכיאולוגי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ההערכה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מאבני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החיבור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הכותל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הדרומי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למערבי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מהנדבכים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התחתונים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הקיר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משקלה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אבן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נשיאת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העומסים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והולכת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לרצפת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ויסודות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המקדש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האבן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שונעה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גלגלי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עץ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המחוברים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לאבן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צד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הייחודי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תקופה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נעשית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מנופים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מכניקה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ושיטות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בנייה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מתקדמות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- 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המבנים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מתקופת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נחשבים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מורכבים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לתכנון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וביצוע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spacing w:after="0" w:line="360" w:lineRule="auto"/>
        <w:ind w:left="720" w:hanging="360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u w:val="singl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מהבנייה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המפוארת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יישר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המוריה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גביו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בנה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הסטו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המלכותי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"-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בזיליקה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המורכבת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-144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10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מורכבים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ומחוברים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  <w:br w:type="textWrapping"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הבזיליקה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ומפוארת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העתיק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הסטיו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המלכותי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והנחת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קורבנות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פומביים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מפגש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ואירוח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הסטיו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ובפרט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הסטיו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70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לספירה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spacing w:after="160" w:line="360" w:lineRule="auto"/>
        <w:ind w:left="720" w:hanging="360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הבד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ענף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וחיוני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בקיומה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האנושית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באדמה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הטרשית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הנפוצה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חקלאות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החקלאות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הרווחת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לבערה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למאכל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ופסולת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מתהליך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להאכלת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והצאן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spacing w:after="160" w:line="360" w:lineRule="auto"/>
        <w:ind w:left="720" w:firstLine="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המיצגים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הבוטחים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מפיקים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העגולה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והרחבה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הנקראת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הקשור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לבהמת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המסתובבת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מסביב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ופוצעת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מעבירים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הפצועים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למתקן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הסחיטה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ומפעילים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הנקראת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נקרא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מכבש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משקולות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הופק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5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רובע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2- 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קודש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טבריה</w:t>
      </w:r>
    </w:p>
    <w:p w:rsidR="00000000" w:rsidDel="00000000" w:rsidP="00000000" w:rsidRDefault="00000000" w:rsidRPr="00000000" w14:paraId="00000027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טבריה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מארבעת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ערי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הקודש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צפת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חברון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טבריה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ערי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הקודש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קיבלו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כינויין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מאוחרת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והתאפיינו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שהייתה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אוכלוסיה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יהודית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כמעט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רצופה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הגלות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טבריה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הפכה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לקדושה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לאחר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התכנסו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חברי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הסנהדרין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לעבודתם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וחתמו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התלמוד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הירושלמי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הומצא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הניקוד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העברי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הידוע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כניקוד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טברייני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לכך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קבורים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צדיקים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גדולים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רבי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יוחנן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זכאי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הרמב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). </w:t>
      </w:r>
    </w:p>
    <w:p w:rsidR="00000000" w:rsidDel="00000000" w:rsidP="00000000" w:rsidRDefault="00000000" w:rsidRPr="00000000" w14:paraId="00000029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טבריה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ייחודית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משאר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ערי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הקודש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שהפכה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למרכז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הרוחני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היהודי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שלאחר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חורבן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הבית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ובחברון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ישבו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הרומאים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בעוד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בטבריה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ישבו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יהודים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הוקמה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יהודית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מעורבת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תושביה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עסקו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ימאות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מקצועות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שהושפעו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מהכינרת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הסלע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המאפיין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טבריה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סלע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הבזלת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סלע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געשי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צפוף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לפסל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בעיטורים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נחשבת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טבריה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ממוקמת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צפונית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לטבריה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והייתה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מוקפת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-3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D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חוליות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כותרת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קורינתית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כותרת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קורינתי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המעוצבת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bidi w:val="1"/>
        <w:spacing w:after="0" w:line="360" w:lineRule="auto"/>
        <w:ind w:left="720" w:hanging="360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סרקופג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עתיק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כיסוי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המעוצב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spacing w:after="160" w:line="360" w:lineRule="auto"/>
        <w:ind w:left="720" w:hanging="360"/>
        <w:rPr>
          <w:rFonts w:ascii="David" w:cs="David" w:eastAsia="David" w:hAnsi="David"/>
          <w:sz w:val="24"/>
          <w:szCs w:val="24"/>
          <w:u w:val="non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מנורה</w:t>
      </w: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הידועה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לפענח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הכתוב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בנוסף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מוטבע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  <w:br w:type="textWrapping"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רובע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3-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נמל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ושעשועים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קיסריה</w:t>
      </w:r>
    </w:p>
    <w:p w:rsidR="00000000" w:rsidDel="00000000" w:rsidP="00000000" w:rsidRDefault="00000000" w:rsidRPr="00000000" w14:paraId="00000035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שעשועים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מודרנית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נמל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מפואר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רחובות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צולבים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חנויות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ובתים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פרטיים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קוזי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ועיצוב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חדשני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הוקמה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האוכלוסייה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הרומאית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בכדי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למנוע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מההמון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להתעסק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בפוליטיקה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בתקופה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הרומית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</w:t>
      </w:r>
    </w:p>
    <w:p w:rsidR="00000000" w:rsidDel="00000000" w:rsidP="00000000" w:rsidRDefault="00000000" w:rsidRPr="00000000" w14:paraId="00000036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העתיקה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לאס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וגאס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חדשנית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רחובות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קרדו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ודקומנוס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מצטלבים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אורתוגונליים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בעלת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שעשועים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מרחץ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תיאטרון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היפודרום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ענק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וגולת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הכותרת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נמל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מזחים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משוכלל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מסוגו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כהפכים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מוחלטים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ייצגו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תפיסות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שיכולות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הייתה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יהודית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נבנתה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רומאית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מונותיאיסטי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ושעשועים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ירושלים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יושבת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8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רדודים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רדודים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והספינות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מגיעות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עוגנות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שולחים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ופועלים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להעברת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הסחורה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בקיסריה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העמוקים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חסכו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מרובה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39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בטכנולוגיה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ניצול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וולקני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ָ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פוצ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נאפולי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שתכונתו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הפיכתו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לבטון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במגע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אורכו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800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600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שיכלו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-100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A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כתחנת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לספינות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שיצאו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מאלכסנדריה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עמוסות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ושעשועים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רומא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ועצרו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למנוחה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תיקונים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מרחץ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סיפק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שעשועים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בילויים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שמציעות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</w:p>
    <w:p w:rsidR="00000000" w:rsidDel="00000000" w:rsidP="00000000" w:rsidRDefault="00000000" w:rsidRPr="00000000" w14:paraId="0000003B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והשפע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ייובאה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במיוחד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לעיבוד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מוכיחים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עושרו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ויכולתיו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והבנאיות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הורדוס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רובע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4-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ערי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מדבר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ערים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u w:val="single"/>
          <w:shd w:fill="f9cb9c" w:val="clear"/>
          <w:rtl w:val="1"/>
        </w:rPr>
        <w:t xml:space="preserve">נבטיות</w:t>
      </w:r>
    </w:p>
    <w:p w:rsidR="00000000" w:rsidDel="00000000" w:rsidP="00000000" w:rsidRDefault="00000000" w:rsidRPr="00000000" w14:paraId="0000003D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הנבטים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שבטים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hyperlink r:id="rId7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ערביים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נוודים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שהגיעו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לאזור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ארץ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מצפון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hyperlink r:id="rId8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חצי</w:t>
        </w:r>
      </w:hyperlink>
      <w:hyperlink r:id="rId9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 </w:t>
        </w:r>
      </w:hyperlink>
      <w:hyperlink r:id="rId10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האי</w:t>
        </w:r>
      </w:hyperlink>
      <w:hyperlink r:id="rId11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 </w:t>
        </w:r>
      </w:hyperlink>
      <w:hyperlink r:id="rId12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ערב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היסטורינים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מתארים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כשבט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עוצמה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שמנה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כעשרת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אלפים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לוחמים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והיה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החשוב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בשבטים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צפון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ערב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פירוש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השם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נבטים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מהמילה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הערבית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נבטו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שפירושה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חפירה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חציבה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להגיע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למים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טובים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וזאת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מכיוון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שבהתאם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לאמונתם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אסור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לנבטים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לבנות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חיו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כנוודים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ידעו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להתמצא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ולשרוד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בתנאי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המדבר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הקשים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היכן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וכיצד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לנווט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שהפך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לסוחרים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מעולים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shd w:fill="f9cb9c" w:val="clear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השרידים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מה</w:t>
      </w:r>
      <w:hyperlink r:id="rId13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תרבות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הנבטית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מועטים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יוצא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חייהם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כנוודים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השאירו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אחריהם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הרבה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מבנים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hyperlink r:id="rId14">
        <w:r w:rsidDel="00000000" w:rsidR="00000000" w:rsidRPr="00000000">
          <w:rPr>
            <w:rFonts w:ascii="David" w:cs="David" w:eastAsia="David" w:hAnsi="David"/>
            <w:sz w:val="24"/>
            <w:szCs w:val="24"/>
            <w:shd w:fill="f9cb9c" w:val="clear"/>
            <w:rtl w:val="1"/>
          </w:rPr>
          <w:t xml:space="preserve">היסטוריה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כתובה</w:t>
      </w:r>
      <w:r w:rsidDel="00000000" w:rsidR="00000000" w:rsidRPr="00000000">
        <w:rPr>
          <w:rFonts w:ascii="David" w:cs="David" w:eastAsia="David" w:hAnsi="David"/>
          <w:sz w:val="24"/>
          <w:szCs w:val="24"/>
          <w:shd w:fill="f9cb9c" w:val="clear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הנבטים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נחשבים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אנושית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מתקדמת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למקובל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באותה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הנשים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בחברה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הנבטית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זכו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ליחס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שווה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לגברים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במובנים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אדמה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עסקו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במסחר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קניין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מלכות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ומנהיגות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בעלות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השפעה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bidi w:val="1"/>
        <w:spacing w:after="160" w:line="360" w:lineRule="auto"/>
        <w:rPr>
          <w:rFonts w:ascii="David" w:cs="David" w:eastAsia="David" w:hAnsi="David"/>
          <w:b w:val="1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נקבע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מסלול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"</w:t>
      </w:r>
      <w:hyperlink r:id="rId15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דרך</w:t>
        </w:r>
      </w:hyperlink>
      <w:hyperlink r:id="rId16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הבשמים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לאורכו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הוקמו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תחנות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30–40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ק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במרחק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ימי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הליכה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מזה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) 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ונחפרו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בורות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לאגירת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hyperlink r:id="rId18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מי</w:t>
        </w:r>
      </w:hyperlink>
      <w:hyperlink r:id="rId19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 </w:t>
        </w:r>
      </w:hyperlink>
      <w:hyperlink r:id="rId20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נגר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סחורותיהם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הגיעו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לנמל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עזה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משם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יצאו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לעיבוד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</w:t>
      </w:r>
      <w:hyperlink r:id="rId21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מצרים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ואחר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</w:t>
      </w:r>
      <w:hyperlink r:id="rId22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אירופה</w:t>
        </w:r>
      </w:hyperlink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. 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הם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מכרו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בעיקר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ליוונים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ולרומאים</w:t>
      </w:r>
      <w:r w:rsidDel="00000000" w:rsidR="00000000" w:rsidRPr="00000000">
        <w:rPr>
          <w:color w:val="202122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color w:val="202122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התקדמות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הטכנולוגיה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האירופאים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להפליג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בעצמם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למזרח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התיכון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ולהשיג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הבשמים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כסוחרים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השתקעו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והחלו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לעסוק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בחקלאות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בשיטות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מיוחדות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המתאימות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התפתחו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משבט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לממלכה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גיאוגרפי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ישובים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בצפון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ומואב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הנגב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וסיני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כשהמוכרת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שבירדן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הנבטית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בשנת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106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לספירה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הממלכה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הנבטית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סופחה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לאימפריה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הרומית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ונטמעה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בתוכה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להיעלמותה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המוחלטת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עובדי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בהמשך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התנצרו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בהשפעת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הרומאים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ובסופו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התאסלמו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  <w:highlight w:val="whit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מסמליהם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סהר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חצי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סהר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כוכב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האסלאם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שנוצר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בשלהי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הממלכה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הנבטית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אימץ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הרבה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מפולחנם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ומסמליהם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לאורך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דרכי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המדבר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למצוא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ציורי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סלע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האלים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השונים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שייתכן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והיו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מקומות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פולחן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לנוודים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spacing w:after="160" w:line="36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ההשפעות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במיצג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הקסגרמה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פגני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קדום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הסמל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כצורה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דקורטיבית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מאגית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שימש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בתקופות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קדומות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הנוצרים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והמוסלמים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ואף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היהודים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במאות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השנים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האחרונות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הפך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לסמל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hyperlink r:id="rId23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יהודי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מובהק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לצד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הסמלים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העתיקים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(</w:t>
      </w:r>
      <w:hyperlink r:id="rId24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מנורה</w:t>
        </w:r>
      </w:hyperlink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0"/>
        </w:rPr>
        <w:t xml:space="preserve"> </w:t>
      </w:r>
      <w:hyperlink r:id="rId25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שופר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ועוד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).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הסמל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אומץ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hyperlink r:id="rId26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התנועה</w:t>
        </w:r>
      </w:hyperlink>
      <w:hyperlink r:id="rId27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 </w:t>
        </w:r>
      </w:hyperlink>
      <w:hyperlink r:id="rId28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הציונית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שבמרכזו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hyperlink r:id="rId29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דגל</w:t>
        </w:r>
      </w:hyperlink>
      <w:hyperlink r:id="rId30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 </w:t>
        </w:r>
      </w:hyperlink>
      <w:hyperlink r:id="rId31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מדינת</w:t>
        </w:r>
      </w:hyperlink>
      <w:hyperlink r:id="rId32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 </w:t>
        </w:r>
      </w:hyperlink>
      <w:hyperlink r:id="rId33">
        <w:r w:rsidDel="00000000" w:rsidR="00000000" w:rsidRPr="00000000">
          <w:rPr>
            <w:rFonts w:ascii="David" w:cs="David" w:eastAsia="David" w:hAnsi="David"/>
            <w:sz w:val="24"/>
            <w:szCs w:val="24"/>
            <w:highlight w:val="white"/>
            <w:rtl w:val="1"/>
          </w:rPr>
          <w:t xml:space="preserve">ישראל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מופיע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מגן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דוד</w:t>
      </w:r>
      <w:r w:rsidDel="00000000" w:rsidR="00000000" w:rsidRPr="00000000">
        <w:rPr>
          <w:rFonts w:ascii="David" w:cs="David" w:eastAsia="David" w:hAnsi="David"/>
          <w:sz w:val="24"/>
          <w:szCs w:val="24"/>
          <w:highlight w:val="white"/>
          <w:rtl w:val="1"/>
        </w:rPr>
        <w:t xml:space="preserve">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bidi w:val="1"/>
        <w:spacing w:after="0" w:line="360" w:lineRule="auto"/>
        <w:ind w:left="720" w:hanging="360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לזהות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סמל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הטבוע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הנצרות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שישוע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והדגים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המתואר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החדשה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להזין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5,000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בחמש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כיכרות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sectPr>
      <w:headerReference r:id="rId34" w:type="default"/>
      <w:footerReference r:id="rId3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bidi w:val="1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bidi w:val="1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he.wikipedia.org/wiki/%D7%9E%D7%99_%D7%A0%D7%92%D7%A8" TargetMode="External"/><Relationship Id="rId22" Type="http://schemas.openxmlformats.org/officeDocument/2006/relationships/hyperlink" Target="https://he.wikipedia.org/wiki/%D7%90%D7%99%D7%A8%D7%95%D7%A4%D7%94" TargetMode="External"/><Relationship Id="rId21" Type="http://schemas.openxmlformats.org/officeDocument/2006/relationships/hyperlink" Target="https://he.wikipedia.org/wiki/%D7%9E%D7%A6%D7%A8%D7%99%D7%9D" TargetMode="External"/><Relationship Id="rId24" Type="http://schemas.openxmlformats.org/officeDocument/2006/relationships/hyperlink" Target="https://he.wikipedia.org/wiki/%D7%94%D7%9E%D7%A0%D7%95%D7%A8%D7%94" TargetMode="External"/><Relationship Id="rId23" Type="http://schemas.openxmlformats.org/officeDocument/2006/relationships/hyperlink" Target="https://he.wikipedia.org/wiki/%D7%99%D7%94%D7%95%D7%93%D7%9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he.wikipedia.org/wiki/%D7%97%D7%A6%D7%99_%D7%94%D7%90%D7%99_%D7%A2%D7%A8%D7%91" TargetMode="External"/><Relationship Id="rId26" Type="http://schemas.openxmlformats.org/officeDocument/2006/relationships/hyperlink" Target="https://he.wikipedia.org/wiki/%D7%94%D7%A7%D7%95%D7%A0%D7%92%D7%A8%D7%A1_%D7%94%D7%A6%D7%99%D7%95%D7%A0%D7%99_%D7%94%D7%A2%D7%95%D7%9C%D7%9E%D7%99_%D7%94%D7%A8%D7%90%D7%A9%D7%95%D7%9F" TargetMode="External"/><Relationship Id="rId25" Type="http://schemas.openxmlformats.org/officeDocument/2006/relationships/hyperlink" Target="https://he.wikipedia.org/wiki/%D7%A9%D7%95%D7%A4%D7%A8" TargetMode="External"/><Relationship Id="rId28" Type="http://schemas.openxmlformats.org/officeDocument/2006/relationships/hyperlink" Target="https://he.wikipedia.org/wiki/%D7%94%D7%A7%D7%95%D7%A0%D7%92%D7%A8%D7%A1_%D7%94%D7%A6%D7%99%D7%95%D7%A0%D7%99_%D7%94%D7%A2%D7%95%D7%9C%D7%9E%D7%99_%D7%94%D7%A8%D7%90%D7%A9%D7%95%D7%9F" TargetMode="External"/><Relationship Id="rId27" Type="http://schemas.openxmlformats.org/officeDocument/2006/relationships/hyperlink" Target="https://he.wikipedia.org/wiki/%D7%94%D7%A7%D7%95%D7%A0%D7%92%D7%A8%D7%A1_%D7%94%D7%A6%D7%99%D7%95%D7%A0%D7%99_%D7%94%D7%A2%D7%95%D7%9C%D7%9E%D7%99_%D7%94%D7%A8%D7%90%D7%A9%D7%95%D7%9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he.wikipedia.org/wiki/%D7%93%D7%92%D7%9C_%D7%99%D7%A9%D7%A8%D7%90%D7%9C" TargetMode="External"/><Relationship Id="rId7" Type="http://schemas.openxmlformats.org/officeDocument/2006/relationships/hyperlink" Target="https://he.wikipedia.org/wiki/%D7%A2%D7%A8%D7%91%D7%99" TargetMode="External"/><Relationship Id="rId8" Type="http://schemas.openxmlformats.org/officeDocument/2006/relationships/hyperlink" Target="https://he.wikipedia.org/wiki/%D7%97%D7%A6%D7%99_%D7%94%D7%90%D7%99_%D7%A2%D7%A8%D7%91" TargetMode="External"/><Relationship Id="rId31" Type="http://schemas.openxmlformats.org/officeDocument/2006/relationships/hyperlink" Target="https://he.wikipedia.org/wiki/%D7%93%D7%92%D7%9C_%D7%99%D7%A9%D7%A8%D7%90%D7%9C" TargetMode="External"/><Relationship Id="rId30" Type="http://schemas.openxmlformats.org/officeDocument/2006/relationships/hyperlink" Target="https://he.wikipedia.org/wiki/%D7%93%D7%92%D7%9C_%D7%99%D7%A9%D7%A8%D7%90%D7%9C" TargetMode="External"/><Relationship Id="rId11" Type="http://schemas.openxmlformats.org/officeDocument/2006/relationships/hyperlink" Target="https://he.wikipedia.org/wiki/%D7%97%D7%A6%D7%99_%D7%94%D7%90%D7%99_%D7%A2%D7%A8%D7%91" TargetMode="External"/><Relationship Id="rId33" Type="http://schemas.openxmlformats.org/officeDocument/2006/relationships/hyperlink" Target="https://he.wikipedia.org/wiki/%D7%93%D7%92%D7%9C_%D7%99%D7%A9%D7%A8%D7%90%D7%9C" TargetMode="External"/><Relationship Id="rId10" Type="http://schemas.openxmlformats.org/officeDocument/2006/relationships/hyperlink" Target="https://he.wikipedia.org/wiki/%D7%97%D7%A6%D7%99_%D7%94%D7%90%D7%99_%D7%A2%D7%A8%D7%91" TargetMode="External"/><Relationship Id="rId32" Type="http://schemas.openxmlformats.org/officeDocument/2006/relationships/hyperlink" Target="https://he.wikipedia.org/wiki/%D7%93%D7%92%D7%9C_%D7%99%D7%A9%D7%A8%D7%90%D7%9C" TargetMode="External"/><Relationship Id="rId13" Type="http://schemas.openxmlformats.org/officeDocument/2006/relationships/hyperlink" Target="https://he.wikipedia.org/wiki/%D7%AA%D7%A8%D7%91%D7%95%D7%AA" TargetMode="External"/><Relationship Id="rId35" Type="http://schemas.openxmlformats.org/officeDocument/2006/relationships/footer" Target="footer1.xml"/><Relationship Id="rId12" Type="http://schemas.openxmlformats.org/officeDocument/2006/relationships/hyperlink" Target="https://he.wikipedia.org/wiki/%D7%97%D7%A6%D7%99_%D7%94%D7%90%D7%99_%D7%A2%D7%A8%D7%91" TargetMode="External"/><Relationship Id="rId34" Type="http://schemas.openxmlformats.org/officeDocument/2006/relationships/header" Target="header1.xml"/><Relationship Id="rId15" Type="http://schemas.openxmlformats.org/officeDocument/2006/relationships/hyperlink" Target="https://he.wikipedia.org/wiki/%D7%93%D7%A8%D7%9A_%D7%94%D7%91%D7%A9%D7%9E%D7%99%D7%9D" TargetMode="External"/><Relationship Id="rId14" Type="http://schemas.openxmlformats.org/officeDocument/2006/relationships/hyperlink" Target="https://he.wikipedia.org/wiki/%D7%94%D7%99%D7%A1%D7%98%D7%95%D7%A8%D7%99%D7%94" TargetMode="External"/><Relationship Id="rId17" Type="http://schemas.openxmlformats.org/officeDocument/2006/relationships/hyperlink" Target="https://he.wikipedia.org/wiki/%D7%93%D7%A8%D7%9A_%D7%94%D7%91%D7%A9%D7%9E%D7%99%D7%9D" TargetMode="External"/><Relationship Id="rId16" Type="http://schemas.openxmlformats.org/officeDocument/2006/relationships/hyperlink" Target="https://he.wikipedia.org/wiki/%D7%93%D7%A8%D7%9A_%D7%94%D7%91%D7%A9%D7%9E%D7%99%D7%9D" TargetMode="External"/><Relationship Id="rId19" Type="http://schemas.openxmlformats.org/officeDocument/2006/relationships/hyperlink" Target="https://he.wikipedia.org/wiki/%D7%9E%D7%99_%D7%A0%D7%92%D7%A8" TargetMode="External"/><Relationship Id="rId18" Type="http://schemas.openxmlformats.org/officeDocument/2006/relationships/hyperlink" Target="https://he.wikipedia.org/wiki/%D7%9E%D7%99_%D7%A0%D7%92%D7%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3vGKawhmEjiynXM4XRmweFU82Q==">AMUW2mV3Y0NfYZsBOdzCWYOg/W1FlOoNWfbvKdoJoBD3t6jhLf0sksEpkC61CmdsULCHBkvmlNqgS8kbCVCD5EyVmzUIm4FVllKFFwYbATWwRi1XqNe7DKQ=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