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8F248" w14:textId="77777777" w:rsidR="00574CF1" w:rsidRPr="00FE5AE4" w:rsidRDefault="0064563F" w:rsidP="00284710">
      <w:pPr>
        <w:pStyle w:val="NoSpacing"/>
        <w:spacing w:line="240" w:lineRule="auto"/>
        <w:rPr>
          <w:sz w:val="23"/>
          <w:szCs w:val="23"/>
        </w:rPr>
      </w:pPr>
      <w:r w:rsidRPr="00FE5AE4">
        <w:rPr>
          <w:sz w:val="23"/>
          <w:szCs w:val="23"/>
        </w:rPr>
        <w:t>LtCol Michael S. Smith</w:t>
      </w:r>
    </w:p>
    <w:p w14:paraId="3D2363F6" w14:textId="2BF4420D" w:rsidR="00574CF1" w:rsidRPr="00FE5AE4" w:rsidRDefault="0064563F" w:rsidP="00284710">
      <w:pPr>
        <w:pStyle w:val="NoSpacing"/>
        <w:spacing w:line="240" w:lineRule="auto"/>
        <w:rPr>
          <w:sz w:val="23"/>
          <w:szCs w:val="23"/>
        </w:rPr>
      </w:pPr>
      <w:r w:rsidRPr="00FE5AE4">
        <w:rPr>
          <w:sz w:val="23"/>
          <w:szCs w:val="23"/>
        </w:rPr>
        <w:t>Prof Dr. D</w:t>
      </w:r>
      <w:r w:rsidR="00D6468F" w:rsidRPr="00FE5AE4">
        <w:rPr>
          <w:sz w:val="23"/>
          <w:szCs w:val="23"/>
        </w:rPr>
        <w:t>mitry</w:t>
      </w:r>
      <w:r w:rsidRPr="00FE5AE4">
        <w:rPr>
          <w:sz w:val="23"/>
          <w:szCs w:val="23"/>
        </w:rPr>
        <w:t xml:space="preserve"> </w:t>
      </w:r>
      <w:r w:rsidR="00D6468F" w:rsidRPr="00FE5AE4">
        <w:rPr>
          <w:sz w:val="23"/>
          <w:szCs w:val="23"/>
        </w:rPr>
        <w:t xml:space="preserve">(Dima) </w:t>
      </w:r>
      <w:proofErr w:type="spellStart"/>
      <w:r w:rsidRPr="00FE5AE4">
        <w:rPr>
          <w:sz w:val="23"/>
          <w:szCs w:val="23"/>
        </w:rPr>
        <w:t>Adamsky</w:t>
      </w:r>
      <w:proofErr w:type="spellEnd"/>
      <w:r w:rsidR="0030087A" w:rsidRPr="00FE5AE4">
        <w:rPr>
          <w:sz w:val="23"/>
          <w:szCs w:val="23"/>
        </w:rPr>
        <w:t xml:space="preserve"> / MG </w:t>
      </w:r>
      <w:proofErr w:type="spellStart"/>
      <w:r w:rsidR="0030087A" w:rsidRPr="00FE5AE4">
        <w:rPr>
          <w:sz w:val="23"/>
          <w:szCs w:val="23"/>
        </w:rPr>
        <w:t>Itay</w:t>
      </w:r>
      <w:proofErr w:type="spellEnd"/>
      <w:r w:rsidR="0030087A" w:rsidRPr="00FE5AE4">
        <w:rPr>
          <w:sz w:val="23"/>
          <w:szCs w:val="23"/>
        </w:rPr>
        <w:t xml:space="preserve"> </w:t>
      </w:r>
      <w:proofErr w:type="spellStart"/>
      <w:r w:rsidR="0030087A" w:rsidRPr="00FE5AE4">
        <w:rPr>
          <w:sz w:val="23"/>
          <w:szCs w:val="23"/>
        </w:rPr>
        <w:t>Verov</w:t>
      </w:r>
      <w:proofErr w:type="spellEnd"/>
    </w:p>
    <w:p w14:paraId="78C5C709" w14:textId="77777777" w:rsidR="0030087A" w:rsidRPr="00FE5AE4" w:rsidRDefault="0030087A" w:rsidP="00284710">
      <w:pPr>
        <w:pStyle w:val="NoSpacing"/>
        <w:spacing w:line="240" w:lineRule="auto"/>
        <w:rPr>
          <w:sz w:val="23"/>
          <w:szCs w:val="23"/>
        </w:rPr>
      </w:pPr>
      <w:r w:rsidRPr="00FE5AE4">
        <w:rPr>
          <w:sz w:val="23"/>
          <w:szCs w:val="23"/>
        </w:rPr>
        <w:t xml:space="preserve">Strategy – From Theory to Practice: Strategic Thought and Strategic Thinking </w:t>
      </w:r>
    </w:p>
    <w:p w14:paraId="5A87406D" w14:textId="03CA08F1" w:rsidR="00574CF1" w:rsidRPr="00FE5AE4" w:rsidRDefault="0030087A" w:rsidP="00284710">
      <w:pPr>
        <w:pStyle w:val="NoSpacing"/>
        <w:spacing w:line="240" w:lineRule="auto"/>
        <w:rPr>
          <w:sz w:val="23"/>
          <w:szCs w:val="23"/>
        </w:rPr>
      </w:pPr>
      <w:r w:rsidRPr="00FE5AE4">
        <w:rPr>
          <w:sz w:val="23"/>
          <w:szCs w:val="23"/>
        </w:rPr>
        <w:t>6</w:t>
      </w:r>
      <w:r w:rsidR="0064563F" w:rsidRPr="00FE5AE4">
        <w:rPr>
          <w:sz w:val="23"/>
          <w:szCs w:val="23"/>
        </w:rPr>
        <w:t xml:space="preserve"> </w:t>
      </w:r>
      <w:r w:rsidRPr="00FE5AE4">
        <w:rPr>
          <w:sz w:val="23"/>
          <w:szCs w:val="23"/>
        </w:rPr>
        <w:t>Mar</w:t>
      </w:r>
      <w:r w:rsidR="0064563F" w:rsidRPr="00FE5AE4">
        <w:rPr>
          <w:sz w:val="23"/>
          <w:szCs w:val="23"/>
        </w:rPr>
        <w:t xml:space="preserve"> 2020</w:t>
      </w:r>
    </w:p>
    <w:p w14:paraId="449C6939" w14:textId="77777777" w:rsidR="00284710" w:rsidRDefault="00284710">
      <w:pPr>
        <w:pStyle w:val="Title"/>
        <w:rPr>
          <w:sz w:val="23"/>
          <w:szCs w:val="23"/>
        </w:rPr>
      </w:pPr>
    </w:p>
    <w:p w14:paraId="11BF77D5" w14:textId="0B3D2AB7" w:rsidR="00574CF1" w:rsidRPr="00FE5AE4" w:rsidRDefault="0064563F">
      <w:pPr>
        <w:pStyle w:val="Title"/>
        <w:rPr>
          <w:sz w:val="23"/>
          <w:szCs w:val="23"/>
        </w:rPr>
      </w:pPr>
      <w:r w:rsidRPr="00FE5AE4">
        <w:rPr>
          <w:sz w:val="23"/>
          <w:szCs w:val="23"/>
        </w:rPr>
        <w:t>Strategy</w:t>
      </w:r>
      <w:r w:rsidR="00284710">
        <w:rPr>
          <w:sz w:val="23"/>
          <w:szCs w:val="23"/>
        </w:rPr>
        <w:t xml:space="preserve"> from a Tactical View</w:t>
      </w:r>
    </w:p>
    <w:p w14:paraId="7964DEDF" w14:textId="77777777" w:rsidR="00574CF1" w:rsidRPr="00FE5AE4" w:rsidRDefault="00574CF1" w:rsidP="0064563F">
      <w:pPr>
        <w:rPr>
          <w:sz w:val="23"/>
          <w:szCs w:val="23"/>
        </w:rPr>
      </w:pPr>
    </w:p>
    <w:p w14:paraId="2DC70F91" w14:textId="6B95C05D" w:rsidR="00574CF1" w:rsidRPr="00FE5AE4" w:rsidRDefault="004D3280" w:rsidP="004D3280">
      <w:pPr>
        <w:pStyle w:val="Quote"/>
        <w:ind w:left="0"/>
        <w:rPr>
          <w:sz w:val="23"/>
          <w:szCs w:val="23"/>
        </w:rPr>
      </w:pPr>
      <w:r w:rsidRPr="00FE5AE4">
        <w:rPr>
          <w:sz w:val="23"/>
          <w:szCs w:val="23"/>
        </w:rPr>
        <w:tab/>
      </w:r>
      <w:r w:rsidR="004B4C02" w:rsidRPr="00FE5AE4">
        <w:rPr>
          <w:sz w:val="23"/>
          <w:szCs w:val="23"/>
        </w:rPr>
        <w:t>S</w:t>
      </w:r>
      <w:r w:rsidRPr="00FE5AE4">
        <w:rPr>
          <w:sz w:val="23"/>
          <w:szCs w:val="23"/>
        </w:rPr>
        <w:t xml:space="preserve">trategy is the most optimal correlation between ends, means and ways while taking into account the moves of your opponents.  This implies two calculating entities which are rational (conduct cost/benefit analysis).  The ultimate goal of these entities is to impose your will on the other party and get them to bend to it.  While </w:t>
      </w:r>
      <w:r w:rsidR="0030087A" w:rsidRPr="00FE5AE4">
        <w:rPr>
          <w:sz w:val="23"/>
          <w:szCs w:val="23"/>
        </w:rPr>
        <w:t>working inside Iraq over the last 13 years,</w:t>
      </w:r>
      <w:r w:rsidRPr="00FE5AE4">
        <w:rPr>
          <w:sz w:val="23"/>
          <w:szCs w:val="23"/>
        </w:rPr>
        <w:t xml:space="preserve"> </w:t>
      </w:r>
      <w:r w:rsidR="0030087A" w:rsidRPr="00FE5AE4">
        <w:rPr>
          <w:sz w:val="23"/>
          <w:szCs w:val="23"/>
        </w:rPr>
        <w:t>I have had a front row seat to</w:t>
      </w:r>
      <w:r w:rsidRPr="00FE5AE4">
        <w:rPr>
          <w:sz w:val="23"/>
          <w:szCs w:val="23"/>
        </w:rPr>
        <w:t xml:space="preserve"> at the tactical level within a Special Operations Battalion </w:t>
      </w:r>
      <w:r w:rsidR="0030087A" w:rsidRPr="00FE5AE4">
        <w:rPr>
          <w:sz w:val="23"/>
          <w:szCs w:val="23"/>
        </w:rPr>
        <w:t>and operationally at a Corps level headquarters.  From these two seats and across more than a decade I have been able to observe the</w:t>
      </w:r>
      <w:r w:rsidRPr="00FE5AE4">
        <w:rPr>
          <w:sz w:val="23"/>
          <w:szCs w:val="23"/>
        </w:rPr>
        <w:t xml:space="preserve"> United States </w:t>
      </w:r>
      <w:r w:rsidR="0030087A" w:rsidRPr="00FE5AE4">
        <w:rPr>
          <w:sz w:val="23"/>
          <w:szCs w:val="23"/>
        </w:rPr>
        <w:t xml:space="preserve">National Security </w:t>
      </w:r>
      <w:r w:rsidRPr="00FE5AE4">
        <w:rPr>
          <w:sz w:val="23"/>
          <w:szCs w:val="23"/>
        </w:rPr>
        <w:t xml:space="preserve">Strategy </w:t>
      </w:r>
      <w:r w:rsidR="0030087A" w:rsidRPr="00FE5AE4">
        <w:rPr>
          <w:sz w:val="23"/>
          <w:szCs w:val="23"/>
        </w:rPr>
        <w:t>unfolding through</w:t>
      </w:r>
      <w:r w:rsidRPr="00FE5AE4">
        <w:rPr>
          <w:sz w:val="23"/>
          <w:szCs w:val="23"/>
        </w:rPr>
        <w:t xml:space="preserve"> </w:t>
      </w:r>
      <w:r w:rsidR="0030087A" w:rsidRPr="00FE5AE4">
        <w:rPr>
          <w:sz w:val="23"/>
          <w:szCs w:val="23"/>
        </w:rPr>
        <w:t xml:space="preserve">our tactical and operational actions whose </w:t>
      </w:r>
      <w:r w:rsidRPr="00FE5AE4">
        <w:rPr>
          <w:sz w:val="23"/>
          <w:szCs w:val="23"/>
        </w:rPr>
        <w:t>ultimate</w:t>
      </w:r>
      <w:r w:rsidR="0030087A" w:rsidRPr="00FE5AE4">
        <w:rPr>
          <w:sz w:val="23"/>
          <w:szCs w:val="23"/>
        </w:rPr>
        <w:t xml:space="preserve"> aim was to achieve</w:t>
      </w:r>
      <w:r w:rsidRPr="00FE5AE4">
        <w:rPr>
          <w:sz w:val="23"/>
          <w:szCs w:val="23"/>
        </w:rPr>
        <w:t xml:space="preserve"> strategic objectives </w:t>
      </w:r>
      <w:r w:rsidR="0030087A" w:rsidRPr="00FE5AE4">
        <w:rPr>
          <w:sz w:val="23"/>
          <w:szCs w:val="23"/>
        </w:rPr>
        <w:t xml:space="preserve">and secure </w:t>
      </w:r>
      <w:r w:rsidR="003554F9" w:rsidRPr="00FE5AE4">
        <w:rPr>
          <w:sz w:val="23"/>
          <w:szCs w:val="23"/>
        </w:rPr>
        <w:t xml:space="preserve">vital </w:t>
      </w:r>
      <w:r w:rsidRPr="00FE5AE4">
        <w:rPr>
          <w:sz w:val="23"/>
          <w:szCs w:val="23"/>
        </w:rPr>
        <w:t xml:space="preserve">national level interests.  These direct observations will be used to pull out the ten concepts from the </w:t>
      </w:r>
      <w:r w:rsidR="00194969" w:rsidRPr="00FE5AE4">
        <w:rPr>
          <w:sz w:val="23"/>
          <w:szCs w:val="23"/>
        </w:rPr>
        <w:t>“Strategy – From Theory to Practice: Strategic Thought and Strategic Thinking” course.</w:t>
      </w:r>
    </w:p>
    <w:p w14:paraId="795127E2" w14:textId="4B179A52" w:rsidR="00E20203" w:rsidRPr="00FE5AE4" w:rsidRDefault="00194969" w:rsidP="00E20203">
      <w:pPr>
        <w:rPr>
          <w:sz w:val="23"/>
          <w:szCs w:val="23"/>
        </w:rPr>
      </w:pPr>
      <w:r w:rsidRPr="00FE5AE4">
        <w:rPr>
          <w:sz w:val="23"/>
          <w:szCs w:val="23"/>
        </w:rPr>
        <w:t xml:space="preserve">The war in Iraq has evolved over the years.  I personally witnessed it when deployed with </w:t>
      </w:r>
      <w:r w:rsidR="0030087A" w:rsidRPr="00FE5AE4">
        <w:rPr>
          <w:sz w:val="23"/>
          <w:szCs w:val="23"/>
        </w:rPr>
        <w:t xml:space="preserve">both </w:t>
      </w:r>
      <w:r w:rsidRPr="00FE5AE4">
        <w:rPr>
          <w:sz w:val="23"/>
          <w:szCs w:val="23"/>
        </w:rPr>
        <w:t>the Corps level</w:t>
      </w:r>
      <w:r w:rsidR="0030087A" w:rsidRPr="00FE5AE4">
        <w:rPr>
          <w:sz w:val="23"/>
          <w:szCs w:val="23"/>
        </w:rPr>
        <w:t>,</w:t>
      </w:r>
      <w:r w:rsidRPr="00FE5AE4">
        <w:rPr>
          <w:sz w:val="23"/>
          <w:szCs w:val="23"/>
        </w:rPr>
        <w:t xml:space="preserve"> II Marine Expeditionary Force (MEF)</w:t>
      </w:r>
      <w:r w:rsidR="0030087A" w:rsidRPr="00FE5AE4">
        <w:rPr>
          <w:sz w:val="23"/>
          <w:szCs w:val="23"/>
        </w:rPr>
        <w:t>,</w:t>
      </w:r>
      <w:r w:rsidRPr="00FE5AE4">
        <w:rPr>
          <w:sz w:val="23"/>
          <w:szCs w:val="23"/>
        </w:rPr>
        <w:t xml:space="preserve"> and</w:t>
      </w:r>
      <w:r w:rsidR="0030087A" w:rsidRPr="00FE5AE4">
        <w:rPr>
          <w:sz w:val="23"/>
          <w:szCs w:val="23"/>
        </w:rPr>
        <w:t xml:space="preserve"> at the tactical level while training Iraqi military forces on a</w:t>
      </w:r>
      <w:r w:rsidRPr="00FE5AE4">
        <w:rPr>
          <w:sz w:val="23"/>
          <w:szCs w:val="23"/>
        </w:rPr>
        <w:t xml:space="preserve"> Military Transition Team (</w:t>
      </w:r>
      <w:proofErr w:type="spellStart"/>
      <w:r w:rsidRPr="00FE5AE4">
        <w:rPr>
          <w:sz w:val="23"/>
          <w:szCs w:val="23"/>
        </w:rPr>
        <w:t>MiTT</w:t>
      </w:r>
      <w:proofErr w:type="spellEnd"/>
      <w:r w:rsidRPr="00FE5AE4">
        <w:rPr>
          <w:sz w:val="23"/>
          <w:szCs w:val="23"/>
        </w:rPr>
        <w:t xml:space="preserve">) in 2005.  I later had direct observations of many changes </w:t>
      </w:r>
      <w:r w:rsidR="0030087A" w:rsidRPr="00FE5AE4">
        <w:rPr>
          <w:sz w:val="23"/>
          <w:szCs w:val="23"/>
        </w:rPr>
        <w:t>that occurred between 2005 on my first deployment and</w:t>
      </w:r>
      <w:r w:rsidRPr="00FE5AE4">
        <w:rPr>
          <w:sz w:val="23"/>
          <w:szCs w:val="23"/>
        </w:rPr>
        <w:t xml:space="preserve"> 2018</w:t>
      </w:r>
      <w:r w:rsidR="0030087A" w:rsidRPr="00FE5AE4">
        <w:rPr>
          <w:sz w:val="23"/>
          <w:szCs w:val="23"/>
        </w:rPr>
        <w:t>-</w:t>
      </w:r>
      <w:r w:rsidRPr="00FE5AE4">
        <w:rPr>
          <w:sz w:val="23"/>
          <w:szCs w:val="23"/>
        </w:rPr>
        <w:t>19</w:t>
      </w:r>
      <w:r w:rsidR="0030087A" w:rsidRPr="00FE5AE4">
        <w:rPr>
          <w:sz w:val="23"/>
          <w:szCs w:val="23"/>
        </w:rPr>
        <w:t xml:space="preserve"> on my second deployment to Iraq,</w:t>
      </w:r>
      <w:r w:rsidRPr="00FE5AE4">
        <w:rPr>
          <w:sz w:val="23"/>
          <w:szCs w:val="23"/>
        </w:rPr>
        <w:t xml:space="preserve"> when deployed as the Special Operations Task Force (SOTF) Commander.  These two deployments across more than 13 </w:t>
      </w:r>
      <w:r w:rsidR="00E714C2" w:rsidRPr="00FE5AE4">
        <w:rPr>
          <w:sz w:val="23"/>
          <w:szCs w:val="23"/>
        </w:rPr>
        <w:t>years’ time</w:t>
      </w:r>
      <w:r w:rsidRPr="00FE5AE4">
        <w:rPr>
          <w:sz w:val="23"/>
          <w:szCs w:val="23"/>
        </w:rPr>
        <w:t xml:space="preserve"> helped me to see how difficult the employment of strategy can be.</w:t>
      </w:r>
      <w:r w:rsidR="00D6468F" w:rsidRPr="00FE5AE4">
        <w:rPr>
          <w:sz w:val="23"/>
          <w:szCs w:val="23"/>
        </w:rPr>
        <w:t xml:space="preserve">  </w:t>
      </w:r>
      <w:r w:rsidRPr="00FE5AE4">
        <w:rPr>
          <w:sz w:val="23"/>
          <w:szCs w:val="23"/>
        </w:rPr>
        <w:t xml:space="preserve">I will begin by talking from a perspective of observations looking back on my time as </w:t>
      </w:r>
      <w:r w:rsidR="00E714C2" w:rsidRPr="00FE5AE4">
        <w:rPr>
          <w:sz w:val="23"/>
          <w:szCs w:val="23"/>
        </w:rPr>
        <w:t>a</w:t>
      </w:r>
      <w:r w:rsidRPr="00FE5AE4">
        <w:rPr>
          <w:sz w:val="23"/>
          <w:szCs w:val="23"/>
        </w:rPr>
        <w:t xml:space="preserve"> Captain with approximately </w:t>
      </w:r>
      <w:r w:rsidR="00D6468F" w:rsidRPr="00FE5AE4">
        <w:rPr>
          <w:sz w:val="23"/>
          <w:szCs w:val="23"/>
        </w:rPr>
        <w:t xml:space="preserve">six </w:t>
      </w:r>
      <w:r w:rsidRPr="00FE5AE4">
        <w:rPr>
          <w:sz w:val="23"/>
          <w:szCs w:val="23"/>
        </w:rPr>
        <w:t xml:space="preserve">years of experience within the Intelligence community.  This period in my timeline will cover Intelligence aspects of </w:t>
      </w:r>
      <w:r w:rsidR="009D4366" w:rsidRPr="00FE5AE4">
        <w:rPr>
          <w:sz w:val="23"/>
          <w:szCs w:val="23"/>
        </w:rPr>
        <w:t>s</w:t>
      </w:r>
      <w:r w:rsidRPr="00FE5AE4">
        <w:rPr>
          <w:sz w:val="23"/>
          <w:szCs w:val="23"/>
        </w:rPr>
        <w:t xml:space="preserve">trategy, </w:t>
      </w:r>
      <w:r w:rsidR="009D4366" w:rsidRPr="00FE5AE4">
        <w:rPr>
          <w:sz w:val="23"/>
          <w:szCs w:val="23"/>
        </w:rPr>
        <w:t>a</w:t>
      </w:r>
      <w:r w:rsidRPr="00FE5AE4">
        <w:rPr>
          <w:sz w:val="23"/>
          <w:szCs w:val="23"/>
        </w:rPr>
        <w:t xml:space="preserve">nalytical bias, and military innovation.  The second portion of this paper will cover aspects from my time as a </w:t>
      </w:r>
      <w:r w:rsidRPr="00FE5AE4">
        <w:rPr>
          <w:sz w:val="23"/>
          <w:szCs w:val="23"/>
        </w:rPr>
        <w:lastRenderedPageBreak/>
        <w:t xml:space="preserve">Battalion Commander discussing interactions at the </w:t>
      </w:r>
      <w:r w:rsidR="009D4366" w:rsidRPr="00FE5AE4">
        <w:rPr>
          <w:sz w:val="23"/>
          <w:szCs w:val="23"/>
        </w:rPr>
        <w:t>o</w:t>
      </w:r>
      <w:r w:rsidRPr="00FE5AE4">
        <w:rPr>
          <w:sz w:val="23"/>
          <w:szCs w:val="23"/>
        </w:rPr>
        <w:t xml:space="preserve">perational </w:t>
      </w:r>
      <w:r w:rsidR="009D4366" w:rsidRPr="00FE5AE4">
        <w:rPr>
          <w:sz w:val="23"/>
          <w:szCs w:val="23"/>
        </w:rPr>
        <w:t>l</w:t>
      </w:r>
      <w:r w:rsidRPr="00FE5AE4">
        <w:rPr>
          <w:sz w:val="23"/>
          <w:szCs w:val="23"/>
        </w:rPr>
        <w:t>evel, the importance of design and planning, relevancy gap/ strategic offset</w:t>
      </w:r>
      <w:r w:rsidR="00E20203" w:rsidRPr="00FE5AE4">
        <w:rPr>
          <w:sz w:val="23"/>
          <w:szCs w:val="23"/>
        </w:rPr>
        <w:t xml:space="preserve">, and the strategic culture.  </w:t>
      </w:r>
      <w:r w:rsidR="009D4366" w:rsidRPr="00FE5AE4">
        <w:rPr>
          <w:sz w:val="23"/>
          <w:szCs w:val="23"/>
        </w:rPr>
        <w:t>Service</w:t>
      </w:r>
      <w:r w:rsidR="00E20203" w:rsidRPr="00FE5AE4">
        <w:rPr>
          <w:sz w:val="23"/>
          <w:szCs w:val="23"/>
        </w:rPr>
        <w:t xml:space="preserve"> during the second deployment to Iraq is after 20 years of experience with ten years in Special Operations.</w:t>
      </w:r>
    </w:p>
    <w:p w14:paraId="445D269B" w14:textId="7289A974" w:rsidR="00E20203" w:rsidRPr="00FE5AE4" w:rsidRDefault="00E20203" w:rsidP="00E20203">
      <w:pPr>
        <w:rPr>
          <w:sz w:val="23"/>
          <w:szCs w:val="23"/>
        </w:rPr>
      </w:pPr>
      <w:r w:rsidRPr="00FE5AE4">
        <w:rPr>
          <w:sz w:val="23"/>
          <w:szCs w:val="23"/>
        </w:rPr>
        <w:t>In 2005, most of our equipment and techniques were still very antiquated to fight an unconventional war.  Our equipment like the High Mobility Multi-Wheeled Vehicle (HMMWV) were thin ski</w:t>
      </w:r>
      <w:r w:rsidR="009D4366" w:rsidRPr="00FE5AE4">
        <w:rPr>
          <w:sz w:val="23"/>
          <w:szCs w:val="23"/>
        </w:rPr>
        <w:t>nn</w:t>
      </w:r>
      <w:r w:rsidRPr="00FE5AE4">
        <w:rPr>
          <w:sz w:val="23"/>
          <w:szCs w:val="23"/>
        </w:rPr>
        <w:t xml:space="preserve">ed </w:t>
      </w:r>
      <w:r w:rsidR="009D4366" w:rsidRPr="00FE5AE4">
        <w:rPr>
          <w:sz w:val="23"/>
          <w:szCs w:val="23"/>
        </w:rPr>
        <w:t xml:space="preserve">material </w:t>
      </w:r>
      <w:r w:rsidRPr="00FE5AE4">
        <w:rPr>
          <w:sz w:val="23"/>
          <w:szCs w:val="23"/>
        </w:rPr>
        <w:t>with no armor to protect against Improvised Explosive Devices (IEDs), nor body armor to stop any ballistics.  There were no early threat warning devices for mortars or artillery, no sniper fire triangulation capability and technical Intelligence collection capabilities were barely capable of Very High Frequency (VHF) direction finding.  Smart munitions and drones were limited in capability</w:t>
      </w:r>
      <w:r w:rsidR="009D4366" w:rsidRPr="00FE5AE4">
        <w:rPr>
          <w:sz w:val="23"/>
          <w:szCs w:val="23"/>
        </w:rPr>
        <w:t>,</w:t>
      </w:r>
      <w:r w:rsidRPr="00FE5AE4">
        <w:rPr>
          <w:sz w:val="23"/>
          <w:szCs w:val="23"/>
        </w:rPr>
        <w:t xml:space="preserve"> availab</w:t>
      </w:r>
      <w:r w:rsidR="009D4366" w:rsidRPr="00FE5AE4">
        <w:rPr>
          <w:sz w:val="23"/>
          <w:szCs w:val="23"/>
        </w:rPr>
        <w:t>le</w:t>
      </w:r>
      <w:r w:rsidRPr="00FE5AE4">
        <w:rPr>
          <w:sz w:val="23"/>
          <w:szCs w:val="23"/>
        </w:rPr>
        <w:t xml:space="preserve"> </w:t>
      </w:r>
      <w:r w:rsidR="009D4366" w:rsidRPr="00FE5AE4">
        <w:rPr>
          <w:sz w:val="23"/>
          <w:szCs w:val="23"/>
        </w:rPr>
        <w:t xml:space="preserve">at </w:t>
      </w:r>
      <w:r w:rsidRPr="00FE5AE4">
        <w:rPr>
          <w:sz w:val="23"/>
          <w:szCs w:val="23"/>
        </w:rPr>
        <w:t xml:space="preserve">only the </w:t>
      </w:r>
      <w:r w:rsidR="00352665" w:rsidRPr="00FE5AE4">
        <w:rPr>
          <w:sz w:val="23"/>
          <w:szCs w:val="23"/>
        </w:rPr>
        <w:t>top-level</w:t>
      </w:r>
      <w:r w:rsidRPr="00FE5AE4">
        <w:rPr>
          <w:sz w:val="23"/>
          <w:szCs w:val="23"/>
        </w:rPr>
        <w:t xml:space="preserve"> organizations </w:t>
      </w:r>
      <w:r w:rsidR="009D4366" w:rsidRPr="00FE5AE4">
        <w:rPr>
          <w:sz w:val="23"/>
          <w:szCs w:val="23"/>
        </w:rPr>
        <w:t>and didn’t combine these strengths</w:t>
      </w:r>
      <w:r w:rsidR="00812FD5" w:rsidRPr="00FE5AE4">
        <w:rPr>
          <w:sz w:val="23"/>
          <w:szCs w:val="23"/>
        </w:rPr>
        <w:t xml:space="preserve">.  </w:t>
      </w:r>
      <w:r w:rsidR="00352665" w:rsidRPr="00FE5AE4">
        <w:rPr>
          <w:sz w:val="23"/>
          <w:szCs w:val="23"/>
        </w:rPr>
        <w:t>Obviously,</w:t>
      </w:r>
      <w:r w:rsidR="00812FD5" w:rsidRPr="00FE5AE4">
        <w:rPr>
          <w:sz w:val="23"/>
          <w:szCs w:val="23"/>
        </w:rPr>
        <w:t xml:space="preserve"> this will lead you down a road where I will finish talking technology in the next </w:t>
      </w:r>
      <w:r w:rsidR="00352665" w:rsidRPr="00FE5AE4">
        <w:rPr>
          <w:sz w:val="23"/>
          <w:szCs w:val="23"/>
        </w:rPr>
        <w:t>section,</w:t>
      </w:r>
      <w:r w:rsidR="00812FD5" w:rsidRPr="00FE5AE4">
        <w:rPr>
          <w:sz w:val="23"/>
          <w:szCs w:val="23"/>
        </w:rPr>
        <w:t xml:space="preserve"> but we will begin discussing the evolution of the </w:t>
      </w:r>
      <w:r w:rsidR="00C566A7" w:rsidRPr="00FE5AE4">
        <w:rPr>
          <w:sz w:val="23"/>
          <w:szCs w:val="23"/>
        </w:rPr>
        <w:t xml:space="preserve">anticipatory </w:t>
      </w:r>
      <w:r w:rsidR="00812FD5" w:rsidRPr="00FE5AE4">
        <w:rPr>
          <w:sz w:val="23"/>
          <w:szCs w:val="23"/>
        </w:rPr>
        <w:t xml:space="preserve">technology </w:t>
      </w:r>
      <w:r w:rsidR="00C566A7" w:rsidRPr="00FE5AE4">
        <w:rPr>
          <w:sz w:val="23"/>
          <w:szCs w:val="23"/>
        </w:rPr>
        <w:t>vs. the adaptive technology I will describe below.</w:t>
      </w:r>
    </w:p>
    <w:p w14:paraId="7E2CB5FC" w14:textId="322E0F84" w:rsidR="00BA2E3A" w:rsidRPr="00FE5AE4" w:rsidRDefault="00812FD5" w:rsidP="00BA2E3A">
      <w:pPr>
        <w:suppressAutoHyphens w:val="0"/>
        <w:rPr>
          <w:rFonts w:ascii="Times New Roman" w:eastAsia="Times New Roman" w:hAnsi="Times New Roman" w:cs="Times New Roman"/>
          <w:sz w:val="23"/>
          <w:szCs w:val="23"/>
          <w:lang w:eastAsia="en-US"/>
        </w:rPr>
      </w:pPr>
      <w:r w:rsidRPr="00FE5AE4">
        <w:rPr>
          <w:sz w:val="23"/>
          <w:szCs w:val="23"/>
        </w:rPr>
        <w:t>“Slick” HMMWV’s</w:t>
      </w:r>
      <w:r w:rsidR="00352665" w:rsidRPr="00FE5AE4">
        <w:rPr>
          <w:sz w:val="23"/>
          <w:szCs w:val="23"/>
        </w:rPr>
        <w:t>, which is to say without armor and most time doors,</w:t>
      </w:r>
      <w:r w:rsidRPr="00FE5AE4">
        <w:rPr>
          <w:sz w:val="23"/>
          <w:szCs w:val="23"/>
        </w:rPr>
        <w:t xml:space="preserve"> were </w:t>
      </w:r>
      <w:r w:rsidR="00352665" w:rsidRPr="00FE5AE4">
        <w:rPr>
          <w:sz w:val="23"/>
          <w:szCs w:val="23"/>
        </w:rPr>
        <w:t>all the rage</w:t>
      </w:r>
      <w:r w:rsidRPr="00FE5AE4">
        <w:rPr>
          <w:sz w:val="23"/>
          <w:szCs w:val="23"/>
        </w:rPr>
        <w:t xml:space="preserve">, until they weren’t.  The first IED strike </w:t>
      </w:r>
      <w:r w:rsidR="00352665" w:rsidRPr="00FE5AE4">
        <w:rPr>
          <w:sz w:val="23"/>
          <w:szCs w:val="23"/>
        </w:rPr>
        <w:t xml:space="preserve">would </w:t>
      </w:r>
      <w:r w:rsidRPr="00FE5AE4">
        <w:rPr>
          <w:sz w:val="23"/>
          <w:szCs w:val="23"/>
        </w:rPr>
        <w:t>s</w:t>
      </w:r>
      <w:r w:rsidR="00352665" w:rsidRPr="00FE5AE4">
        <w:rPr>
          <w:sz w:val="23"/>
          <w:szCs w:val="23"/>
        </w:rPr>
        <w:t>end</w:t>
      </w:r>
      <w:r w:rsidRPr="00FE5AE4">
        <w:rPr>
          <w:sz w:val="23"/>
          <w:szCs w:val="23"/>
        </w:rPr>
        <w:t xml:space="preserve"> every </w:t>
      </w:r>
      <w:r w:rsidR="00352665" w:rsidRPr="00FE5AE4">
        <w:rPr>
          <w:sz w:val="23"/>
          <w:szCs w:val="23"/>
        </w:rPr>
        <w:t xml:space="preserve">unit </w:t>
      </w:r>
      <w:r w:rsidRPr="00FE5AE4">
        <w:rPr>
          <w:sz w:val="23"/>
          <w:szCs w:val="23"/>
        </w:rPr>
        <w:t xml:space="preserve">mechanic scrambling to find any armor plates that he could bolt onto the vehicles.  We aren’t talking a </w:t>
      </w:r>
      <w:r w:rsidRPr="00FE5AE4">
        <w:rPr>
          <w:b/>
          <w:bCs/>
          <w:sz w:val="23"/>
          <w:szCs w:val="23"/>
        </w:rPr>
        <w:t>Revolution in Military A</w:t>
      </w:r>
      <w:r w:rsidR="00352665" w:rsidRPr="00FE5AE4">
        <w:rPr>
          <w:b/>
          <w:bCs/>
          <w:sz w:val="23"/>
          <w:szCs w:val="23"/>
        </w:rPr>
        <w:t xml:space="preserve">ffairs (RMA) </w:t>
      </w:r>
      <w:r w:rsidR="00E714C2" w:rsidRPr="00FE5AE4">
        <w:rPr>
          <w:sz w:val="23"/>
          <w:szCs w:val="23"/>
        </w:rPr>
        <w:t>which is to say a fundamental change in the character and conduct of armed conflicts. It typically consists of three elements: technological change, innovative operational concept, and organizational adaptation</w:t>
      </w:r>
      <w:r w:rsidR="00992BC1" w:rsidRPr="00FE5AE4">
        <w:rPr>
          <w:sz w:val="23"/>
          <w:szCs w:val="23"/>
        </w:rPr>
        <w:t xml:space="preserve"> </w:t>
      </w:r>
      <w:r w:rsidR="00352665" w:rsidRPr="00FE5AE4">
        <w:rPr>
          <w:sz w:val="23"/>
          <w:szCs w:val="23"/>
        </w:rPr>
        <w:t>but rather evolutionary or improvement changes which were made instantly and modified daily to ensure survival.</w:t>
      </w:r>
      <w:r w:rsidR="00BD4548" w:rsidRPr="00FE5AE4">
        <w:rPr>
          <w:sz w:val="23"/>
          <w:szCs w:val="23"/>
        </w:rPr>
        <w:t xml:space="preserve">  </w:t>
      </w:r>
      <w:r w:rsidR="00BA2E3A" w:rsidRPr="00FE5AE4">
        <w:rPr>
          <w:rFonts w:ascii="Times New Roman" w:eastAsia="Times New Roman" w:hAnsi="Times New Roman" w:cs="Times New Roman"/>
          <w:sz w:val="23"/>
          <w:szCs w:val="23"/>
          <w:lang w:eastAsia="en-US"/>
        </w:rPr>
        <w:t xml:space="preserve">Performance improvements which signal tactical revolutions very rarely justify revolution at the operational or strategic level. </w:t>
      </w:r>
      <w:r w:rsidR="00992BC1" w:rsidRPr="00FE5AE4">
        <w:rPr>
          <w:rFonts w:ascii="Times New Roman" w:eastAsia="Times New Roman" w:hAnsi="Times New Roman" w:cs="Times New Roman"/>
          <w:sz w:val="23"/>
          <w:szCs w:val="23"/>
          <w:lang w:eastAsia="en-US"/>
        </w:rPr>
        <w:t>“</w:t>
      </w:r>
      <w:r w:rsidR="00BA2E3A" w:rsidRPr="00FE5AE4">
        <w:rPr>
          <w:rFonts w:ascii="Times New Roman" w:eastAsia="Times New Roman" w:hAnsi="Times New Roman" w:cs="Times New Roman"/>
          <w:sz w:val="23"/>
          <w:szCs w:val="23"/>
          <w:lang w:eastAsia="en-US"/>
        </w:rPr>
        <w:t xml:space="preserve">A truly revolutionary strategic development alters perceptions of the relationship of means to ends and, most </w:t>
      </w:r>
      <w:r w:rsidR="00BA2E3A" w:rsidRPr="00FE5AE4">
        <w:rPr>
          <w:rFonts w:ascii="Times New Roman" w:eastAsia="Times New Roman" w:hAnsi="Times New Roman" w:cs="Times New Roman"/>
          <w:sz w:val="23"/>
          <w:szCs w:val="23"/>
          <w:lang w:eastAsia="en-US"/>
        </w:rPr>
        <w:lastRenderedPageBreak/>
        <w:t>importantly, dictates a reformulation of warfighting doctrine—the codified precepts that govern military operations.”</w:t>
      </w:r>
      <w:r w:rsidR="00BA2E3A" w:rsidRPr="00FE5AE4">
        <w:rPr>
          <w:rStyle w:val="FootnoteReference"/>
          <w:rFonts w:ascii="Times New Roman" w:eastAsia="Times New Roman" w:hAnsi="Times New Roman" w:cs="Times New Roman"/>
          <w:sz w:val="23"/>
          <w:szCs w:val="23"/>
          <w:lang w:eastAsia="en-US"/>
        </w:rPr>
        <w:footnoteReference w:id="1"/>
      </w:r>
    </w:p>
    <w:p w14:paraId="512140BA" w14:textId="40CCC8B9" w:rsidR="00992BC1" w:rsidRPr="00FE5AE4" w:rsidRDefault="00352665" w:rsidP="00992BC1">
      <w:pPr>
        <w:suppressAutoHyphens w:val="0"/>
        <w:rPr>
          <w:rFonts w:ascii="Times New Roman" w:eastAsia="Times New Roman" w:hAnsi="Times New Roman" w:cs="Times New Roman"/>
          <w:sz w:val="23"/>
          <w:szCs w:val="23"/>
          <w:lang w:eastAsia="en-US"/>
        </w:rPr>
      </w:pPr>
      <w:r w:rsidRPr="00FE5AE4">
        <w:rPr>
          <w:sz w:val="23"/>
          <w:szCs w:val="23"/>
        </w:rPr>
        <w:t xml:space="preserve">  As injury and death tolls mounted, the U.S. public began to get involved.  The </w:t>
      </w:r>
      <w:r w:rsidR="00BD4548" w:rsidRPr="00FE5AE4">
        <w:rPr>
          <w:sz w:val="23"/>
          <w:szCs w:val="23"/>
        </w:rPr>
        <w:t>mothers</w:t>
      </w:r>
      <w:r w:rsidRPr="00FE5AE4">
        <w:rPr>
          <w:sz w:val="23"/>
          <w:szCs w:val="23"/>
        </w:rPr>
        <w:t xml:space="preserve"> of America were </w:t>
      </w:r>
      <w:r w:rsidR="00BD4548" w:rsidRPr="00FE5AE4">
        <w:rPr>
          <w:sz w:val="23"/>
          <w:szCs w:val="23"/>
        </w:rPr>
        <w:t>pissed,</w:t>
      </w:r>
      <w:r w:rsidRPr="00FE5AE4">
        <w:rPr>
          <w:sz w:val="23"/>
          <w:szCs w:val="23"/>
        </w:rPr>
        <w:t xml:space="preserve"> and better solutions would be needed to ensure congressional members were re-elected.</w:t>
      </w:r>
      <w:r w:rsidR="00FC0819" w:rsidRPr="00FE5AE4">
        <w:rPr>
          <w:sz w:val="23"/>
          <w:szCs w:val="23"/>
        </w:rPr>
        <w:t xml:space="preserve">  The armored HMMWV and future Mine Resistant A</w:t>
      </w:r>
      <w:r w:rsidR="00BD4548" w:rsidRPr="00FE5AE4">
        <w:rPr>
          <w:sz w:val="23"/>
          <w:szCs w:val="23"/>
        </w:rPr>
        <w:t>mbush</w:t>
      </w:r>
      <w:r w:rsidR="00FC0819" w:rsidRPr="00FE5AE4">
        <w:rPr>
          <w:sz w:val="23"/>
          <w:szCs w:val="23"/>
        </w:rPr>
        <w:t xml:space="preserve"> Protected (MRAP) vehicles would be on the way.</w:t>
      </w:r>
      <w:r w:rsidRPr="00FE5AE4">
        <w:rPr>
          <w:sz w:val="23"/>
          <w:szCs w:val="23"/>
        </w:rPr>
        <w:t xml:space="preserve">  </w:t>
      </w:r>
      <w:r w:rsidR="00FC0819" w:rsidRPr="00FE5AE4">
        <w:rPr>
          <w:sz w:val="23"/>
          <w:szCs w:val="23"/>
        </w:rPr>
        <w:t xml:space="preserve">Body armor was also a part of this discussion.  Vietnam era “flak vests” built </w:t>
      </w:r>
      <w:r w:rsidR="009D4366" w:rsidRPr="00FE5AE4">
        <w:rPr>
          <w:sz w:val="23"/>
          <w:szCs w:val="23"/>
        </w:rPr>
        <w:t>to stop</w:t>
      </w:r>
      <w:r w:rsidR="00FC0819" w:rsidRPr="00FE5AE4">
        <w:rPr>
          <w:sz w:val="23"/>
          <w:szCs w:val="23"/>
        </w:rPr>
        <w:t xml:space="preserve"> </w:t>
      </w:r>
      <w:r w:rsidR="009D4366" w:rsidRPr="00FE5AE4">
        <w:rPr>
          <w:sz w:val="23"/>
          <w:szCs w:val="23"/>
        </w:rPr>
        <w:t xml:space="preserve">small </w:t>
      </w:r>
      <w:r w:rsidR="00FC0819" w:rsidRPr="00FE5AE4">
        <w:rPr>
          <w:sz w:val="23"/>
          <w:szCs w:val="23"/>
        </w:rPr>
        <w:t xml:space="preserve">shrapnel penetrations would be updated to more expensive vest with ballistic stopping materials.  The military went from almost no coverage to the knights of old.  Each soldier would eventually carry upwards of </w:t>
      </w:r>
      <w:r w:rsidR="009D4366" w:rsidRPr="00FE5AE4">
        <w:rPr>
          <w:sz w:val="23"/>
          <w:szCs w:val="23"/>
        </w:rPr>
        <w:t>30</w:t>
      </w:r>
      <w:r w:rsidR="00FC0819" w:rsidRPr="00FE5AE4">
        <w:rPr>
          <w:sz w:val="23"/>
          <w:szCs w:val="23"/>
        </w:rPr>
        <w:t xml:space="preserve"> </w:t>
      </w:r>
      <w:r w:rsidR="00BA2E3A" w:rsidRPr="00FE5AE4">
        <w:rPr>
          <w:sz w:val="23"/>
          <w:szCs w:val="23"/>
        </w:rPr>
        <w:t>Kilos</w:t>
      </w:r>
      <w:r w:rsidR="00FC0819" w:rsidRPr="00FE5AE4">
        <w:rPr>
          <w:sz w:val="23"/>
          <w:szCs w:val="23"/>
        </w:rPr>
        <w:t xml:space="preserve"> of </w:t>
      </w:r>
      <w:r w:rsidR="009D4366" w:rsidRPr="00FE5AE4">
        <w:rPr>
          <w:sz w:val="23"/>
          <w:szCs w:val="23"/>
        </w:rPr>
        <w:t xml:space="preserve">protective </w:t>
      </w:r>
      <w:r w:rsidR="00FC0819" w:rsidRPr="00FE5AE4">
        <w:rPr>
          <w:sz w:val="23"/>
          <w:szCs w:val="23"/>
        </w:rPr>
        <w:t>equipment in the deserts of Iraq</w:t>
      </w:r>
      <w:r w:rsidR="00C566A7" w:rsidRPr="00FE5AE4">
        <w:rPr>
          <w:sz w:val="23"/>
          <w:szCs w:val="23"/>
        </w:rPr>
        <w:t xml:space="preserve"> for protection</w:t>
      </w:r>
      <w:r w:rsidR="00FC0819" w:rsidRPr="00FE5AE4">
        <w:rPr>
          <w:sz w:val="23"/>
          <w:szCs w:val="23"/>
        </w:rPr>
        <w:t xml:space="preserve">.  </w:t>
      </w:r>
      <w:r w:rsidR="009D4366" w:rsidRPr="00FE5AE4">
        <w:rPr>
          <w:sz w:val="23"/>
          <w:szCs w:val="23"/>
        </w:rPr>
        <w:t>Within a few short years, c</w:t>
      </w:r>
      <w:r w:rsidR="00FC0819" w:rsidRPr="00FE5AE4">
        <w:rPr>
          <w:sz w:val="23"/>
          <w:szCs w:val="23"/>
        </w:rPr>
        <w:t xml:space="preserve">ombat losses and casualties would begin to </w:t>
      </w:r>
      <w:r w:rsidR="00284710" w:rsidRPr="00FE5AE4">
        <w:rPr>
          <w:sz w:val="23"/>
          <w:szCs w:val="23"/>
        </w:rPr>
        <w:t>drop,</w:t>
      </w:r>
      <w:r w:rsidR="00FC0819" w:rsidRPr="00FE5AE4">
        <w:rPr>
          <w:sz w:val="23"/>
          <w:szCs w:val="23"/>
        </w:rPr>
        <w:t xml:space="preserve"> and benefit</w:t>
      </w:r>
      <w:r w:rsidR="009E4405" w:rsidRPr="00FE5AE4">
        <w:rPr>
          <w:sz w:val="23"/>
          <w:szCs w:val="23"/>
        </w:rPr>
        <w:t>s can still be seen today</w:t>
      </w:r>
      <w:r w:rsidR="00FC0819" w:rsidRPr="00FE5AE4">
        <w:rPr>
          <w:sz w:val="23"/>
          <w:szCs w:val="23"/>
        </w:rPr>
        <w:t xml:space="preserve"> from increased (but lighter weight) armor.</w:t>
      </w:r>
      <w:r w:rsidR="00C566A7" w:rsidRPr="00FE5AE4">
        <w:rPr>
          <w:sz w:val="23"/>
          <w:szCs w:val="23"/>
        </w:rPr>
        <w:t xml:space="preserve">  </w:t>
      </w:r>
      <w:r w:rsidR="00992BC1" w:rsidRPr="00FE5AE4">
        <w:rPr>
          <w:sz w:val="23"/>
          <w:szCs w:val="23"/>
        </w:rPr>
        <w:t xml:space="preserve">Combat survival rates began to rise as </w:t>
      </w:r>
      <w:r w:rsidR="00992BC1" w:rsidRPr="00FE5AE4">
        <w:rPr>
          <w:rFonts w:ascii="Times New Roman" w:eastAsia="Times New Roman" w:hAnsi="Times New Roman" w:cs="Times New Roman"/>
          <w:sz w:val="23"/>
          <w:szCs w:val="23"/>
          <w:lang w:eastAsia="en-US"/>
        </w:rPr>
        <w:t>90.4% of all wounded troops survived their injuries</w:t>
      </w:r>
      <w:r w:rsidR="00992BC1" w:rsidRPr="00FE5AE4">
        <w:rPr>
          <w:rStyle w:val="FootnoteReference"/>
          <w:rFonts w:ascii="Times New Roman" w:eastAsia="Times New Roman" w:hAnsi="Times New Roman" w:cs="Times New Roman"/>
          <w:sz w:val="23"/>
          <w:szCs w:val="23"/>
          <w:lang w:eastAsia="en-US"/>
        </w:rPr>
        <w:footnoteReference w:id="2"/>
      </w:r>
      <w:r w:rsidR="00992BC1" w:rsidRPr="00FE5AE4">
        <w:rPr>
          <w:rFonts w:ascii="Times New Roman" w:eastAsia="Times New Roman" w:hAnsi="Times New Roman" w:cs="Times New Roman"/>
          <w:sz w:val="23"/>
          <w:szCs w:val="23"/>
          <w:lang w:eastAsia="en-US"/>
        </w:rPr>
        <w:t xml:space="preserve"> as compared to the 86.4% in Vietnam.</w:t>
      </w:r>
      <w:r w:rsidR="00992BC1" w:rsidRPr="00FE5AE4">
        <w:rPr>
          <w:rStyle w:val="FootnoteReference"/>
          <w:rFonts w:ascii="Times New Roman" w:eastAsia="Times New Roman" w:hAnsi="Times New Roman" w:cs="Times New Roman"/>
          <w:sz w:val="23"/>
          <w:szCs w:val="23"/>
          <w:lang w:eastAsia="en-US"/>
        </w:rPr>
        <w:footnoteReference w:id="3"/>
      </w:r>
      <w:r w:rsidR="00992BC1" w:rsidRPr="00FE5AE4">
        <w:rPr>
          <w:rFonts w:ascii="Times New Roman" w:eastAsia="Times New Roman" w:hAnsi="Times New Roman" w:cs="Times New Roman"/>
          <w:sz w:val="23"/>
          <w:szCs w:val="23"/>
          <w:lang w:eastAsia="en-US"/>
        </w:rPr>
        <w:t xml:space="preserve">  Much of these drastic improvements can be attributed to technological improvements</w:t>
      </w:r>
      <w:r w:rsidR="009E4405" w:rsidRPr="00FE5AE4">
        <w:rPr>
          <w:rFonts w:ascii="Times New Roman" w:eastAsia="Times New Roman" w:hAnsi="Times New Roman" w:cs="Times New Roman"/>
          <w:sz w:val="23"/>
          <w:szCs w:val="23"/>
          <w:lang w:eastAsia="en-US"/>
        </w:rPr>
        <w:t xml:space="preserve"> made during the early part of the new millennium</w:t>
      </w:r>
      <w:r w:rsidR="00992BC1" w:rsidRPr="00FE5AE4">
        <w:rPr>
          <w:rFonts w:ascii="Times New Roman" w:eastAsia="Times New Roman" w:hAnsi="Times New Roman" w:cs="Times New Roman"/>
          <w:sz w:val="23"/>
          <w:szCs w:val="23"/>
          <w:lang w:eastAsia="en-US"/>
        </w:rPr>
        <w:t>.</w:t>
      </w:r>
    </w:p>
    <w:p w14:paraId="25723197" w14:textId="361FDFD1" w:rsidR="00812FD5" w:rsidRPr="00FE5AE4" w:rsidRDefault="00C566A7" w:rsidP="00E20203">
      <w:pPr>
        <w:rPr>
          <w:sz w:val="23"/>
          <w:szCs w:val="23"/>
        </w:rPr>
      </w:pPr>
      <w:r w:rsidRPr="00FE5AE4">
        <w:rPr>
          <w:sz w:val="23"/>
          <w:szCs w:val="23"/>
        </w:rPr>
        <w:t>These are examples of technology adaptation to the environment that troops were facing.  The innovation came from those who were desiring to survive and accomplish the mission vs. a proactive approach of anticipatory military innovation that would be seen with air superiority and dominant command and control systems 10 years in</w:t>
      </w:r>
      <w:r w:rsidR="009E4405" w:rsidRPr="00FE5AE4">
        <w:rPr>
          <w:sz w:val="23"/>
          <w:szCs w:val="23"/>
        </w:rPr>
        <w:t>to</w:t>
      </w:r>
      <w:r w:rsidRPr="00FE5AE4">
        <w:rPr>
          <w:sz w:val="23"/>
          <w:szCs w:val="23"/>
        </w:rPr>
        <w:t xml:space="preserve"> the future.</w:t>
      </w:r>
    </w:p>
    <w:p w14:paraId="315D8A50" w14:textId="0E538366" w:rsidR="00A04818" w:rsidRPr="00FE5AE4" w:rsidRDefault="00A04818" w:rsidP="00BA2E3A">
      <w:pPr>
        <w:rPr>
          <w:sz w:val="23"/>
          <w:szCs w:val="23"/>
        </w:rPr>
      </w:pPr>
      <w:r w:rsidRPr="00FE5AE4">
        <w:rPr>
          <w:sz w:val="23"/>
          <w:szCs w:val="23"/>
        </w:rPr>
        <w:t>As an Intelligence professional at the Corps level</w:t>
      </w:r>
      <w:r w:rsidR="00C566A7" w:rsidRPr="00FE5AE4">
        <w:rPr>
          <w:sz w:val="23"/>
          <w:szCs w:val="23"/>
        </w:rPr>
        <w:t xml:space="preserve"> in 2005</w:t>
      </w:r>
      <w:r w:rsidRPr="00FE5AE4">
        <w:rPr>
          <w:sz w:val="23"/>
          <w:szCs w:val="23"/>
        </w:rPr>
        <w:t xml:space="preserve">, </w:t>
      </w:r>
      <w:r w:rsidRPr="00FE5AE4">
        <w:rPr>
          <w:b/>
          <w:bCs/>
          <w:sz w:val="23"/>
          <w:szCs w:val="23"/>
        </w:rPr>
        <w:t>Operational level</w:t>
      </w:r>
      <w:r w:rsidRPr="00FE5AE4">
        <w:rPr>
          <w:sz w:val="23"/>
          <w:szCs w:val="23"/>
        </w:rPr>
        <w:t xml:space="preserve"> planning and execution were daily duties.  </w:t>
      </w:r>
      <w:r w:rsidR="00BA2E3A" w:rsidRPr="00FE5AE4">
        <w:rPr>
          <w:sz w:val="23"/>
          <w:szCs w:val="23"/>
        </w:rPr>
        <w:t xml:space="preserve">The </w:t>
      </w:r>
      <w:r w:rsidR="00E74F81" w:rsidRPr="00FE5AE4">
        <w:rPr>
          <w:sz w:val="23"/>
          <w:szCs w:val="23"/>
        </w:rPr>
        <w:t>Operation</w:t>
      </w:r>
      <w:r w:rsidR="00BA2E3A" w:rsidRPr="00FE5AE4">
        <w:rPr>
          <w:sz w:val="23"/>
          <w:szCs w:val="23"/>
        </w:rPr>
        <w:t>al level of war</w:t>
      </w:r>
      <w:r w:rsidR="00E74F81" w:rsidRPr="00FE5AE4">
        <w:rPr>
          <w:sz w:val="23"/>
          <w:szCs w:val="23"/>
        </w:rPr>
        <w:t xml:space="preserve"> as defined by Joint Publication-3 (JP-3) </w:t>
      </w:r>
      <w:r w:rsidR="00E74F81" w:rsidRPr="00FE5AE4">
        <w:rPr>
          <w:sz w:val="23"/>
          <w:szCs w:val="23"/>
        </w:rPr>
        <w:lastRenderedPageBreak/>
        <w:t>“</w:t>
      </w:r>
      <w:r w:rsidR="00BA2E3A" w:rsidRPr="00FE5AE4">
        <w:rPr>
          <w:sz w:val="23"/>
          <w:szCs w:val="23"/>
        </w:rPr>
        <w:t>The operational level of warfare links the tactical employment of forces to national strategic objectives.</w:t>
      </w:r>
      <w:r w:rsidR="00E74F81" w:rsidRPr="00FE5AE4">
        <w:rPr>
          <w:sz w:val="23"/>
          <w:szCs w:val="23"/>
        </w:rPr>
        <w:t>”</w:t>
      </w:r>
      <w:r w:rsidR="00BA2E3A" w:rsidRPr="00FE5AE4">
        <w:rPr>
          <w:rStyle w:val="FootnoteReference"/>
          <w:sz w:val="23"/>
          <w:szCs w:val="23"/>
        </w:rPr>
        <w:t xml:space="preserve"> </w:t>
      </w:r>
      <w:r w:rsidR="00E74F81" w:rsidRPr="00FE5AE4">
        <w:rPr>
          <w:sz w:val="23"/>
          <w:szCs w:val="23"/>
        </w:rPr>
        <w:t xml:space="preserve"> Interpreting national level guidance and building an operational plan in an unconventional fight against Al Qaida is a monumental task for any staff.  Months of preparation time to interpret National Security Strategy</w:t>
      </w:r>
      <w:r w:rsidR="00E67329" w:rsidRPr="00FE5AE4">
        <w:rPr>
          <w:sz w:val="23"/>
          <w:szCs w:val="23"/>
        </w:rPr>
        <w:t xml:space="preserve"> (NSS)</w:t>
      </w:r>
      <w:r w:rsidR="00E74F81" w:rsidRPr="00FE5AE4">
        <w:rPr>
          <w:sz w:val="23"/>
          <w:szCs w:val="23"/>
        </w:rPr>
        <w:t>, guidance from Theater Combatant Commanders</w:t>
      </w:r>
      <w:r w:rsidR="00E67329" w:rsidRPr="00FE5AE4">
        <w:rPr>
          <w:sz w:val="23"/>
          <w:szCs w:val="23"/>
        </w:rPr>
        <w:t xml:space="preserve"> (i.e. </w:t>
      </w:r>
      <w:r w:rsidR="00BD4548" w:rsidRPr="00FE5AE4">
        <w:rPr>
          <w:sz w:val="23"/>
          <w:szCs w:val="23"/>
        </w:rPr>
        <w:t xml:space="preserve">U.S. Central Command / </w:t>
      </w:r>
      <w:r w:rsidR="00E67329" w:rsidRPr="00FE5AE4">
        <w:rPr>
          <w:sz w:val="23"/>
          <w:szCs w:val="23"/>
        </w:rPr>
        <w:t>CENTCOM)</w:t>
      </w:r>
      <w:r w:rsidR="00E74F81" w:rsidRPr="00FE5AE4">
        <w:rPr>
          <w:sz w:val="23"/>
          <w:szCs w:val="23"/>
        </w:rPr>
        <w:t>, and secure video teleconferences (SVTC) to shape the plan was a heavy load for our team.  Operational objectives</w:t>
      </w:r>
      <w:r w:rsidR="00E67329" w:rsidRPr="00FE5AE4">
        <w:rPr>
          <w:sz w:val="23"/>
          <w:szCs w:val="23"/>
        </w:rPr>
        <w:t xml:space="preserve"> built into a campaign plan incorporated </w:t>
      </w:r>
      <w:r w:rsidR="003B0618" w:rsidRPr="00FE5AE4">
        <w:rPr>
          <w:sz w:val="23"/>
          <w:szCs w:val="23"/>
        </w:rPr>
        <w:t>long-range</w:t>
      </w:r>
      <w:r w:rsidR="00E67329" w:rsidRPr="00FE5AE4">
        <w:rPr>
          <w:sz w:val="23"/>
          <w:szCs w:val="23"/>
        </w:rPr>
        <w:t xml:space="preserve"> objectives that </w:t>
      </w:r>
      <w:r w:rsidR="009E4405" w:rsidRPr="00FE5AE4">
        <w:rPr>
          <w:sz w:val="23"/>
          <w:szCs w:val="23"/>
        </w:rPr>
        <w:t xml:space="preserve">were </w:t>
      </w:r>
      <w:r w:rsidR="00E67329" w:rsidRPr="00FE5AE4">
        <w:rPr>
          <w:sz w:val="23"/>
          <w:szCs w:val="23"/>
        </w:rPr>
        <w:t xml:space="preserve">measurable and would </w:t>
      </w:r>
      <w:r w:rsidR="003B0618" w:rsidRPr="00FE5AE4">
        <w:rPr>
          <w:sz w:val="23"/>
          <w:szCs w:val="23"/>
        </w:rPr>
        <w:t xml:space="preserve">be </w:t>
      </w:r>
      <w:r w:rsidR="00E67329" w:rsidRPr="00FE5AE4">
        <w:rPr>
          <w:sz w:val="23"/>
          <w:szCs w:val="23"/>
        </w:rPr>
        <w:t>achieved over time</w:t>
      </w:r>
      <w:r w:rsidR="009E4405" w:rsidRPr="00FE5AE4">
        <w:rPr>
          <w:sz w:val="23"/>
          <w:szCs w:val="23"/>
        </w:rPr>
        <w:t xml:space="preserve"> </w:t>
      </w:r>
      <w:r w:rsidR="00E67329" w:rsidRPr="00FE5AE4">
        <w:rPr>
          <w:sz w:val="23"/>
          <w:szCs w:val="23"/>
        </w:rPr>
        <w:t xml:space="preserve">phases.  The intelligence portion of the planning included threat predictions and forecast that were mostly inaccurate in the beginning.  Later there would be lengthy </w:t>
      </w:r>
      <w:r w:rsidR="00F276DD" w:rsidRPr="00FE5AE4">
        <w:rPr>
          <w:sz w:val="23"/>
          <w:szCs w:val="23"/>
        </w:rPr>
        <w:t>after-action</w:t>
      </w:r>
      <w:r w:rsidR="00E67329" w:rsidRPr="00FE5AE4">
        <w:rPr>
          <w:sz w:val="23"/>
          <w:szCs w:val="23"/>
        </w:rPr>
        <w:t xml:space="preserve"> reports and reviews that would </w:t>
      </w:r>
      <w:r w:rsidR="009D4366" w:rsidRPr="00FE5AE4">
        <w:rPr>
          <w:sz w:val="23"/>
          <w:szCs w:val="23"/>
        </w:rPr>
        <w:t>identify</w:t>
      </w:r>
      <w:r w:rsidR="00E67329" w:rsidRPr="00FE5AE4">
        <w:rPr>
          <w:sz w:val="23"/>
          <w:szCs w:val="23"/>
        </w:rPr>
        <w:t xml:space="preserve"> </w:t>
      </w:r>
      <w:r w:rsidR="00F276DD" w:rsidRPr="00FE5AE4">
        <w:rPr>
          <w:b/>
          <w:bCs/>
          <w:sz w:val="23"/>
          <w:szCs w:val="23"/>
        </w:rPr>
        <w:t>analytical</w:t>
      </w:r>
      <w:r w:rsidR="00E67329" w:rsidRPr="00FE5AE4">
        <w:rPr>
          <w:b/>
          <w:bCs/>
          <w:sz w:val="23"/>
          <w:szCs w:val="23"/>
        </w:rPr>
        <w:t xml:space="preserve"> bias</w:t>
      </w:r>
      <w:r w:rsidR="00E67329" w:rsidRPr="00FE5AE4">
        <w:rPr>
          <w:sz w:val="23"/>
          <w:szCs w:val="23"/>
        </w:rPr>
        <w:t xml:space="preserve"> by experienced and inexperienced analysts.  One common bias trend was called </w:t>
      </w:r>
      <w:r w:rsidR="00E74F81" w:rsidRPr="00FE5AE4">
        <w:rPr>
          <w:sz w:val="23"/>
          <w:szCs w:val="23"/>
        </w:rPr>
        <w:t>“mirror imaging” which is “</w:t>
      </w:r>
      <w:r w:rsidR="00F276DD" w:rsidRPr="00FE5AE4">
        <w:rPr>
          <w:sz w:val="23"/>
          <w:szCs w:val="23"/>
        </w:rPr>
        <w:t>the analysts' assumption that the people being studied think like the analysts themselves.</w:t>
      </w:r>
      <w:r w:rsidR="00E74F81" w:rsidRPr="00FE5AE4">
        <w:rPr>
          <w:sz w:val="23"/>
          <w:szCs w:val="23"/>
        </w:rPr>
        <w:t>”</w:t>
      </w:r>
      <w:r w:rsidR="00F276DD" w:rsidRPr="00FE5AE4">
        <w:rPr>
          <w:rStyle w:val="FootnoteReference"/>
          <w:sz w:val="23"/>
          <w:szCs w:val="23"/>
        </w:rPr>
        <w:footnoteReference w:id="4"/>
      </w:r>
      <w:r w:rsidR="00F276DD" w:rsidRPr="00FE5AE4">
        <w:rPr>
          <w:sz w:val="23"/>
          <w:szCs w:val="23"/>
        </w:rPr>
        <w:t xml:space="preserve"> </w:t>
      </w:r>
      <w:r w:rsidR="009E4405" w:rsidRPr="00FE5AE4">
        <w:rPr>
          <w:sz w:val="23"/>
          <w:szCs w:val="23"/>
        </w:rPr>
        <w:t>Analytical bias such as mirror imaging lead to miscalculations and are often the biggest contributor to intelligence failures which open commanders up to surprise and ultimately failure if left without correction.</w:t>
      </w:r>
    </w:p>
    <w:p w14:paraId="2BF2C463" w14:textId="34E486A5" w:rsidR="00796317" w:rsidRPr="00FE5AE4" w:rsidRDefault="00E74F81" w:rsidP="00E20203">
      <w:pPr>
        <w:rPr>
          <w:sz w:val="23"/>
          <w:szCs w:val="23"/>
        </w:rPr>
      </w:pPr>
      <w:r w:rsidRPr="00FE5AE4">
        <w:rPr>
          <w:sz w:val="23"/>
          <w:szCs w:val="23"/>
        </w:rPr>
        <w:t>Once deployed into Theater</w:t>
      </w:r>
      <w:r w:rsidR="009D4366" w:rsidRPr="00FE5AE4">
        <w:rPr>
          <w:sz w:val="23"/>
          <w:szCs w:val="23"/>
        </w:rPr>
        <w:t>,</w:t>
      </w:r>
      <w:r w:rsidRPr="00FE5AE4">
        <w:rPr>
          <w:sz w:val="23"/>
          <w:szCs w:val="23"/>
        </w:rPr>
        <w:t xml:space="preserve"> all the things we</w:t>
      </w:r>
      <w:r w:rsidR="00862186" w:rsidRPr="00FE5AE4">
        <w:rPr>
          <w:sz w:val="23"/>
          <w:szCs w:val="23"/>
        </w:rPr>
        <w:t xml:space="preserve"> learned</w:t>
      </w:r>
      <w:r w:rsidRPr="00FE5AE4">
        <w:rPr>
          <w:sz w:val="23"/>
          <w:szCs w:val="23"/>
        </w:rPr>
        <w:t xml:space="preserve"> in school </w:t>
      </w:r>
      <w:r w:rsidR="009E4405" w:rsidRPr="00FE5AE4">
        <w:rPr>
          <w:sz w:val="23"/>
          <w:szCs w:val="23"/>
        </w:rPr>
        <w:t xml:space="preserve">and during preparation </w:t>
      </w:r>
      <w:r w:rsidRPr="00FE5AE4">
        <w:rPr>
          <w:sz w:val="23"/>
          <w:szCs w:val="23"/>
        </w:rPr>
        <w:t>were practically played out</w:t>
      </w:r>
      <w:r w:rsidR="00862186" w:rsidRPr="00FE5AE4">
        <w:rPr>
          <w:sz w:val="23"/>
          <w:szCs w:val="23"/>
        </w:rPr>
        <w:t xml:space="preserve"> on the ground</w:t>
      </w:r>
      <w:r w:rsidRPr="00FE5AE4">
        <w:rPr>
          <w:sz w:val="23"/>
          <w:szCs w:val="23"/>
        </w:rPr>
        <w:t xml:space="preserve">.  </w:t>
      </w:r>
      <w:r w:rsidR="003B0618" w:rsidRPr="00FE5AE4">
        <w:rPr>
          <w:sz w:val="23"/>
          <w:szCs w:val="23"/>
        </w:rPr>
        <w:t xml:space="preserve">The importance of the </w:t>
      </w:r>
      <w:r w:rsidR="00BD4548" w:rsidRPr="00FE5AE4">
        <w:rPr>
          <w:sz w:val="23"/>
          <w:szCs w:val="23"/>
        </w:rPr>
        <w:t>six-step</w:t>
      </w:r>
      <w:r w:rsidR="00766FD7" w:rsidRPr="00FE5AE4">
        <w:rPr>
          <w:sz w:val="23"/>
          <w:szCs w:val="23"/>
        </w:rPr>
        <w:t xml:space="preserve"> </w:t>
      </w:r>
      <w:r w:rsidR="00862186" w:rsidRPr="00FE5AE4">
        <w:rPr>
          <w:b/>
          <w:bCs/>
          <w:sz w:val="23"/>
          <w:szCs w:val="23"/>
        </w:rPr>
        <w:t>i</w:t>
      </w:r>
      <w:r w:rsidRPr="00FE5AE4">
        <w:rPr>
          <w:b/>
          <w:bCs/>
          <w:sz w:val="23"/>
          <w:szCs w:val="23"/>
        </w:rPr>
        <w:t xml:space="preserve">ntelligence </w:t>
      </w:r>
      <w:r w:rsidR="00862186" w:rsidRPr="00FE5AE4">
        <w:rPr>
          <w:b/>
          <w:bCs/>
          <w:sz w:val="23"/>
          <w:szCs w:val="23"/>
        </w:rPr>
        <w:t>c</w:t>
      </w:r>
      <w:r w:rsidRPr="00FE5AE4">
        <w:rPr>
          <w:b/>
          <w:bCs/>
          <w:sz w:val="23"/>
          <w:szCs w:val="23"/>
        </w:rPr>
        <w:t>ycle</w:t>
      </w:r>
      <w:r w:rsidRPr="00FE5AE4">
        <w:rPr>
          <w:sz w:val="23"/>
          <w:szCs w:val="23"/>
        </w:rPr>
        <w:t xml:space="preserve"> </w:t>
      </w:r>
      <w:r w:rsidR="003B0618" w:rsidRPr="00FE5AE4">
        <w:rPr>
          <w:sz w:val="23"/>
          <w:szCs w:val="23"/>
        </w:rPr>
        <w:t>from</w:t>
      </w:r>
      <w:r w:rsidR="00766FD7" w:rsidRPr="00FE5AE4">
        <w:rPr>
          <w:sz w:val="23"/>
          <w:szCs w:val="23"/>
        </w:rPr>
        <w:t>:</w:t>
      </w:r>
      <w:r w:rsidR="003B0618" w:rsidRPr="00FE5AE4">
        <w:rPr>
          <w:sz w:val="23"/>
          <w:szCs w:val="23"/>
        </w:rPr>
        <w:t xml:space="preserve"> collection</w:t>
      </w:r>
      <w:r w:rsidR="00862186" w:rsidRPr="00FE5AE4">
        <w:rPr>
          <w:sz w:val="23"/>
          <w:szCs w:val="23"/>
        </w:rPr>
        <w:t xml:space="preserve"> of intelligence</w:t>
      </w:r>
      <w:r w:rsidR="003B0618" w:rsidRPr="00FE5AE4">
        <w:rPr>
          <w:sz w:val="23"/>
          <w:szCs w:val="23"/>
        </w:rPr>
        <w:t xml:space="preserve"> to </w:t>
      </w:r>
      <w:r w:rsidR="00862186" w:rsidRPr="00FE5AE4">
        <w:rPr>
          <w:sz w:val="23"/>
          <w:szCs w:val="23"/>
        </w:rPr>
        <w:t xml:space="preserve">planning and direction, through </w:t>
      </w:r>
      <w:r w:rsidR="00766FD7" w:rsidRPr="00FE5AE4">
        <w:rPr>
          <w:sz w:val="23"/>
          <w:szCs w:val="23"/>
        </w:rPr>
        <w:t xml:space="preserve">collection, </w:t>
      </w:r>
      <w:r w:rsidR="003B0618" w:rsidRPr="00FE5AE4">
        <w:rPr>
          <w:sz w:val="23"/>
          <w:szCs w:val="23"/>
        </w:rPr>
        <w:t>process</w:t>
      </w:r>
      <w:r w:rsidR="00862186" w:rsidRPr="00FE5AE4">
        <w:rPr>
          <w:sz w:val="23"/>
          <w:szCs w:val="23"/>
        </w:rPr>
        <w:t>ing</w:t>
      </w:r>
      <w:r w:rsidR="003B0618" w:rsidRPr="00FE5AE4">
        <w:rPr>
          <w:sz w:val="23"/>
          <w:szCs w:val="23"/>
        </w:rPr>
        <w:t>, exploitation</w:t>
      </w:r>
      <w:r w:rsidR="00766FD7" w:rsidRPr="00FE5AE4">
        <w:rPr>
          <w:sz w:val="23"/>
          <w:szCs w:val="23"/>
        </w:rPr>
        <w:t>, analysis</w:t>
      </w:r>
      <w:r w:rsidR="003B0618" w:rsidRPr="00FE5AE4">
        <w:rPr>
          <w:sz w:val="23"/>
          <w:szCs w:val="23"/>
        </w:rPr>
        <w:t xml:space="preserve"> and dissemination to subordinates</w:t>
      </w:r>
      <w:r w:rsidR="00766FD7" w:rsidRPr="00FE5AE4">
        <w:rPr>
          <w:sz w:val="23"/>
          <w:szCs w:val="23"/>
        </w:rPr>
        <w:t>,</w:t>
      </w:r>
      <w:r w:rsidR="003B0618" w:rsidRPr="00FE5AE4">
        <w:rPr>
          <w:sz w:val="23"/>
          <w:szCs w:val="23"/>
        </w:rPr>
        <w:t xml:space="preserve"> was the lifeblood which brought about slow change</w:t>
      </w:r>
      <w:r w:rsidR="00862186" w:rsidRPr="00FE5AE4">
        <w:rPr>
          <w:sz w:val="23"/>
          <w:szCs w:val="23"/>
        </w:rPr>
        <w:t xml:space="preserve"> toward our objectives</w:t>
      </w:r>
      <w:r w:rsidR="003B0618" w:rsidRPr="00FE5AE4">
        <w:rPr>
          <w:sz w:val="23"/>
          <w:szCs w:val="23"/>
        </w:rPr>
        <w:t xml:space="preserve">.  </w:t>
      </w:r>
      <w:r w:rsidR="00766FD7" w:rsidRPr="00FE5AE4">
        <w:rPr>
          <w:sz w:val="23"/>
          <w:szCs w:val="23"/>
        </w:rPr>
        <w:t>Combining the intel cycle w</w:t>
      </w:r>
      <w:r w:rsidR="003B0618" w:rsidRPr="00FE5AE4">
        <w:rPr>
          <w:sz w:val="23"/>
          <w:szCs w:val="23"/>
        </w:rPr>
        <w:t xml:space="preserve">ith a robust Command, Control, Communications Computers and Intelligence (C4I) infrastructure, the intelligence cycle </w:t>
      </w:r>
      <w:r w:rsidR="00766FD7" w:rsidRPr="00FE5AE4">
        <w:rPr>
          <w:sz w:val="23"/>
          <w:szCs w:val="23"/>
        </w:rPr>
        <w:t xml:space="preserve">was a tool which </w:t>
      </w:r>
      <w:r w:rsidR="003B0618" w:rsidRPr="00FE5AE4">
        <w:rPr>
          <w:sz w:val="23"/>
          <w:szCs w:val="23"/>
        </w:rPr>
        <w:t>could quickly turn and kep</w:t>
      </w:r>
      <w:r w:rsidR="00862186" w:rsidRPr="00FE5AE4">
        <w:rPr>
          <w:sz w:val="23"/>
          <w:szCs w:val="23"/>
        </w:rPr>
        <w:t>t</w:t>
      </w:r>
      <w:r w:rsidR="003B0618" w:rsidRPr="00FE5AE4">
        <w:rPr>
          <w:sz w:val="23"/>
          <w:szCs w:val="23"/>
        </w:rPr>
        <w:t xml:space="preserve"> </w:t>
      </w:r>
      <w:r w:rsidR="00862186" w:rsidRPr="00FE5AE4">
        <w:rPr>
          <w:sz w:val="23"/>
          <w:szCs w:val="23"/>
        </w:rPr>
        <w:t xml:space="preserve">the </w:t>
      </w:r>
      <w:r w:rsidR="00766FD7" w:rsidRPr="00FE5AE4">
        <w:rPr>
          <w:sz w:val="23"/>
          <w:szCs w:val="23"/>
        </w:rPr>
        <w:t xml:space="preserve">offensive </w:t>
      </w:r>
      <w:r w:rsidR="003B0618" w:rsidRPr="00FE5AE4">
        <w:rPr>
          <w:sz w:val="23"/>
          <w:szCs w:val="23"/>
        </w:rPr>
        <w:t xml:space="preserve">tempo </w:t>
      </w:r>
      <w:r w:rsidR="00862186" w:rsidRPr="00FE5AE4">
        <w:rPr>
          <w:sz w:val="23"/>
          <w:szCs w:val="23"/>
        </w:rPr>
        <w:t>high, creating advantages</w:t>
      </w:r>
      <w:r w:rsidR="003B0618" w:rsidRPr="00FE5AE4">
        <w:rPr>
          <w:sz w:val="23"/>
          <w:szCs w:val="23"/>
        </w:rPr>
        <w:t xml:space="preserve"> </w:t>
      </w:r>
      <w:r w:rsidR="00862186" w:rsidRPr="00FE5AE4">
        <w:rPr>
          <w:sz w:val="23"/>
          <w:szCs w:val="23"/>
        </w:rPr>
        <w:t xml:space="preserve">for our units on the ground.  The continual intelligence process also helped senior commanders from facing </w:t>
      </w:r>
      <w:r w:rsidR="00862186" w:rsidRPr="00FE5AE4">
        <w:rPr>
          <w:b/>
          <w:bCs/>
          <w:sz w:val="23"/>
          <w:szCs w:val="23"/>
        </w:rPr>
        <w:t xml:space="preserve">intelligence surprise </w:t>
      </w:r>
      <w:r w:rsidR="00862186" w:rsidRPr="00FE5AE4">
        <w:rPr>
          <w:sz w:val="23"/>
          <w:szCs w:val="23"/>
        </w:rPr>
        <w:t xml:space="preserve">also </w:t>
      </w:r>
      <w:r w:rsidR="00862186" w:rsidRPr="00FE5AE4">
        <w:rPr>
          <w:sz w:val="23"/>
          <w:szCs w:val="23"/>
        </w:rPr>
        <w:lastRenderedPageBreak/>
        <w:t>known as an intelligence failure.</w:t>
      </w:r>
      <w:r w:rsidR="00766FD7" w:rsidRPr="00FE5AE4">
        <w:rPr>
          <w:sz w:val="23"/>
          <w:szCs w:val="23"/>
        </w:rPr>
        <w:t xml:space="preserve">  </w:t>
      </w:r>
      <w:r w:rsidR="00D6468F" w:rsidRPr="00FE5AE4">
        <w:rPr>
          <w:sz w:val="23"/>
          <w:szCs w:val="23"/>
        </w:rPr>
        <w:t xml:space="preserve">In McDermott ad Uri’s book on Intelligence Success and Failures they write, </w:t>
      </w:r>
    </w:p>
    <w:p w14:paraId="61B468E9" w14:textId="75204CC2" w:rsidR="00E74F81" w:rsidRPr="00FE5AE4" w:rsidRDefault="00D6468F" w:rsidP="009D4366">
      <w:pPr>
        <w:ind w:left="540" w:right="630" w:firstLine="0"/>
        <w:rPr>
          <w:sz w:val="23"/>
          <w:szCs w:val="23"/>
        </w:rPr>
      </w:pPr>
      <w:r w:rsidRPr="00FE5AE4">
        <w:rPr>
          <w:sz w:val="23"/>
          <w:szCs w:val="23"/>
        </w:rPr>
        <w:t>“Intelligence Success and Failure presents a new theory in the study of strategic surprise that claims the key explanation for warning failure is not unintentional action, but rather, motivated biases in key intelligence and central leaders that null any sense of doubt prior to surprise attacks.”</w:t>
      </w:r>
      <w:r w:rsidRPr="00FE5AE4">
        <w:rPr>
          <w:rStyle w:val="FootnoteReference"/>
          <w:sz w:val="23"/>
          <w:szCs w:val="23"/>
        </w:rPr>
        <w:footnoteReference w:id="5"/>
      </w:r>
      <w:r w:rsidRPr="00FE5AE4">
        <w:rPr>
          <w:sz w:val="23"/>
          <w:szCs w:val="23"/>
        </w:rPr>
        <w:t xml:space="preserve">  </w:t>
      </w:r>
      <w:r w:rsidR="00766FD7" w:rsidRPr="00FE5AE4">
        <w:rPr>
          <w:sz w:val="23"/>
          <w:szCs w:val="23"/>
        </w:rPr>
        <w:t>With a process for meticulously focusing limited collection capabilities against only the Commander’s highest priorities, we greatly reduced Intelligence Surprise.</w:t>
      </w:r>
      <w:r w:rsidR="00796317" w:rsidRPr="00FE5AE4">
        <w:rPr>
          <w:sz w:val="23"/>
          <w:szCs w:val="23"/>
        </w:rPr>
        <w:t>”</w:t>
      </w:r>
    </w:p>
    <w:p w14:paraId="732DAD41" w14:textId="7390C118" w:rsidR="00796317" w:rsidRPr="00FE5AE4" w:rsidRDefault="00796317" w:rsidP="00796317">
      <w:pPr>
        <w:ind w:right="720" w:firstLine="0"/>
        <w:rPr>
          <w:sz w:val="23"/>
          <w:szCs w:val="23"/>
        </w:rPr>
      </w:pPr>
      <w:r w:rsidRPr="00FE5AE4">
        <w:rPr>
          <w:sz w:val="23"/>
          <w:szCs w:val="23"/>
        </w:rPr>
        <w:t>As we faced failures, realistic assessments and corrective actions helped to ensure that intelligence surprise did not flow up to the Strategic level and allowed commanders to continue to successfully move toward their objectives.</w:t>
      </w:r>
    </w:p>
    <w:p w14:paraId="5699F59B" w14:textId="61F77455" w:rsidR="00E74F81" w:rsidRPr="00FE5AE4" w:rsidRDefault="00E74F81" w:rsidP="00E20203">
      <w:pPr>
        <w:rPr>
          <w:sz w:val="23"/>
          <w:szCs w:val="23"/>
        </w:rPr>
      </w:pPr>
      <w:r w:rsidRPr="00FE5AE4">
        <w:rPr>
          <w:sz w:val="23"/>
          <w:szCs w:val="23"/>
        </w:rPr>
        <w:t xml:space="preserve">In 2018, we were tasked with providing command and control for all Special Operations in Northern Iraq.  The battlespace was </w:t>
      </w:r>
      <w:r w:rsidR="00FC71FC" w:rsidRPr="00FE5AE4">
        <w:rPr>
          <w:sz w:val="23"/>
          <w:szCs w:val="23"/>
        </w:rPr>
        <w:t>huge,</w:t>
      </w:r>
      <w:r w:rsidRPr="00FE5AE4">
        <w:rPr>
          <w:sz w:val="23"/>
          <w:szCs w:val="23"/>
        </w:rPr>
        <w:t xml:space="preserve"> and the guidance was limited.  The </w:t>
      </w:r>
      <w:r w:rsidR="00862186" w:rsidRPr="00FE5AE4">
        <w:rPr>
          <w:b/>
          <w:bCs/>
          <w:sz w:val="23"/>
          <w:szCs w:val="23"/>
        </w:rPr>
        <w:t>s</w:t>
      </w:r>
      <w:r w:rsidRPr="00FE5AE4">
        <w:rPr>
          <w:b/>
          <w:bCs/>
          <w:sz w:val="23"/>
          <w:szCs w:val="23"/>
        </w:rPr>
        <w:t>trategic environment</w:t>
      </w:r>
      <w:r w:rsidRPr="00FE5AE4">
        <w:rPr>
          <w:sz w:val="23"/>
          <w:szCs w:val="23"/>
        </w:rPr>
        <w:t xml:space="preserve"> </w:t>
      </w:r>
      <w:r w:rsidR="00C8571F" w:rsidRPr="00FE5AE4">
        <w:rPr>
          <w:sz w:val="23"/>
          <w:szCs w:val="23"/>
        </w:rPr>
        <w:t xml:space="preserve">and </w:t>
      </w:r>
      <w:r w:rsidR="00862186" w:rsidRPr="00FE5AE4">
        <w:rPr>
          <w:b/>
          <w:bCs/>
          <w:sz w:val="23"/>
          <w:szCs w:val="23"/>
        </w:rPr>
        <w:t>n</w:t>
      </w:r>
      <w:r w:rsidR="00C8571F" w:rsidRPr="00FE5AE4">
        <w:rPr>
          <w:b/>
          <w:bCs/>
          <w:sz w:val="23"/>
          <w:szCs w:val="23"/>
        </w:rPr>
        <w:t xml:space="preserve">ational </w:t>
      </w:r>
      <w:r w:rsidR="00862186" w:rsidRPr="00FE5AE4">
        <w:rPr>
          <w:b/>
          <w:bCs/>
          <w:sz w:val="23"/>
          <w:szCs w:val="23"/>
        </w:rPr>
        <w:t>s</w:t>
      </w:r>
      <w:r w:rsidR="00C8571F" w:rsidRPr="00FE5AE4">
        <w:rPr>
          <w:b/>
          <w:bCs/>
          <w:sz w:val="23"/>
          <w:szCs w:val="23"/>
        </w:rPr>
        <w:t xml:space="preserve">ecurity </w:t>
      </w:r>
      <w:r w:rsidR="00862186" w:rsidRPr="00FE5AE4">
        <w:rPr>
          <w:b/>
          <w:bCs/>
          <w:sz w:val="23"/>
          <w:szCs w:val="23"/>
        </w:rPr>
        <w:t>p</w:t>
      </w:r>
      <w:r w:rsidR="00C8571F" w:rsidRPr="00FE5AE4">
        <w:rPr>
          <w:b/>
          <w:bCs/>
          <w:sz w:val="23"/>
          <w:szCs w:val="23"/>
        </w:rPr>
        <w:t>olicy</w:t>
      </w:r>
      <w:r w:rsidR="00C8571F" w:rsidRPr="00FE5AE4">
        <w:rPr>
          <w:sz w:val="23"/>
          <w:szCs w:val="23"/>
        </w:rPr>
        <w:t xml:space="preserve"> </w:t>
      </w:r>
      <w:r w:rsidR="00FC71FC" w:rsidRPr="00FE5AE4">
        <w:rPr>
          <w:sz w:val="23"/>
          <w:szCs w:val="23"/>
        </w:rPr>
        <w:t>were</w:t>
      </w:r>
      <w:r w:rsidRPr="00FE5AE4">
        <w:rPr>
          <w:sz w:val="23"/>
          <w:szCs w:val="23"/>
        </w:rPr>
        <w:t xml:space="preserve"> changing </w:t>
      </w:r>
      <w:r w:rsidR="00C8571F" w:rsidRPr="00FE5AE4">
        <w:rPr>
          <w:sz w:val="23"/>
          <w:szCs w:val="23"/>
        </w:rPr>
        <w:t>drastically</w:t>
      </w:r>
      <w:r w:rsidR="00766FD7" w:rsidRPr="00FE5AE4">
        <w:rPr>
          <w:sz w:val="23"/>
          <w:szCs w:val="23"/>
        </w:rPr>
        <w:t xml:space="preserve"> as we arrived into theater and during our short deployment.  The strategic environment which was visible (like the tip of the iceberg) was the completion of the destruction of the Islamic State of Iraq and Syrian (ISIS) network and the strengthening of our partnered forces who would take the lead in the fight against ISIS.  </w:t>
      </w:r>
      <w:r w:rsidR="00FC71FC" w:rsidRPr="00FE5AE4">
        <w:rPr>
          <w:sz w:val="23"/>
          <w:szCs w:val="23"/>
        </w:rPr>
        <w:t xml:space="preserve">The ontology of the problem was much easier to see and deal with than the epistemology which became </w:t>
      </w:r>
      <w:r w:rsidR="00814C0D" w:rsidRPr="00FE5AE4">
        <w:rPr>
          <w:sz w:val="23"/>
          <w:szCs w:val="23"/>
        </w:rPr>
        <w:t>known</w:t>
      </w:r>
      <w:r w:rsidR="00FC71FC" w:rsidRPr="00FE5AE4">
        <w:rPr>
          <w:sz w:val="23"/>
          <w:szCs w:val="23"/>
        </w:rPr>
        <w:t xml:space="preserve"> a</w:t>
      </w:r>
      <w:r w:rsidR="00766FD7" w:rsidRPr="00FE5AE4">
        <w:rPr>
          <w:sz w:val="23"/>
          <w:szCs w:val="23"/>
        </w:rPr>
        <w:t>s we moved into theater</w:t>
      </w:r>
      <w:r w:rsidR="00FC71FC" w:rsidRPr="00FE5AE4">
        <w:rPr>
          <w:sz w:val="23"/>
          <w:szCs w:val="23"/>
        </w:rPr>
        <w:t xml:space="preserve">.  The friendly operational units of </w:t>
      </w:r>
      <w:r w:rsidR="00766FD7" w:rsidRPr="00FE5AE4">
        <w:rPr>
          <w:sz w:val="23"/>
          <w:szCs w:val="23"/>
        </w:rPr>
        <w:t xml:space="preserve">Shia Militia Groups (SMGs) began to </w:t>
      </w:r>
      <w:r w:rsidR="00FC71FC" w:rsidRPr="00FE5AE4">
        <w:rPr>
          <w:sz w:val="23"/>
          <w:szCs w:val="23"/>
        </w:rPr>
        <w:t xml:space="preserve">become more of a factor and growing internal Iraqi rifts or gaps were being created down secular lines.  Further complicating issues was funding and support that SMGs were receiving from external nation states.  The biggest change which our unit faced in Theater was dealing with Kurdish areas and the withdraw from Syria.  The strategic environment and policy shifted toward Turkey </w:t>
      </w:r>
      <w:r w:rsidR="00FC71FC" w:rsidRPr="00FE5AE4">
        <w:rPr>
          <w:sz w:val="23"/>
          <w:szCs w:val="23"/>
        </w:rPr>
        <w:lastRenderedPageBreak/>
        <w:t xml:space="preserve">abruptly during the deployment and these shifts pushed the limits of our relationship </w:t>
      </w:r>
      <w:r w:rsidR="0020685B" w:rsidRPr="00FE5AE4">
        <w:rPr>
          <w:sz w:val="23"/>
          <w:szCs w:val="23"/>
        </w:rPr>
        <w:t xml:space="preserve">we established with the Kurds </w:t>
      </w:r>
      <w:r w:rsidR="00FC71FC" w:rsidRPr="00FE5AE4">
        <w:rPr>
          <w:sz w:val="23"/>
          <w:szCs w:val="23"/>
        </w:rPr>
        <w:t>while simultaneously creating additional threats flowing across Syria into Iraq.</w:t>
      </w:r>
      <w:r w:rsidR="0020685B" w:rsidRPr="00FE5AE4">
        <w:rPr>
          <w:sz w:val="23"/>
          <w:szCs w:val="23"/>
        </w:rPr>
        <w:t xml:space="preserve">  Fortunately, the order for immediate withdraw from Syria was rescinded and a critical factor of time was added which ensured proper reworking of the planning and analysis to ensure a highly likelihood of success of national future objectives and completion of current required operational objectives.  The throttle of time is something commanders in Theaters of war are continually fighting for and against to ensure success</w:t>
      </w:r>
      <w:r w:rsidR="00F72DB0" w:rsidRPr="00FE5AE4">
        <w:rPr>
          <w:sz w:val="23"/>
          <w:szCs w:val="23"/>
        </w:rPr>
        <w:t xml:space="preserve"> because of the environment and an enemy which almost never cooperates</w:t>
      </w:r>
      <w:r w:rsidR="0020685B" w:rsidRPr="00FE5AE4">
        <w:rPr>
          <w:sz w:val="23"/>
          <w:szCs w:val="23"/>
        </w:rPr>
        <w:t>.</w:t>
      </w:r>
    </w:p>
    <w:p w14:paraId="2693755F" w14:textId="7223E7BA" w:rsidR="00C8571F" w:rsidRPr="00FE5AE4" w:rsidRDefault="00C8571F" w:rsidP="00E20203">
      <w:pPr>
        <w:rPr>
          <w:sz w:val="23"/>
          <w:szCs w:val="23"/>
        </w:rPr>
      </w:pPr>
      <w:r w:rsidRPr="00FE5AE4">
        <w:rPr>
          <w:sz w:val="23"/>
          <w:szCs w:val="23"/>
        </w:rPr>
        <w:t xml:space="preserve">As we </w:t>
      </w:r>
      <w:r w:rsidR="00F72DB0" w:rsidRPr="00FE5AE4">
        <w:rPr>
          <w:sz w:val="23"/>
          <w:szCs w:val="23"/>
        </w:rPr>
        <w:t>adjusted to our deployment environment, that “</w:t>
      </w:r>
      <w:r w:rsidR="00C566A7" w:rsidRPr="00FE5AE4">
        <w:rPr>
          <w:sz w:val="23"/>
          <w:szCs w:val="23"/>
        </w:rPr>
        <w:t>stomachache</w:t>
      </w:r>
      <w:r w:rsidR="00F72DB0" w:rsidRPr="00FE5AE4">
        <w:rPr>
          <w:sz w:val="23"/>
          <w:szCs w:val="23"/>
        </w:rPr>
        <w:t>” feeling was</w:t>
      </w:r>
      <w:r w:rsidRPr="00FE5AE4">
        <w:rPr>
          <w:sz w:val="23"/>
          <w:szCs w:val="23"/>
        </w:rPr>
        <w:t xml:space="preserve"> almost immediately </w:t>
      </w:r>
      <w:r w:rsidR="00F72DB0" w:rsidRPr="00FE5AE4">
        <w:rPr>
          <w:sz w:val="23"/>
          <w:szCs w:val="23"/>
        </w:rPr>
        <w:t xml:space="preserve">felt.  </w:t>
      </w:r>
      <w:r w:rsidRPr="00FE5AE4">
        <w:rPr>
          <w:sz w:val="23"/>
          <w:szCs w:val="23"/>
        </w:rPr>
        <w:t xml:space="preserve">There was a Strategic offset was occurring before our eyes and the </w:t>
      </w:r>
      <w:r w:rsidRPr="00FE5AE4">
        <w:rPr>
          <w:b/>
          <w:bCs/>
          <w:sz w:val="23"/>
          <w:szCs w:val="23"/>
        </w:rPr>
        <w:t xml:space="preserve">relevancy gap </w:t>
      </w:r>
      <w:r w:rsidRPr="00FE5AE4">
        <w:rPr>
          <w:sz w:val="23"/>
          <w:szCs w:val="23"/>
        </w:rPr>
        <w:t xml:space="preserve">was </w:t>
      </w:r>
      <w:r w:rsidR="009D4366" w:rsidRPr="00FE5AE4">
        <w:rPr>
          <w:sz w:val="23"/>
          <w:szCs w:val="23"/>
        </w:rPr>
        <w:t>upon us</w:t>
      </w:r>
      <w:r w:rsidRPr="00FE5AE4">
        <w:rPr>
          <w:sz w:val="23"/>
          <w:szCs w:val="23"/>
        </w:rPr>
        <w:t xml:space="preserve">, Shia Militia Groups and </w:t>
      </w:r>
      <w:r w:rsidR="006D6E5B" w:rsidRPr="00FE5AE4">
        <w:rPr>
          <w:sz w:val="23"/>
          <w:szCs w:val="23"/>
        </w:rPr>
        <w:t xml:space="preserve">their </w:t>
      </w:r>
      <w:r w:rsidRPr="00FE5AE4">
        <w:rPr>
          <w:sz w:val="23"/>
          <w:szCs w:val="23"/>
        </w:rPr>
        <w:t>ties to other nation states</w:t>
      </w:r>
      <w:r w:rsidR="00796317" w:rsidRPr="00FE5AE4">
        <w:rPr>
          <w:sz w:val="23"/>
          <w:szCs w:val="23"/>
        </w:rPr>
        <w:t>.</w:t>
      </w:r>
      <w:r w:rsidR="006D6E5B" w:rsidRPr="00FE5AE4">
        <w:rPr>
          <w:sz w:val="23"/>
          <w:szCs w:val="23"/>
        </w:rPr>
        <w:t xml:space="preserve">  The tactical defeat of ISIS was </w:t>
      </w:r>
      <w:r w:rsidR="00104788" w:rsidRPr="00FE5AE4">
        <w:rPr>
          <w:sz w:val="23"/>
          <w:szCs w:val="23"/>
        </w:rPr>
        <w:t>obvious,</w:t>
      </w:r>
      <w:r w:rsidR="006D6E5B" w:rsidRPr="00FE5AE4">
        <w:rPr>
          <w:sz w:val="23"/>
          <w:szCs w:val="23"/>
        </w:rPr>
        <w:t xml:space="preserve"> and the larger obstacle was being exasperated with the continued decimation of </w:t>
      </w:r>
      <w:r w:rsidR="00104788" w:rsidRPr="00FE5AE4">
        <w:rPr>
          <w:sz w:val="23"/>
          <w:szCs w:val="23"/>
        </w:rPr>
        <w:t>Sunni</w:t>
      </w:r>
      <w:r w:rsidR="006D6E5B" w:rsidRPr="00FE5AE4">
        <w:rPr>
          <w:sz w:val="23"/>
          <w:szCs w:val="23"/>
        </w:rPr>
        <w:t xml:space="preserve"> extremists.  The Iraqi national government began to unwittingly and wittingly give significant support and control over </w:t>
      </w:r>
      <w:r w:rsidR="00104788" w:rsidRPr="00FE5AE4">
        <w:rPr>
          <w:sz w:val="23"/>
          <w:szCs w:val="23"/>
        </w:rPr>
        <w:t xml:space="preserve">major Iraqi national interests </w:t>
      </w:r>
      <w:r w:rsidR="006D6E5B" w:rsidRPr="00FE5AE4">
        <w:rPr>
          <w:sz w:val="23"/>
          <w:szCs w:val="23"/>
        </w:rPr>
        <w:t xml:space="preserve">to SMGs, many of whom were not a part of the official government.  This relevance gap </w:t>
      </w:r>
      <w:r w:rsidR="00104788" w:rsidRPr="00FE5AE4">
        <w:rPr>
          <w:sz w:val="23"/>
          <w:szCs w:val="23"/>
        </w:rPr>
        <w:t>continues,</w:t>
      </w:r>
      <w:r w:rsidR="006D6E5B" w:rsidRPr="00FE5AE4">
        <w:rPr>
          <w:sz w:val="23"/>
          <w:szCs w:val="23"/>
        </w:rPr>
        <w:t xml:space="preserve"> and it will take new guidance to allow commanders abilities to navigate this </w:t>
      </w:r>
      <w:r w:rsidR="006D6E5B" w:rsidRPr="00FE5AE4">
        <w:rPr>
          <w:b/>
          <w:bCs/>
          <w:sz w:val="23"/>
          <w:szCs w:val="23"/>
        </w:rPr>
        <w:t>opposition/difficulty</w:t>
      </w:r>
      <w:r w:rsidR="006D6E5B" w:rsidRPr="00FE5AE4">
        <w:rPr>
          <w:sz w:val="23"/>
          <w:szCs w:val="23"/>
        </w:rPr>
        <w:t xml:space="preserve"> that they face.</w:t>
      </w:r>
      <w:r w:rsidR="00104788" w:rsidRPr="00FE5AE4">
        <w:rPr>
          <w:sz w:val="23"/>
          <w:szCs w:val="23"/>
        </w:rPr>
        <w:t xml:space="preserve">  This gap between the historic and emerging systems has been identified by many tactical and operational commanders but no solution or change in direction has been taken.  An appropriate quote from the book </w:t>
      </w:r>
      <w:r w:rsidR="00104788" w:rsidRPr="00FE5AE4">
        <w:rPr>
          <w:i/>
          <w:iCs/>
          <w:sz w:val="23"/>
          <w:szCs w:val="23"/>
        </w:rPr>
        <w:t>Changes Ahead</w:t>
      </w:r>
      <w:r w:rsidR="00104788" w:rsidRPr="00FE5AE4">
        <w:rPr>
          <w:sz w:val="23"/>
          <w:szCs w:val="23"/>
        </w:rPr>
        <w:t>, “Today's problems stem from yesterday's solutions”</w:t>
      </w:r>
      <w:r w:rsidR="00104788" w:rsidRPr="00FE5AE4">
        <w:rPr>
          <w:rStyle w:val="FootnoteReference"/>
          <w:sz w:val="23"/>
          <w:szCs w:val="23"/>
        </w:rPr>
        <w:footnoteReference w:id="6"/>
      </w:r>
      <w:r w:rsidR="00EB2C25" w:rsidRPr="00FE5AE4">
        <w:rPr>
          <w:sz w:val="23"/>
          <w:szCs w:val="23"/>
        </w:rPr>
        <w:t xml:space="preserve"> couldn’t be a more appropriate quote for this difficulty faced.</w:t>
      </w:r>
      <w:r w:rsidR="006D6E5B" w:rsidRPr="00FE5AE4">
        <w:rPr>
          <w:sz w:val="23"/>
          <w:szCs w:val="23"/>
        </w:rPr>
        <w:t xml:space="preserve"> </w:t>
      </w:r>
      <w:r w:rsidR="00796317" w:rsidRPr="00FE5AE4">
        <w:rPr>
          <w:sz w:val="23"/>
          <w:szCs w:val="23"/>
        </w:rPr>
        <w:t xml:space="preserve">  </w:t>
      </w:r>
    </w:p>
    <w:p w14:paraId="0549AB38" w14:textId="530F6967" w:rsidR="00C8571F" w:rsidRPr="00FE5AE4" w:rsidRDefault="00EB2C25" w:rsidP="006D6E5B">
      <w:pPr>
        <w:rPr>
          <w:sz w:val="23"/>
          <w:szCs w:val="23"/>
        </w:rPr>
      </w:pPr>
      <w:r w:rsidRPr="00FE5AE4">
        <w:rPr>
          <w:sz w:val="23"/>
          <w:szCs w:val="23"/>
        </w:rPr>
        <w:t xml:space="preserve">Closing comments from deployment time in Iraq will focus on </w:t>
      </w:r>
      <w:r w:rsidR="00C8571F" w:rsidRPr="00FE5AE4">
        <w:rPr>
          <w:b/>
          <w:bCs/>
          <w:sz w:val="23"/>
          <w:szCs w:val="23"/>
        </w:rPr>
        <w:t>Strategic Culture</w:t>
      </w:r>
      <w:r w:rsidRPr="00FE5AE4">
        <w:rPr>
          <w:b/>
          <w:bCs/>
          <w:sz w:val="23"/>
          <w:szCs w:val="23"/>
        </w:rPr>
        <w:t xml:space="preserve">.  </w:t>
      </w:r>
      <w:r w:rsidRPr="00FE5AE4">
        <w:rPr>
          <w:sz w:val="23"/>
          <w:szCs w:val="23"/>
        </w:rPr>
        <w:t xml:space="preserve">Strategic Culture is often defined as “a set of values, beliefs, assumptions, narratives, and traditions which influences and sometimes determines an approach (ends, means and ways) of a given strategic </w:t>
      </w:r>
      <w:r w:rsidRPr="00FE5AE4">
        <w:rPr>
          <w:sz w:val="23"/>
          <w:szCs w:val="23"/>
        </w:rPr>
        <w:lastRenderedPageBreak/>
        <w:t>community to the questions of peace and war.”</w:t>
      </w:r>
      <w:r w:rsidRPr="00FE5AE4">
        <w:rPr>
          <w:rStyle w:val="FootnoteReference"/>
          <w:sz w:val="23"/>
          <w:szCs w:val="23"/>
        </w:rPr>
        <w:footnoteReference w:id="7"/>
      </w:r>
      <w:r w:rsidR="00C8571F" w:rsidRPr="00FE5AE4">
        <w:rPr>
          <w:sz w:val="23"/>
          <w:szCs w:val="23"/>
        </w:rPr>
        <w:t xml:space="preserve"> </w:t>
      </w:r>
      <w:r w:rsidR="006A1C98" w:rsidRPr="00FE5AE4">
        <w:rPr>
          <w:sz w:val="23"/>
          <w:szCs w:val="23"/>
        </w:rPr>
        <w:t xml:space="preserve">Our culture can be a major asset but better we understand the culture so we can constantly be checking our bias and make wise future decisions.  Our culture often drives things like innovation.  </w:t>
      </w:r>
      <w:r w:rsidR="00C566A7" w:rsidRPr="00FE5AE4">
        <w:rPr>
          <w:sz w:val="23"/>
          <w:szCs w:val="23"/>
        </w:rPr>
        <w:t xml:space="preserve">With </w:t>
      </w:r>
      <w:r w:rsidR="006A1C98" w:rsidRPr="00FE5AE4">
        <w:rPr>
          <w:sz w:val="23"/>
          <w:szCs w:val="23"/>
        </w:rPr>
        <w:t xml:space="preserve">the U.S. continual </w:t>
      </w:r>
      <w:r w:rsidR="00C566A7" w:rsidRPr="00FE5AE4">
        <w:rPr>
          <w:sz w:val="23"/>
          <w:szCs w:val="23"/>
        </w:rPr>
        <w:t>air superiority</w:t>
      </w:r>
      <w:r w:rsidR="006A1C98" w:rsidRPr="00FE5AE4">
        <w:rPr>
          <w:sz w:val="23"/>
          <w:szCs w:val="23"/>
        </w:rPr>
        <w:t xml:space="preserve"> in major theaters of war since the initial Gulf War in 1990,</w:t>
      </w:r>
      <w:r w:rsidR="00C566A7" w:rsidRPr="00FE5AE4">
        <w:rPr>
          <w:sz w:val="23"/>
          <w:szCs w:val="23"/>
        </w:rPr>
        <w:t xml:space="preserve"> also came </w:t>
      </w:r>
      <w:r w:rsidR="006A1C98" w:rsidRPr="00FE5AE4">
        <w:rPr>
          <w:sz w:val="23"/>
          <w:szCs w:val="23"/>
        </w:rPr>
        <w:t>the desire to further exploit this success</w:t>
      </w:r>
      <w:r w:rsidR="00C566A7" w:rsidRPr="00FE5AE4">
        <w:rPr>
          <w:sz w:val="23"/>
          <w:szCs w:val="23"/>
        </w:rPr>
        <w:t xml:space="preserve">.  </w:t>
      </w:r>
      <w:r w:rsidR="006A1C98" w:rsidRPr="00FE5AE4">
        <w:rPr>
          <w:sz w:val="23"/>
          <w:szCs w:val="23"/>
        </w:rPr>
        <w:t>Technological leaps were also being made in camera resolution, signals intelligence collection capabilities, precision strike and C4I.  This all combined in an anticipatory innovation with unmanned aerial vehicle (UAV) platforms.  This all</w:t>
      </w:r>
      <w:r w:rsidR="009D4366" w:rsidRPr="00FE5AE4">
        <w:rPr>
          <w:sz w:val="23"/>
          <w:szCs w:val="23"/>
        </w:rPr>
        <w:t>-</w:t>
      </w:r>
      <w:r w:rsidR="006A1C98" w:rsidRPr="00FE5AE4">
        <w:rPr>
          <w:sz w:val="23"/>
          <w:szCs w:val="23"/>
        </w:rPr>
        <w:t>in</w:t>
      </w:r>
      <w:r w:rsidR="009D4366" w:rsidRPr="00FE5AE4">
        <w:rPr>
          <w:sz w:val="23"/>
          <w:szCs w:val="23"/>
        </w:rPr>
        <w:t>-</w:t>
      </w:r>
      <w:r w:rsidR="006A1C98" w:rsidRPr="00FE5AE4">
        <w:rPr>
          <w:sz w:val="23"/>
          <w:szCs w:val="23"/>
        </w:rPr>
        <w:t>one standoff platform that performs with nearly god</w:t>
      </w:r>
      <w:r w:rsidR="00E14882" w:rsidRPr="00FE5AE4">
        <w:rPr>
          <w:sz w:val="23"/>
          <w:szCs w:val="23"/>
        </w:rPr>
        <w:t>-</w:t>
      </w:r>
      <w:r w:rsidR="006A1C98" w:rsidRPr="00FE5AE4">
        <w:rPr>
          <w:sz w:val="23"/>
          <w:szCs w:val="23"/>
        </w:rPr>
        <w:t xml:space="preserve">like precision and accuracy has become a massive force multiplier.  Training and organization </w:t>
      </w:r>
      <w:r w:rsidR="00E14882" w:rsidRPr="00FE5AE4">
        <w:rPr>
          <w:sz w:val="23"/>
          <w:szCs w:val="23"/>
        </w:rPr>
        <w:t>have</w:t>
      </w:r>
      <w:r w:rsidR="006A1C98" w:rsidRPr="00FE5AE4">
        <w:rPr>
          <w:sz w:val="23"/>
          <w:szCs w:val="23"/>
        </w:rPr>
        <w:t xml:space="preserve"> seen significant shifts </w:t>
      </w:r>
      <w:r w:rsidR="00284710">
        <w:rPr>
          <w:sz w:val="23"/>
          <w:szCs w:val="23"/>
        </w:rPr>
        <w:t xml:space="preserve">just </w:t>
      </w:r>
      <w:r w:rsidR="006A1C98" w:rsidRPr="00FE5AE4">
        <w:rPr>
          <w:sz w:val="23"/>
          <w:szCs w:val="23"/>
        </w:rPr>
        <w:t xml:space="preserve">based on this one platform.  </w:t>
      </w:r>
      <w:r w:rsidR="00E14882" w:rsidRPr="00FE5AE4">
        <w:rPr>
          <w:sz w:val="23"/>
          <w:szCs w:val="23"/>
        </w:rPr>
        <w:t>If,</w:t>
      </w:r>
      <w:r w:rsidR="00652D2C" w:rsidRPr="00FE5AE4">
        <w:rPr>
          <w:sz w:val="23"/>
          <w:szCs w:val="23"/>
        </w:rPr>
        <w:t xml:space="preserve"> however an air defense threat, strong weather pattern </w:t>
      </w:r>
      <w:r w:rsidR="002F117D" w:rsidRPr="00FE5AE4">
        <w:rPr>
          <w:sz w:val="23"/>
          <w:szCs w:val="23"/>
        </w:rPr>
        <w:t>change</w:t>
      </w:r>
      <w:r w:rsidR="00652D2C" w:rsidRPr="00FE5AE4">
        <w:rPr>
          <w:sz w:val="23"/>
          <w:szCs w:val="23"/>
        </w:rPr>
        <w:t xml:space="preserve"> or mechanical failure occur, forces are left uncovered and commanders are not willing to send troops forward in combat which creates a possible weakness for threat forces to take advantage.  </w:t>
      </w:r>
      <w:r w:rsidR="00E14882" w:rsidRPr="00FE5AE4">
        <w:rPr>
          <w:sz w:val="23"/>
          <w:szCs w:val="23"/>
        </w:rPr>
        <w:t>This is merely one example of the impacts of our culture on innovation and military success.</w:t>
      </w:r>
    </w:p>
    <w:p w14:paraId="2202CE1F" w14:textId="72A88F20" w:rsidR="00E14882" w:rsidRPr="00FE5AE4" w:rsidRDefault="002F117D" w:rsidP="002F117D">
      <w:pPr>
        <w:ind w:firstLine="0"/>
        <w:rPr>
          <w:sz w:val="23"/>
          <w:szCs w:val="23"/>
        </w:rPr>
      </w:pPr>
      <w:r w:rsidRPr="00FE5AE4">
        <w:rPr>
          <w:b/>
          <w:bCs/>
          <w:sz w:val="23"/>
          <w:szCs w:val="23"/>
        </w:rPr>
        <w:tab/>
      </w:r>
      <w:r w:rsidR="00CF119B" w:rsidRPr="00FE5AE4">
        <w:rPr>
          <w:sz w:val="23"/>
          <w:szCs w:val="23"/>
        </w:rPr>
        <w:t>Through two lengthy deployments in the same Area of Operation</w:t>
      </w:r>
      <w:r w:rsidR="009D4366" w:rsidRPr="00FE5AE4">
        <w:rPr>
          <w:sz w:val="23"/>
          <w:szCs w:val="23"/>
        </w:rPr>
        <w:t xml:space="preserve"> against the unconventional threats of Al Qaida and ISIS</w:t>
      </w:r>
      <w:r w:rsidR="00CF119B" w:rsidRPr="00FE5AE4">
        <w:rPr>
          <w:sz w:val="23"/>
          <w:szCs w:val="23"/>
        </w:rPr>
        <w:t>, I am thankful to have gained a broader perspective for the tactical, operational and strategic impacts that affect our national security interests.</w:t>
      </w:r>
    </w:p>
    <w:p w14:paraId="0B877052" w14:textId="560C49A4" w:rsidR="0093068F" w:rsidRPr="00FE5AE4" w:rsidRDefault="005F1636" w:rsidP="002F117D">
      <w:pPr>
        <w:pStyle w:val="SectionTitle"/>
        <w:rPr>
          <w:sz w:val="23"/>
          <w:szCs w:val="23"/>
        </w:rPr>
      </w:pPr>
      <w:r w:rsidRPr="00FE5AE4">
        <w:rPr>
          <w:sz w:val="23"/>
          <w:szCs w:val="23"/>
        </w:rPr>
        <w:lastRenderedPageBreak/>
        <w:t>Works Cited</w:t>
      </w:r>
    </w:p>
    <w:p w14:paraId="49C0A4AF" w14:textId="77777777" w:rsidR="00FE5AE4" w:rsidRDefault="00FE5AE4" w:rsidP="009E4405">
      <w:pPr>
        <w:pStyle w:val="Bibliography"/>
        <w:rPr>
          <w:sz w:val="23"/>
          <w:szCs w:val="23"/>
        </w:rPr>
      </w:pPr>
    </w:p>
    <w:p w14:paraId="4EB20EAD" w14:textId="2706C502" w:rsidR="00EB2C25" w:rsidRPr="00FE5AE4" w:rsidRDefault="00EB2C25" w:rsidP="009E4405">
      <w:pPr>
        <w:pStyle w:val="Bibliography"/>
        <w:rPr>
          <w:sz w:val="23"/>
          <w:szCs w:val="23"/>
        </w:rPr>
      </w:pPr>
      <w:proofErr w:type="spellStart"/>
      <w:r w:rsidRPr="00FE5AE4">
        <w:rPr>
          <w:sz w:val="23"/>
          <w:szCs w:val="23"/>
        </w:rPr>
        <w:t>Adamsky</w:t>
      </w:r>
      <w:proofErr w:type="spellEnd"/>
      <w:r w:rsidRPr="00FE5AE4">
        <w:rPr>
          <w:sz w:val="23"/>
          <w:szCs w:val="23"/>
        </w:rPr>
        <w:t xml:space="preserve">, Dima. “Israeli Culture of Innovation Between Anticipation </w:t>
      </w:r>
      <w:proofErr w:type="gramStart"/>
      <w:r w:rsidRPr="00FE5AE4">
        <w:rPr>
          <w:sz w:val="23"/>
          <w:szCs w:val="23"/>
        </w:rPr>
        <w:t>and .</w:t>
      </w:r>
      <w:proofErr w:type="gramEnd"/>
      <w:r w:rsidRPr="00FE5AE4">
        <w:rPr>
          <w:sz w:val="23"/>
          <w:szCs w:val="23"/>
        </w:rPr>
        <w:t>” Idf.il, Dado Center, July 2019, www.idf.il/אתרים/מרכז-דדו/מרכז-דדו/israeli-culture-of-innovation-between-anticipation-and-adaptation/.</w:t>
      </w:r>
    </w:p>
    <w:p w14:paraId="6BD7E5AF" w14:textId="77777777" w:rsidR="00EB2C25" w:rsidRPr="00FE5AE4" w:rsidRDefault="00EB2C25" w:rsidP="009E4405">
      <w:pPr>
        <w:pStyle w:val="Bibliography"/>
        <w:rPr>
          <w:sz w:val="23"/>
          <w:szCs w:val="23"/>
        </w:rPr>
      </w:pPr>
    </w:p>
    <w:p w14:paraId="306CF89A" w14:textId="1FE9EA8D" w:rsidR="00992BC1" w:rsidRPr="00FE5AE4" w:rsidRDefault="00992BC1" w:rsidP="009E4405">
      <w:pPr>
        <w:pStyle w:val="Bibliography"/>
        <w:rPr>
          <w:sz w:val="23"/>
          <w:szCs w:val="23"/>
        </w:rPr>
      </w:pPr>
      <w:r w:rsidRPr="00FE5AE4">
        <w:rPr>
          <w:sz w:val="23"/>
          <w:szCs w:val="23"/>
        </w:rPr>
        <w:t>Gawande</w:t>
      </w:r>
      <w:r w:rsidR="009E4405" w:rsidRPr="00FE5AE4">
        <w:rPr>
          <w:sz w:val="23"/>
          <w:szCs w:val="23"/>
        </w:rPr>
        <w:t>,</w:t>
      </w:r>
      <w:r w:rsidRPr="00FE5AE4">
        <w:rPr>
          <w:sz w:val="23"/>
          <w:szCs w:val="23"/>
        </w:rPr>
        <w:t xml:space="preserve"> </w:t>
      </w:r>
      <w:r w:rsidR="009E4405" w:rsidRPr="00FE5AE4">
        <w:rPr>
          <w:sz w:val="23"/>
          <w:szCs w:val="23"/>
        </w:rPr>
        <w:t>“</w:t>
      </w:r>
      <w:r w:rsidRPr="00FE5AE4">
        <w:rPr>
          <w:sz w:val="23"/>
          <w:szCs w:val="23"/>
        </w:rPr>
        <w:t>Casualties of war — military care for the wounded from</w:t>
      </w:r>
      <w:r w:rsidR="009E4405" w:rsidRPr="00FE5AE4">
        <w:rPr>
          <w:sz w:val="23"/>
          <w:szCs w:val="23"/>
        </w:rPr>
        <w:t xml:space="preserve"> </w:t>
      </w:r>
      <w:r w:rsidRPr="00FE5AE4">
        <w:rPr>
          <w:sz w:val="23"/>
          <w:szCs w:val="23"/>
        </w:rPr>
        <w:t>Iraq and Afghanistan.</w:t>
      </w:r>
      <w:r w:rsidR="009E4405" w:rsidRPr="00FE5AE4">
        <w:rPr>
          <w:sz w:val="23"/>
          <w:szCs w:val="23"/>
        </w:rPr>
        <w:t>”</w:t>
      </w:r>
      <w:r w:rsidRPr="00FE5AE4">
        <w:rPr>
          <w:sz w:val="23"/>
          <w:szCs w:val="23"/>
        </w:rPr>
        <w:t xml:space="preserve"> N </w:t>
      </w:r>
      <w:proofErr w:type="spellStart"/>
      <w:r w:rsidRPr="00FE5AE4">
        <w:rPr>
          <w:sz w:val="23"/>
          <w:szCs w:val="23"/>
        </w:rPr>
        <w:t>Engl</w:t>
      </w:r>
      <w:proofErr w:type="spellEnd"/>
      <w:r w:rsidRPr="00FE5AE4">
        <w:rPr>
          <w:sz w:val="23"/>
          <w:szCs w:val="23"/>
        </w:rPr>
        <w:t xml:space="preserve"> J Med </w:t>
      </w:r>
      <w:proofErr w:type="gramStart"/>
      <w:r w:rsidRPr="00FE5AE4">
        <w:rPr>
          <w:sz w:val="23"/>
          <w:szCs w:val="23"/>
        </w:rPr>
        <w:t>2004 ;</w:t>
      </w:r>
      <w:proofErr w:type="gramEnd"/>
      <w:r w:rsidRPr="00FE5AE4">
        <w:rPr>
          <w:sz w:val="23"/>
          <w:szCs w:val="23"/>
        </w:rPr>
        <w:t xml:space="preserve"> 351 (24) : 2471 – 5 .</w:t>
      </w:r>
    </w:p>
    <w:p w14:paraId="4AA9FFB5" w14:textId="77777777" w:rsidR="00104788" w:rsidRPr="00FE5AE4" w:rsidRDefault="00104788" w:rsidP="00104788">
      <w:pPr>
        <w:pStyle w:val="Bibliography"/>
        <w:rPr>
          <w:sz w:val="23"/>
          <w:szCs w:val="23"/>
        </w:rPr>
      </w:pPr>
    </w:p>
    <w:p w14:paraId="5C7B7099" w14:textId="220C7EB4" w:rsidR="00992BC1" w:rsidRPr="00FE5AE4" w:rsidRDefault="00104788" w:rsidP="00104788">
      <w:pPr>
        <w:pStyle w:val="Bibliography"/>
        <w:rPr>
          <w:sz w:val="23"/>
          <w:szCs w:val="23"/>
        </w:rPr>
      </w:pPr>
      <w:r w:rsidRPr="00FE5AE4">
        <w:rPr>
          <w:sz w:val="23"/>
          <w:szCs w:val="23"/>
        </w:rPr>
        <w:t xml:space="preserve">Aviv </w:t>
      </w:r>
      <w:proofErr w:type="spellStart"/>
      <w:r w:rsidRPr="00FE5AE4">
        <w:rPr>
          <w:sz w:val="23"/>
          <w:szCs w:val="23"/>
        </w:rPr>
        <w:t>Kochavi</w:t>
      </w:r>
      <w:proofErr w:type="spellEnd"/>
      <w:r w:rsidRPr="00FE5AE4">
        <w:rPr>
          <w:sz w:val="23"/>
          <w:szCs w:val="23"/>
        </w:rPr>
        <w:t xml:space="preserve"> and Eran </w:t>
      </w:r>
      <w:proofErr w:type="spellStart"/>
      <w:r w:rsidRPr="00FE5AE4">
        <w:rPr>
          <w:sz w:val="23"/>
          <w:szCs w:val="23"/>
        </w:rPr>
        <w:t>Ortal</w:t>
      </w:r>
      <w:proofErr w:type="spellEnd"/>
      <w:r w:rsidRPr="00FE5AE4">
        <w:rPr>
          <w:sz w:val="23"/>
          <w:szCs w:val="23"/>
        </w:rPr>
        <w:t xml:space="preserve">, “Intelligence Case Study - Permanent Change in an Emerging Reality”, </w:t>
      </w:r>
      <w:proofErr w:type="spellStart"/>
      <w:r w:rsidRPr="00FE5AE4">
        <w:rPr>
          <w:sz w:val="23"/>
          <w:szCs w:val="23"/>
        </w:rPr>
        <w:t>Bein</w:t>
      </w:r>
      <w:proofErr w:type="spellEnd"/>
      <w:r w:rsidRPr="00FE5AE4">
        <w:rPr>
          <w:sz w:val="23"/>
          <w:szCs w:val="23"/>
        </w:rPr>
        <w:t xml:space="preserve"> </w:t>
      </w:r>
      <w:proofErr w:type="spellStart"/>
      <w:r w:rsidRPr="00FE5AE4">
        <w:rPr>
          <w:sz w:val="23"/>
          <w:szCs w:val="23"/>
        </w:rPr>
        <w:t>HaKtavim</w:t>
      </w:r>
      <w:proofErr w:type="spellEnd"/>
      <w:r w:rsidRPr="00FE5AE4">
        <w:rPr>
          <w:sz w:val="23"/>
          <w:szCs w:val="23"/>
        </w:rPr>
        <w:t xml:space="preserve"> 2, Dado </w:t>
      </w:r>
      <w:proofErr w:type="spellStart"/>
      <w:r w:rsidRPr="00FE5AE4">
        <w:rPr>
          <w:sz w:val="23"/>
          <w:szCs w:val="23"/>
        </w:rPr>
        <w:t>Cener</w:t>
      </w:r>
      <w:proofErr w:type="spellEnd"/>
      <w:r w:rsidRPr="00FE5AE4">
        <w:rPr>
          <w:sz w:val="23"/>
          <w:szCs w:val="23"/>
        </w:rPr>
        <w:t xml:space="preserve">, </w:t>
      </w:r>
      <w:proofErr w:type="gramStart"/>
      <w:r w:rsidRPr="00FE5AE4">
        <w:rPr>
          <w:sz w:val="23"/>
          <w:szCs w:val="23"/>
        </w:rPr>
        <w:t>July,</w:t>
      </w:r>
      <w:proofErr w:type="gramEnd"/>
      <w:r w:rsidRPr="00FE5AE4">
        <w:rPr>
          <w:sz w:val="23"/>
          <w:szCs w:val="23"/>
        </w:rPr>
        <w:t xml:space="preserve"> 2014​</w:t>
      </w:r>
      <w:r w:rsidR="00153221" w:rsidRPr="00FE5AE4">
        <w:rPr>
          <w:sz w:val="23"/>
          <w:szCs w:val="23"/>
        </w:rPr>
        <w:t>.</w:t>
      </w:r>
    </w:p>
    <w:p w14:paraId="3B61A2AD" w14:textId="77777777" w:rsidR="00104788" w:rsidRPr="00FE5AE4" w:rsidRDefault="00104788" w:rsidP="009E4405">
      <w:pPr>
        <w:pStyle w:val="Bibliography"/>
        <w:rPr>
          <w:sz w:val="23"/>
          <w:szCs w:val="23"/>
        </w:rPr>
      </w:pPr>
    </w:p>
    <w:p w14:paraId="609FEF7E" w14:textId="089AF2CF" w:rsidR="0093068F" w:rsidRPr="00FE5AE4" w:rsidRDefault="0093068F" w:rsidP="009E4405">
      <w:pPr>
        <w:pStyle w:val="Bibliography"/>
        <w:rPr>
          <w:sz w:val="23"/>
          <w:szCs w:val="23"/>
        </w:rPr>
      </w:pPr>
      <w:r w:rsidRPr="00FE5AE4">
        <w:rPr>
          <w:sz w:val="23"/>
          <w:szCs w:val="23"/>
        </w:rPr>
        <w:t>Lt. Leo S. Mackay, Jr., USN, “Naval Aviation, Information, and the Future,” Naval War</w:t>
      </w:r>
      <w:r w:rsidR="009E4405" w:rsidRPr="00FE5AE4">
        <w:rPr>
          <w:sz w:val="23"/>
          <w:szCs w:val="23"/>
        </w:rPr>
        <w:t xml:space="preserve"> </w:t>
      </w:r>
      <w:r w:rsidRPr="00FE5AE4">
        <w:rPr>
          <w:sz w:val="23"/>
          <w:szCs w:val="23"/>
        </w:rPr>
        <w:t>College Review, Spring 1992, p. 7.</w:t>
      </w:r>
    </w:p>
    <w:p w14:paraId="07176AF9" w14:textId="77777777" w:rsidR="00D6468F" w:rsidRPr="00FE5AE4" w:rsidRDefault="00D6468F" w:rsidP="0093068F">
      <w:pPr>
        <w:ind w:firstLine="0"/>
        <w:rPr>
          <w:sz w:val="23"/>
          <w:szCs w:val="23"/>
        </w:rPr>
      </w:pPr>
    </w:p>
    <w:p w14:paraId="5066D011" w14:textId="7FCD6E8F" w:rsidR="00D6468F" w:rsidRPr="00FE5AE4" w:rsidRDefault="00D6468F" w:rsidP="0093068F">
      <w:pPr>
        <w:ind w:firstLine="0"/>
        <w:rPr>
          <w:sz w:val="23"/>
          <w:szCs w:val="23"/>
        </w:rPr>
      </w:pPr>
      <w:r w:rsidRPr="00FE5AE4">
        <w:rPr>
          <w:sz w:val="23"/>
          <w:szCs w:val="23"/>
        </w:rPr>
        <w:t>McDermott, Rose &amp; Bar-Joseph, Uri, 2017. "Intelligence Success and Failure: The Human Factor," OUP Catalogue, Oxford University Press, number 9780199341740.</w:t>
      </w:r>
    </w:p>
    <w:p w14:paraId="570F44C0" w14:textId="77777777" w:rsidR="00D6468F" w:rsidRPr="00FE5AE4" w:rsidRDefault="00D6468F" w:rsidP="0093068F">
      <w:pPr>
        <w:ind w:firstLine="0"/>
        <w:rPr>
          <w:sz w:val="23"/>
          <w:szCs w:val="23"/>
        </w:rPr>
      </w:pPr>
    </w:p>
    <w:p w14:paraId="423E7342" w14:textId="723ADBCD" w:rsidR="0093068F" w:rsidRPr="00FE5AE4" w:rsidRDefault="0093068F" w:rsidP="0093068F">
      <w:pPr>
        <w:ind w:firstLine="0"/>
        <w:rPr>
          <w:sz w:val="23"/>
          <w:szCs w:val="23"/>
        </w:rPr>
      </w:pPr>
      <w:r w:rsidRPr="00FE5AE4">
        <w:rPr>
          <w:sz w:val="23"/>
          <w:szCs w:val="23"/>
        </w:rPr>
        <w:t xml:space="preserve">Lauren </w:t>
      </w:r>
      <w:proofErr w:type="spellStart"/>
      <w:r w:rsidRPr="00FE5AE4">
        <w:rPr>
          <w:sz w:val="23"/>
          <w:szCs w:val="23"/>
        </w:rPr>
        <w:t>Witlin</w:t>
      </w:r>
      <w:proofErr w:type="spellEnd"/>
      <w:r w:rsidRPr="00FE5AE4">
        <w:rPr>
          <w:sz w:val="23"/>
          <w:szCs w:val="23"/>
        </w:rPr>
        <w:t xml:space="preserve"> (Winter–Spring 2008). "Of Note: Mirror-Imaging and Its Dangers" (excerpt). SAIS Review. The Johns Hopkins University Press. 28 (1): 89–90. doi:10.1353/sais.2008.0024. Retrieved 2013-03-28.</w:t>
      </w:r>
    </w:p>
    <w:p w14:paraId="73A04BAF" w14:textId="2B876644" w:rsidR="00574CF1" w:rsidRPr="00FE5AE4" w:rsidRDefault="00574CF1" w:rsidP="00992BC1">
      <w:pPr>
        <w:ind w:firstLine="0"/>
        <w:rPr>
          <w:sz w:val="23"/>
          <w:szCs w:val="23"/>
        </w:rPr>
      </w:pPr>
    </w:p>
    <w:p w14:paraId="046B1134" w14:textId="4B41454D" w:rsidR="00992BC1" w:rsidRPr="00FE5AE4" w:rsidRDefault="00992BC1" w:rsidP="00153221">
      <w:pPr>
        <w:pStyle w:val="Bibliography"/>
        <w:rPr>
          <w:sz w:val="23"/>
          <w:szCs w:val="23"/>
        </w:rPr>
      </w:pPr>
      <w:r w:rsidRPr="00FE5AE4">
        <w:rPr>
          <w:sz w:val="23"/>
          <w:szCs w:val="23"/>
        </w:rPr>
        <w:t>Department of Defense: Vietnam Conflict—Casualty Summary (as of</w:t>
      </w:r>
      <w:r w:rsidR="009E4405" w:rsidRPr="00FE5AE4">
        <w:rPr>
          <w:sz w:val="23"/>
          <w:szCs w:val="23"/>
        </w:rPr>
        <w:t xml:space="preserve"> </w:t>
      </w:r>
      <w:r w:rsidRPr="00FE5AE4">
        <w:rPr>
          <w:sz w:val="23"/>
          <w:szCs w:val="23"/>
        </w:rPr>
        <w:t>May 16, 2008). Available</w:t>
      </w:r>
      <w:r w:rsidR="009E4405" w:rsidRPr="00FE5AE4">
        <w:rPr>
          <w:sz w:val="23"/>
          <w:szCs w:val="23"/>
        </w:rPr>
        <w:t xml:space="preserve"> </w:t>
      </w:r>
      <w:r w:rsidRPr="00FE5AE4">
        <w:rPr>
          <w:sz w:val="23"/>
          <w:szCs w:val="23"/>
        </w:rPr>
        <w:t>http://siadapp.dmdc.osd.mil/personnel/CASUALTY/vietnam.pdf; accessed November 28, 2009.</w:t>
      </w:r>
    </w:p>
    <w:sectPr w:rsidR="00992BC1" w:rsidRPr="00FE5AE4">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D7925" w14:textId="77777777" w:rsidR="005731D5" w:rsidRDefault="005731D5">
      <w:pPr>
        <w:spacing w:line="240" w:lineRule="auto"/>
      </w:pPr>
      <w:r>
        <w:separator/>
      </w:r>
    </w:p>
  </w:endnote>
  <w:endnote w:type="continuationSeparator" w:id="0">
    <w:p w14:paraId="2C6D4DD4" w14:textId="77777777" w:rsidR="005731D5" w:rsidRDefault="005731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F5731" w14:textId="77777777" w:rsidR="005731D5" w:rsidRDefault="005731D5">
      <w:pPr>
        <w:spacing w:line="240" w:lineRule="auto"/>
      </w:pPr>
      <w:r>
        <w:separator/>
      </w:r>
    </w:p>
  </w:footnote>
  <w:footnote w:type="continuationSeparator" w:id="0">
    <w:p w14:paraId="35BFEF34" w14:textId="77777777" w:rsidR="005731D5" w:rsidRDefault="005731D5">
      <w:pPr>
        <w:spacing w:line="240" w:lineRule="auto"/>
      </w:pPr>
      <w:r>
        <w:continuationSeparator/>
      </w:r>
    </w:p>
  </w:footnote>
  <w:footnote w:id="1">
    <w:p w14:paraId="0507CF4D" w14:textId="77777777" w:rsidR="00104788" w:rsidRPr="00BA2E3A" w:rsidRDefault="00104788" w:rsidP="00BA2E3A">
      <w:pPr>
        <w:pStyle w:val="FootnoteText"/>
        <w:spacing w:line="240" w:lineRule="auto"/>
        <w:rPr>
          <w:sz w:val="20"/>
          <w:szCs w:val="20"/>
        </w:rPr>
      </w:pPr>
      <w:r w:rsidRPr="00BA2E3A">
        <w:rPr>
          <w:rStyle w:val="FootnoteReference"/>
          <w:sz w:val="20"/>
          <w:szCs w:val="20"/>
        </w:rPr>
        <w:footnoteRef/>
      </w:r>
      <w:r w:rsidRPr="00BA2E3A">
        <w:rPr>
          <w:sz w:val="20"/>
          <w:szCs w:val="20"/>
        </w:rPr>
        <w:t xml:space="preserve"> Lt. Leo S. Mackay, Jr., USN, “Naval Aviation, Information, and the Future,” Naval War</w:t>
      </w:r>
    </w:p>
    <w:p w14:paraId="5C251BF6" w14:textId="17A87A0B" w:rsidR="00104788" w:rsidRDefault="00104788" w:rsidP="00BA2E3A">
      <w:pPr>
        <w:pStyle w:val="FootnoteText"/>
        <w:spacing w:line="240" w:lineRule="auto"/>
      </w:pPr>
      <w:r w:rsidRPr="00BA2E3A">
        <w:rPr>
          <w:sz w:val="20"/>
          <w:szCs w:val="20"/>
        </w:rPr>
        <w:t>College Review, Spring 1992, p. 7.</w:t>
      </w:r>
    </w:p>
  </w:footnote>
  <w:footnote w:id="2">
    <w:p w14:paraId="73472E8D" w14:textId="77777777" w:rsidR="00104788" w:rsidRPr="00992BC1" w:rsidRDefault="00104788" w:rsidP="00992BC1">
      <w:pPr>
        <w:pStyle w:val="FootnoteText"/>
        <w:spacing w:line="240" w:lineRule="auto"/>
        <w:rPr>
          <w:sz w:val="20"/>
          <w:szCs w:val="20"/>
        </w:rPr>
      </w:pPr>
      <w:r>
        <w:rPr>
          <w:rStyle w:val="FootnoteReference"/>
        </w:rPr>
        <w:footnoteRef/>
      </w:r>
      <w:r>
        <w:t xml:space="preserve"> </w:t>
      </w:r>
      <w:r w:rsidRPr="00992BC1">
        <w:rPr>
          <w:sz w:val="20"/>
          <w:szCs w:val="20"/>
        </w:rPr>
        <w:t xml:space="preserve">Gawande </w:t>
      </w:r>
      <w:proofErr w:type="gramStart"/>
      <w:r w:rsidRPr="00992BC1">
        <w:rPr>
          <w:sz w:val="20"/>
          <w:szCs w:val="20"/>
        </w:rPr>
        <w:t>A :</w:t>
      </w:r>
      <w:proofErr w:type="gramEnd"/>
      <w:r w:rsidRPr="00992BC1">
        <w:rPr>
          <w:sz w:val="20"/>
          <w:szCs w:val="20"/>
        </w:rPr>
        <w:t xml:space="preserve"> Casualties of war — military care for the wounded from</w:t>
      </w:r>
    </w:p>
    <w:p w14:paraId="6EA7AD3C" w14:textId="0CD1B975" w:rsidR="00104788" w:rsidRPr="00992BC1" w:rsidRDefault="00104788" w:rsidP="00992BC1">
      <w:pPr>
        <w:pStyle w:val="FootnoteText"/>
        <w:spacing w:line="240" w:lineRule="auto"/>
        <w:rPr>
          <w:sz w:val="20"/>
          <w:szCs w:val="20"/>
        </w:rPr>
      </w:pPr>
      <w:r w:rsidRPr="00992BC1">
        <w:rPr>
          <w:sz w:val="20"/>
          <w:szCs w:val="20"/>
        </w:rPr>
        <w:t xml:space="preserve">Iraq and </w:t>
      </w:r>
      <w:proofErr w:type="gramStart"/>
      <w:r w:rsidRPr="00992BC1">
        <w:rPr>
          <w:sz w:val="20"/>
          <w:szCs w:val="20"/>
        </w:rPr>
        <w:t>Afghanistan .</w:t>
      </w:r>
      <w:proofErr w:type="gramEnd"/>
      <w:r w:rsidRPr="00992BC1">
        <w:rPr>
          <w:sz w:val="20"/>
          <w:szCs w:val="20"/>
        </w:rPr>
        <w:t xml:space="preserve"> N </w:t>
      </w:r>
      <w:proofErr w:type="spellStart"/>
      <w:r w:rsidRPr="00992BC1">
        <w:rPr>
          <w:sz w:val="20"/>
          <w:szCs w:val="20"/>
        </w:rPr>
        <w:t>Engl</w:t>
      </w:r>
      <w:proofErr w:type="spellEnd"/>
      <w:r w:rsidRPr="00992BC1">
        <w:rPr>
          <w:sz w:val="20"/>
          <w:szCs w:val="20"/>
        </w:rPr>
        <w:t xml:space="preserve"> J Med </w:t>
      </w:r>
      <w:proofErr w:type="gramStart"/>
      <w:r w:rsidRPr="00992BC1">
        <w:rPr>
          <w:sz w:val="20"/>
          <w:szCs w:val="20"/>
        </w:rPr>
        <w:t>2004 ;</w:t>
      </w:r>
      <w:proofErr w:type="gramEnd"/>
      <w:r w:rsidRPr="00992BC1">
        <w:rPr>
          <w:sz w:val="20"/>
          <w:szCs w:val="20"/>
        </w:rPr>
        <w:t xml:space="preserve"> 351 (24) : 2471 – 5 .</w:t>
      </w:r>
    </w:p>
  </w:footnote>
  <w:footnote w:id="3">
    <w:p w14:paraId="523864D7" w14:textId="77777777" w:rsidR="00104788" w:rsidRPr="00992BC1" w:rsidRDefault="00104788" w:rsidP="00992BC1">
      <w:pPr>
        <w:pStyle w:val="FootnoteText"/>
        <w:spacing w:line="240" w:lineRule="auto"/>
        <w:rPr>
          <w:sz w:val="20"/>
          <w:szCs w:val="20"/>
        </w:rPr>
      </w:pPr>
      <w:r>
        <w:rPr>
          <w:rStyle w:val="FootnoteReference"/>
        </w:rPr>
        <w:footnoteRef/>
      </w:r>
      <w:r>
        <w:t xml:space="preserve"> </w:t>
      </w:r>
      <w:r w:rsidRPr="00992BC1">
        <w:rPr>
          <w:sz w:val="20"/>
          <w:szCs w:val="20"/>
        </w:rPr>
        <w:t xml:space="preserve">Department of </w:t>
      </w:r>
      <w:proofErr w:type="gramStart"/>
      <w:r w:rsidRPr="00992BC1">
        <w:rPr>
          <w:sz w:val="20"/>
          <w:szCs w:val="20"/>
        </w:rPr>
        <w:t>Defense :</w:t>
      </w:r>
      <w:proofErr w:type="gramEnd"/>
      <w:r w:rsidRPr="00992BC1">
        <w:rPr>
          <w:sz w:val="20"/>
          <w:szCs w:val="20"/>
        </w:rPr>
        <w:t xml:space="preserve"> Vietnam </w:t>
      </w:r>
      <w:proofErr w:type="spellStart"/>
      <w:r w:rsidRPr="00992BC1">
        <w:rPr>
          <w:sz w:val="20"/>
          <w:szCs w:val="20"/>
        </w:rPr>
        <w:t>Confl</w:t>
      </w:r>
      <w:proofErr w:type="spellEnd"/>
      <w:r w:rsidRPr="00992BC1">
        <w:rPr>
          <w:sz w:val="20"/>
          <w:szCs w:val="20"/>
        </w:rPr>
        <w:t xml:space="preserve"> </w:t>
      </w:r>
      <w:proofErr w:type="spellStart"/>
      <w:r w:rsidRPr="00992BC1">
        <w:rPr>
          <w:sz w:val="20"/>
          <w:szCs w:val="20"/>
        </w:rPr>
        <w:t>ict</w:t>
      </w:r>
      <w:proofErr w:type="spellEnd"/>
      <w:r w:rsidRPr="00992BC1">
        <w:rPr>
          <w:sz w:val="20"/>
          <w:szCs w:val="20"/>
        </w:rPr>
        <w:t>—Casualty Summary (as of</w:t>
      </w:r>
    </w:p>
    <w:p w14:paraId="58816784" w14:textId="77777777" w:rsidR="00104788" w:rsidRPr="00992BC1" w:rsidRDefault="00104788" w:rsidP="00992BC1">
      <w:pPr>
        <w:pStyle w:val="FootnoteText"/>
        <w:spacing w:line="240" w:lineRule="auto"/>
        <w:rPr>
          <w:sz w:val="20"/>
          <w:szCs w:val="20"/>
        </w:rPr>
      </w:pPr>
      <w:r w:rsidRPr="00992BC1">
        <w:rPr>
          <w:sz w:val="20"/>
          <w:szCs w:val="20"/>
        </w:rPr>
        <w:t xml:space="preserve">May 16, </w:t>
      </w:r>
      <w:proofErr w:type="gramStart"/>
      <w:r w:rsidRPr="00992BC1">
        <w:rPr>
          <w:sz w:val="20"/>
          <w:szCs w:val="20"/>
        </w:rPr>
        <w:t>2008 )</w:t>
      </w:r>
      <w:proofErr w:type="gramEnd"/>
      <w:r w:rsidRPr="00992BC1">
        <w:rPr>
          <w:sz w:val="20"/>
          <w:szCs w:val="20"/>
        </w:rPr>
        <w:t>. Available at http://siadapp.dmdc.osd.mil/personnel/</w:t>
      </w:r>
    </w:p>
    <w:p w14:paraId="1347E0AC" w14:textId="776D23DE" w:rsidR="00104788" w:rsidRDefault="00104788" w:rsidP="00992BC1">
      <w:pPr>
        <w:pStyle w:val="FootnoteText"/>
        <w:spacing w:line="240" w:lineRule="auto"/>
      </w:pPr>
      <w:r w:rsidRPr="00992BC1">
        <w:rPr>
          <w:sz w:val="20"/>
          <w:szCs w:val="20"/>
        </w:rPr>
        <w:t>CASUALTY/vietnam.pdf; accessed November 28, 2009.</w:t>
      </w:r>
    </w:p>
  </w:footnote>
  <w:footnote w:id="4">
    <w:p w14:paraId="466B48F7" w14:textId="2A01092C" w:rsidR="00104788" w:rsidRDefault="00104788" w:rsidP="00F276DD">
      <w:pPr>
        <w:pStyle w:val="FootnoteText"/>
        <w:spacing w:line="240" w:lineRule="auto"/>
      </w:pPr>
      <w:r>
        <w:rPr>
          <w:rStyle w:val="FootnoteReference"/>
        </w:rPr>
        <w:footnoteRef/>
      </w:r>
      <w:r>
        <w:t xml:space="preserve"> </w:t>
      </w:r>
      <w:r w:rsidRPr="00F276DD">
        <w:rPr>
          <w:sz w:val="20"/>
          <w:szCs w:val="20"/>
        </w:rPr>
        <w:t xml:space="preserve">Lauren </w:t>
      </w:r>
      <w:proofErr w:type="spellStart"/>
      <w:r w:rsidRPr="00F276DD">
        <w:rPr>
          <w:sz w:val="20"/>
          <w:szCs w:val="20"/>
        </w:rPr>
        <w:t>Witlin</w:t>
      </w:r>
      <w:proofErr w:type="spellEnd"/>
      <w:r w:rsidRPr="00F276DD">
        <w:rPr>
          <w:sz w:val="20"/>
          <w:szCs w:val="20"/>
        </w:rPr>
        <w:t xml:space="preserve"> (Winter–Spring 2008). "Of Note: Mirror-Imaging and Its Dangers" (excerpt). SAIS Review. The Johns Hopkins University Press. 28 (1): 89–90. doi:10.1353/sais.2008.0024. Retrieved 2013-03-28.</w:t>
      </w:r>
    </w:p>
  </w:footnote>
  <w:footnote w:id="5">
    <w:p w14:paraId="3335D53B" w14:textId="11AD60A6" w:rsidR="00104788" w:rsidRDefault="00104788" w:rsidP="00D6468F">
      <w:pPr>
        <w:pStyle w:val="FootnoteText"/>
        <w:spacing w:line="240" w:lineRule="auto"/>
      </w:pPr>
      <w:r>
        <w:rPr>
          <w:rStyle w:val="FootnoteReference"/>
        </w:rPr>
        <w:footnoteRef/>
      </w:r>
      <w:r>
        <w:t xml:space="preserve"> </w:t>
      </w:r>
      <w:r w:rsidRPr="00D6468F">
        <w:rPr>
          <w:sz w:val="20"/>
          <w:szCs w:val="20"/>
        </w:rPr>
        <w:t>McDermott, Rose &amp; Bar-Joseph, Uri, 2017. "Intelligence Success and Failure: The Human Factor," OUP Catalogue, Oxford University Press, number 9780199341740.</w:t>
      </w:r>
    </w:p>
  </w:footnote>
  <w:footnote w:id="6">
    <w:p w14:paraId="00637F4E" w14:textId="1133AAE8" w:rsidR="00104788" w:rsidRDefault="00104788" w:rsidP="00104788">
      <w:pPr>
        <w:pStyle w:val="FootnoteText"/>
        <w:spacing w:line="240" w:lineRule="auto"/>
        <w:ind w:left="720" w:firstLine="0"/>
      </w:pPr>
      <w:r>
        <w:rPr>
          <w:rStyle w:val="FootnoteReference"/>
        </w:rPr>
        <w:footnoteRef/>
      </w:r>
      <w:r>
        <w:t xml:space="preserve"> </w:t>
      </w:r>
      <w:r w:rsidRPr="00104788">
        <w:rPr>
          <w:sz w:val="20"/>
          <w:szCs w:val="20"/>
        </w:rPr>
        <w:t xml:space="preserve">Aviv </w:t>
      </w:r>
      <w:proofErr w:type="spellStart"/>
      <w:r w:rsidRPr="00104788">
        <w:rPr>
          <w:sz w:val="20"/>
          <w:szCs w:val="20"/>
        </w:rPr>
        <w:t>Kochavi</w:t>
      </w:r>
      <w:proofErr w:type="spellEnd"/>
      <w:r w:rsidRPr="00104788">
        <w:rPr>
          <w:sz w:val="20"/>
          <w:szCs w:val="20"/>
        </w:rPr>
        <w:t xml:space="preserve"> and Eran </w:t>
      </w:r>
      <w:proofErr w:type="spellStart"/>
      <w:r w:rsidRPr="00104788">
        <w:rPr>
          <w:sz w:val="20"/>
          <w:szCs w:val="20"/>
        </w:rPr>
        <w:t>Ortal</w:t>
      </w:r>
      <w:proofErr w:type="spellEnd"/>
      <w:r w:rsidRPr="00104788">
        <w:rPr>
          <w:sz w:val="20"/>
          <w:szCs w:val="20"/>
        </w:rPr>
        <w:t xml:space="preserve">, “Intelligence Case Study - Permanent Change in an Emerging Reality”, </w:t>
      </w:r>
      <w:proofErr w:type="spellStart"/>
      <w:r w:rsidRPr="00104788">
        <w:rPr>
          <w:sz w:val="20"/>
          <w:szCs w:val="20"/>
        </w:rPr>
        <w:t>Bein</w:t>
      </w:r>
      <w:proofErr w:type="spellEnd"/>
      <w:r w:rsidRPr="00104788">
        <w:rPr>
          <w:sz w:val="20"/>
          <w:szCs w:val="20"/>
        </w:rPr>
        <w:t xml:space="preserve"> </w:t>
      </w:r>
      <w:proofErr w:type="spellStart"/>
      <w:r w:rsidRPr="00104788">
        <w:rPr>
          <w:sz w:val="20"/>
          <w:szCs w:val="20"/>
        </w:rPr>
        <w:t>HaKtavim</w:t>
      </w:r>
      <w:proofErr w:type="spellEnd"/>
      <w:r w:rsidRPr="00104788">
        <w:rPr>
          <w:sz w:val="20"/>
          <w:szCs w:val="20"/>
        </w:rPr>
        <w:t xml:space="preserve"> 2, Dado </w:t>
      </w:r>
      <w:proofErr w:type="spellStart"/>
      <w:r w:rsidRPr="00104788">
        <w:rPr>
          <w:sz w:val="20"/>
          <w:szCs w:val="20"/>
        </w:rPr>
        <w:t>Cener</w:t>
      </w:r>
      <w:proofErr w:type="spellEnd"/>
      <w:r w:rsidRPr="00104788">
        <w:rPr>
          <w:sz w:val="20"/>
          <w:szCs w:val="20"/>
        </w:rPr>
        <w:t xml:space="preserve">, </w:t>
      </w:r>
      <w:proofErr w:type="gramStart"/>
      <w:r w:rsidRPr="00104788">
        <w:rPr>
          <w:sz w:val="20"/>
          <w:szCs w:val="20"/>
        </w:rPr>
        <w:t>July,</w:t>
      </w:r>
      <w:proofErr w:type="gramEnd"/>
      <w:r w:rsidRPr="00104788">
        <w:rPr>
          <w:sz w:val="20"/>
          <w:szCs w:val="20"/>
        </w:rPr>
        <w:t xml:space="preserve"> 2014​</w:t>
      </w:r>
    </w:p>
  </w:footnote>
  <w:footnote w:id="7">
    <w:p w14:paraId="2DABB7B2" w14:textId="10B99F9B" w:rsidR="00EB2C25" w:rsidRDefault="00EB2C25" w:rsidP="00EB2C25">
      <w:pPr>
        <w:pStyle w:val="FootnoteText"/>
        <w:spacing w:line="240" w:lineRule="auto"/>
        <w:ind w:left="720" w:firstLine="0"/>
      </w:pPr>
      <w:r>
        <w:rPr>
          <w:rStyle w:val="FootnoteReference"/>
        </w:rPr>
        <w:footnoteRef/>
      </w:r>
      <w:r>
        <w:t xml:space="preserve"> </w:t>
      </w:r>
      <w:proofErr w:type="spellStart"/>
      <w:r w:rsidRPr="006A1C98">
        <w:rPr>
          <w:sz w:val="20"/>
          <w:szCs w:val="20"/>
        </w:rPr>
        <w:t>Adamsky</w:t>
      </w:r>
      <w:proofErr w:type="spellEnd"/>
      <w:r w:rsidRPr="006A1C98">
        <w:rPr>
          <w:sz w:val="20"/>
          <w:szCs w:val="20"/>
        </w:rPr>
        <w:t xml:space="preserve">, Dima. “Israeli Culture of Innovation Between Anticipation and </w:t>
      </w:r>
      <w:r w:rsidR="00E14882">
        <w:rPr>
          <w:sz w:val="20"/>
          <w:szCs w:val="20"/>
        </w:rPr>
        <w:t>Adaptation</w:t>
      </w:r>
      <w:r w:rsidRPr="006A1C98">
        <w:rPr>
          <w:sz w:val="20"/>
          <w:szCs w:val="20"/>
        </w:rPr>
        <w:t>” Idf.il, Dado Center, July 2019, www.idf.il/אתרים/מרכז-דדו/מרכז-דדו/israeli-culture-of-innovation-between-anticipation-and-adaptation/.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93B9" w14:textId="77777777" w:rsidR="00104788" w:rsidRDefault="005731D5">
    <w:pPr>
      <w:pStyle w:val="Header"/>
    </w:pPr>
    <w:sdt>
      <w:sdtPr>
        <w:id w:val="1568531701"/>
        <w:placeholder>
          <w:docPart w:val="DD458A250F4AF44F9D1B1AA44159E8D9"/>
        </w:placeholder>
        <w:dataBinding w:prefixMappings="xmlns:ns0='http://schemas.microsoft.com/office/2006/coverPageProps' " w:xpath="/ns0:CoverPageProperties[1]/ns0:Abstract[1]" w:storeItemID="{55AF091B-3C7A-41E3-B477-F2FDAA23CFDA}"/>
        <w15:appearance w15:val="hidden"/>
        <w:text/>
      </w:sdtPr>
      <w:sdtEndPr/>
      <w:sdtContent>
        <w:r w:rsidR="00104788">
          <w:t>Smith</w:t>
        </w:r>
      </w:sdtContent>
    </w:sdt>
    <w:r w:rsidR="00104788">
      <w:t xml:space="preserve"> </w:t>
    </w:r>
    <w:r w:rsidR="00104788">
      <w:fldChar w:fldCharType="begin"/>
    </w:r>
    <w:r w:rsidR="00104788">
      <w:instrText xml:space="preserve"> PAGE   \* MERGEFORMAT </w:instrText>
    </w:r>
    <w:r w:rsidR="00104788">
      <w:fldChar w:fldCharType="separate"/>
    </w:r>
    <w:r w:rsidR="00104788">
      <w:rPr>
        <w:noProof/>
      </w:rPr>
      <w:t>2</w:t>
    </w:r>
    <w:r w:rsidR="00104788">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1D167" w14:textId="77777777" w:rsidR="00104788" w:rsidRPr="00FE5AE4" w:rsidRDefault="005731D5">
    <w:pPr>
      <w:pStyle w:val="Header"/>
      <w:rPr>
        <w:sz w:val="23"/>
        <w:szCs w:val="23"/>
      </w:rPr>
    </w:pPr>
    <w:sdt>
      <w:sdtPr>
        <w:rPr>
          <w:sz w:val="23"/>
          <w:szCs w:val="23"/>
        </w:rPr>
        <w:id w:val="-348181431"/>
        <w:placeholder>
          <w:docPart w:val="01964FC0087D8146B111294AC7BFBF73"/>
        </w:placeholder>
        <w:dataBinding w:prefixMappings="xmlns:ns0='http://schemas.microsoft.com/office/2006/coverPageProps' " w:xpath="/ns0:CoverPageProperties[1]/ns0:Abstract[1]" w:storeItemID="{55AF091B-3C7A-41E3-B477-F2FDAA23CFDA}"/>
        <w15:appearance w15:val="hidden"/>
        <w:text/>
      </w:sdtPr>
      <w:sdtEndPr/>
      <w:sdtContent>
        <w:r w:rsidR="00104788" w:rsidRPr="00FE5AE4">
          <w:rPr>
            <w:sz w:val="23"/>
            <w:szCs w:val="23"/>
          </w:rPr>
          <w:t>Smith</w:t>
        </w:r>
      </w:sdtContent>
    </w:sdt>
    <w:r w:rsidR="00104788" w:rsidRPr="00FE5AE4">
      <w:rPr>
        <w:sz w:val="23"/>
        <w:szCs w:val="23"/>
      </w:rPr>
      <w:t xml:space="preserve"> </w:t>
    </w:r>
    <w:r w:rsidR="00104788" w:rsidRPr="00FE5AE4">
      <w:rPr>
        <w:sz w:val="23"/>
        <w:szCs w:val="23"/>
      </w:rPr>
      <w:fldChar w:fldCharType="begin"/>
    </w:r>
    <w:r w:rsidR="00104788" w:rsidRPr="00FE5AE4">
      <w:rPr>
        <w:sz w:val="23"/>
        <w:szCs w:val="23"/>
      </w:rPr>
      <w:instrText xml:space="preserve"> PAGE   \* MERGEFORMAT </w:instrText>
    </w:r>
    <w:r w:rsidR="00104788" w:rsidRPr="00FE5AE4">
      <w:rPr>
        <w:sz w:val="23"/>
        <w:szCs w:val="23"/>
      </w:rPr>
      <w:fldChar w:fldCharType="separate"/>
    </w:r>
    <w:r w:rsidR="00104788" w:rsidRPr="00FE5AE4">
      <w:rPr>
        <w:noProof/>
        <w:sz w:val="23"/>
        <w:szCs w:val="23"/>
      </w:rPr>
      <w:t>1</w:t>
    </w:r>
    <w:r w:rsidR="00104788" w:rsidRPr="00FE5AE4">
      <w:rPr>
        <w:noProof/>
        <w:sz w:val="23"/>
        <w:szCs w:val="23"/>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97333F1"/>
    <w:multiLevelType w:val="hybridMultilevel"/>
    <w:tmpl w:val="B99E8F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B1B5787"/>
    <w:multiLevelType w:val="multilevel"/>
    <w:tmpl w:val="4572ABF8"/>
    <w:numStyleLink w:val="MLAOutline"/>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63F"/>
    <w:rsid w:val="00104788"/>
    <w:rsid w:val="00153221"/>
    <w:rsid w:val="00194969"/>
    <w:rsid w:val="0020685B"/>
    <w:rsid w:val="00284710"/>
    <w:rsid w:val="002F117D"/>
    <w:rsid w:val="0030087A"/>
    <w:rsid w:val="00352665"/>
    <w:rsid w:val="003554F9"/>
    <w:rsid w:val="003B0618"/>
    <w:rsid w:val="004B4C02"/>
    <w:rsid w:val="004D3280"/>
    <w:rsid w:val="005731D5"/>
    <w:rsid w:val="00574CF1"/>
    <w:rsid w:val="005F1636"/>
    <w:rsid w:val="0064563F"/>
    <w:rsid w:val="00652D2C"/>
    <w:rsid w:val="006A1C98"/>
    <w:rsid w:val="006D6E5B"/>
    <w:rsid w:val="00766FD7"/>
    <w:rsid w:val="00796317"/>
    <w:rsid w:val="00812FD5"/>
    <w:rsid w:val="00814C0D"/>
    <w:rsid w:val="00862186"/>
    <w:rsid w:val="0093068F"/>
    <w:rsid w:val="00992BC1"/>
    <w:rsid w:val="009D4366"/>
    <w:rsid w:val="009E4405"/>
    <w:rsid w:val="00A04818"/>
    <w:rsid w:val="00BA2E3A"/>
    <w:rsid w:val="00BD4548"/>
    <w:rsid w:val="00BE39FE"/>
    <w:rsid w:val="00C566A7"/>
    <w:rsid w:val="00C8571F"/>
    <w:rsid w:val="00CF119B"/>
    <w:rsid w:val="00D6468F"/>
    <w:rsid w:val="00E14882"/>
    <w:rsid w:val="00E20203"/>
    <w:rsid w:val="00E67329"/>
    <w:rsid w:val="00E714C2"/>
    <w:rsid w:val="00E74F81"/>
    <w:rsid w:val="00EB2C25"/>
    <w:rsid w:val="00F276DD"/>
    <w:rsid w:val="00F72DB0"/>
    <w:rsid w:val="00FC0819"/>
    <w:rsid w:val="00FC71FC"/>
    <w:rsid w:val="00FE5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493FE"/>
  <w15:chartTrackingRefBased/>
  <w15:docId w15:val="{A3B74489-2024-5B46-BA53-DF1C17A3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ibliography">
    <w:name w:val="Bibliography"/>
    <w:basedOn w:val="Normal"/>
    <w:next w:val="Normal"/>
    <w:uiPriority w:val="37"/>
    <w:unhideWhenUsed/>
    <w:qFormat/>
    <w:pPr>
      <w:ind w:firstLine="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customStyle="1" w:styleId="TableTitle">
    <w:name w:val="Table Title"/>
    <w:basedOn w:val="Normal"/>
    <w:next w:val="Normal"/>
    <w:uiPriority w:val="3"/>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5"/>
    <w:qFormat/>
    <w:pPr>
      <w:ind w:left="1440" w:firstLine="0"/>
    </w:pPr>
  </w:style>
  <w:style w:type="character" w:customStyle="1" w:styleId="QuoteChar">
    <w:name w:val="Quote Char"/>
    <w:basedOn w:val="DefaultParagraphFont"/>
    <w:link w:val="Quote"/>
    <w:uiPriority w:val="5"/>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eastAsiaTheme="majorEastAsia" w:hAnsiTheme="majorHAnsi" w:cstheme="majorBidi"/>
      <w:spacing w:val="-10"/>
      <w:kern w:val="28"/>
    </w:rPr>
  </w:style>
  <w:style w:type="character" w:customStyle="1" w:styleId="TitleChar">
    <w:name w:val="Title Char"/>
    <w:basedOn w:val="DefaultParagraphFont"/>
    <w:link w:val="Title"/>
    <w:uiPriority w:val="2"/>
    <w:rPr>
      <w:rFonts w:asciiTheme="majorHAnsi" w:eastAsiaTheme="majorEastAsia" w:hAnsiTheme="majorHAnsi"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2"/>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4"/>
    <w:qFormat/>
    <w:pPr>
      <w:spacing w:before="240"/>
    </w:pPr>
  </w:style>
  <w:style w:type="paragraph" w:customStyle="1" w:styleId="TableNote">
    <w:name w:val="Table Note"/>
    <w:basedOn w:val="Normal"/>
    <w:uiPriority w:val="4"/>
    <w:qFormat/>
    <w:pPr>
      <w:numPr>
        <w:numId w:val="11"/>
      </w:numPr>
    </w:pPr>
  </w:style>
  <w:style w:type="paragraph" w:customStyle="1" w:styleId="SectionTitle">
    <w:name w:val="Section Title"/>
    <w:basedOn w:val="Normal"/>
    <w:next w:val="Normal"/>
    <w:uiPriority w:val="3"/>
    <w:qFormat/>
    <w:pPr>
      <w:pageBreakBefore/>
      <w:ind w:firstLine="0"/>
      <w:jc w:val="center"/>
      <w:outlineLvl w:val="0"/>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unhideWhenUsed/>
    <w:qFormat/>
    <w:rsid w:val="00E20203"/>
    <w:pPr>
      <w:ind w:left="720"/>
      <w:contextualSpacing/>
    </w:pPr>
  </w:style>
  <w:style w:type="character" w:styleId="FootnoteReference">
    <w:name w:val="footnote reference"/>
    <w:basedOn w:val="DefaultParagraphFont"/>
    <w:uiPriority w:val="99"/>
    <w:semiHidden/>
    <w:unhideWhenUsed/>
    <w:rsid w:val="00BA2E3A"/>
    <w:rPr>
      <w:vertAlign w:val="superscript"/>
    </w:rPr>
  </w:style>
  <w:style w:type="character" w:styleId="Hyperlink">
    <w:name w:val="Hyperlink"/>
    <w:basedOn w:val="DefaultParagraphFont"/>
    <w:uiPriority w:val="99"/>
    <w:unhideWhenUsed/>
    <w:rsid w:val="009E4405"/>
    <w:rPr>
      <w:color w:val="5F5F5F" w:themeColor="hyperlink"/>
      <w:u w:val="single"/>
    </w:rPr>
  </w:style>
  <w:style w:type="character" w:styleId="UnresolvedMention">
    <w:name w:val="Unresolved Mention"/>
    <w:basedOn w:val="DefaultParagraphFont"/>
    <w:uiPriority w:val="99"/>
    <w:semiHidden/>
    <w:unhideWhenUsed/>
    <w:rsid w:val="009E4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17123183">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5115365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29933447">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462313456">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29811710">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964114477">
      <w:bodyDiv w:val="1"/>
      <w:marLeft w:val="0"/>
      <w:marRight w:val="0"/>
      <w:marTop w:val="0"/>
      <w:marBottom w:val="0"/>
      <w:divBdr>
        <w:top w:val="none" w:sz="0" w:space="0" w:color="auto"/>
        <w:left w:val="none" w:sz="0" w:space="0" w:color="auto"/>
        <w:bottom w:val="none" w:sz="0" w:space="0" w:color="auto"/>
        <w:right w:val="none" w:sz="0" w:space="0" w:color="auto"/>
      </w:divBdr>
    </w:div>
    <w:div w:id="990521695">
      <w:bodyDiv w:val="1"/>
      <w:marLeft w:val="0"/>
      <w:marRight w:val="0"/>
      <w:marTop w:val="0"/>
      <w:marBottom w:val="0"/>
      <w:divBdr>
        <w:top w:val="none" w:sz="0" w:space="0" w:color="auto"/>
        <w:left w:val="none" w:sz="0" w:space="0" w:color="auto"/>
        <w:bottom w:val="none" w:sz="0" w:space="0" w:color="auto"/>
        <w:right w:val="none" w:sz="0" w:space="0" w:color="auto"/>
      </w:divBdr>
    </w:div>
    <w:div w:id="1070032776">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095829683">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229464394">
      <w:bodyDiv w:val="1"/>
      <w:marLeft w:val="0"/>
      <w:marRight w:val="0"/>
      <w:marTop w:val="0"/>
      <w:marBottom w:val="0"/>
      <w:divBdr>
        <w:top w:val="none" w:sz="0" w:space="0" w:color="auto"/>
        <w:left w:val="none" w:sz="0" w:space="0" w:color="auto"/>
        <w:bottom w:val="none" w:sz="0" w:space="0" w:color="auto"/>
        <w:right w:val="none" w:sz="0" w:space="0" w:color="auto"/>
      </w:divBdr>
    </w:div>
    <w:div w:id="1282150248">
      <w:bodyDiv w:val="1"/>
      <w:marLeft w:val="0"/>
      <w:marRight w:val="0"/>
      <w:marTop w:val="0"/>
      <w:marBottom w:val="0"/>
      <w:divBdr>
        <w:top w:val="none" w:sz="0" w:space="0" w:color="auto"/>
        <w:left w:val="none" w:sz="0" w:space="0" w:color="auto"/>
        <w:bottom w:val="none" w:sz="0" w:space="0" w:color="auto"/>
        <w:right w:val="none" w:sz="0" w:space="0" w:color="auto"/>
      </w:divBdr>
    </w:div>
    <w:div w:id="1287394875">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496991836">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57223926">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685282161">
      <w:bodyDiv w:val="1"/>
      <w:marLeft w:val="0"/>
      <w:marRight w:val="0"/>
      <w:marTop w:val="0"/>
      <w:marBottom w:val="0"/>
      <w:divBdr>
        <w:top w:val="none" w:sz="0" w:space="0" w:color="auto"/>
        <w:left w:val="none" w:sz="0" w:space="0" w:color="auto"/>
        <w:bottom w:val="none" w:sz="0" w:space="0" w:color="auto"/>
        <w:right w:val="none" w:sz="0" w:space="0" w:color="auto"/>
      </w:divBdr>
    </w:div>
    <w:div w:id="1698461341">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737512223">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chaelsmith/Library/Containers/com.microsoft.Word/Data/Library/Application%20Support/Microsoft/Office/16.0/DTS/en-US%7b41A9AFE3-F819-9A40-8B26-D86811E7BAC8%7d/%7b76DBFF0E-12F4-E74D-AB26-A3FF67C25963%7dtf1000209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458A250F4AF44F9D1B1AA44159E8D9"/>
        <w:category>
          <w:name w:val="General"/>
          <w:gallery w:val="placeholder"/>
        </w:category>
        <w:types>
          <w:type w:val="bbPlcHdr"/>
        </w:types>
        <w:behaviors>
          <w:behavior w:val="content"/>
        </w:behaviors>
        <w:guid w:val="{8556632D-92C7-6047-B815-62A3BB7F2257}"/>
      </w:docPartPr>
      <w:docPartBody>
        <w:p w:rsidR="008B5FE5" w:rsidRDefault="005B47CA">
          <w:pPr>
            <w:pStyle w:val="DD458A250F4AF44F9D1B1AA44159E8D9"/>
          </w:pPr>
          <w:r>
            <w:t>Row Heading</w:t>
          </w:r>
        </w:p>
      </w:docPartBody>
    </w:docPart>
    <w:docPart>
      <w:docPartPr>
        <w:name w:val="01964FC0087D8146B111294AC7BFBF73"/>
        <w:category>
          <w:name w:val="General"/>
          <w:gallery w:val="placeholder"/>
        </w:category>
        <w:types>
          <w:type w:val="bbPlcHdr"/>
        </w:types>
        <w:behaviors>
          <w:behavior w:val="content"/>
        </w:behaviors>
        <w:guid w:val="{A273915A-4848-F842-917E-FB962BA6ACEB}"/>
      </w:docPartPr>
      <w:docPartBody>
        <w:p w:rsidR="008B5FE5" w:rsidRDefault="005B47CA">
          <w:pPr>
            <w:pStyle w:val="01964FC0087D8146B111294AC7BFBF73"/>
          </w:pPr>
          <w:r>
            <w:t>Row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7CA"/>
    <w:rsid w:val="005B47CA"/>
    <w:rsid w:val="006F0D2D"/>
    <w:rsid w:val="008B5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84BC5EE14D564E82C74C5B85C015FA">
    <w:name w:val="7884BC5EE14D564E82C74C5B85C015FA"/>
  </w:style>
  <w:style w:type="paragraph" w:customStyle="1" w:styleId="405BCB61396CE14C9FA1BD841A37D8E4">
    <w:name w:val="405BCB61396CE14C9FA1BD841A37D8E4"/>
  </w:style>
  <w:style w:type="paragraph" w:customStyle="1" w:styleId="CA8CD7387AF5EC42A95781C18368AAB1">
    <w:name w:val="CA8CD7387AF5EC42A95781C18368AAB1"/>
  </w:style>
  <w:style w:type="paragraph" w:customStyle="1" w:styleId="85170F8F49C42B43A986D5B073797AD1">
    <w:name w:val="85170F8F49C42B43A986D5B073797AD1"/>
  </w:style>
  <w:style w:type="paragraph" w:customStyle="1" w:styleId="A7C2CA807084B9438CD0BAEF377C05ED">
    <w:name w:val="A7C2CA807084B9438CD0BAEF377C05ED"/>
  </w:style>
  <w:style w:type="paragraph" w:customStyle="1" w:styleId="CFBDF73B69F41748856178D1755618D3">
    <w:name w:val="CFBDF73B69F41748856178D1755618D3"/>
  </w:style>
  <w:style w:type="character" w:styleId="Emphasis">
    <w:name w:val="Emphasis"/>
    <w:basedOn w:val="DefaultParagraphFont"/>
    <w:uiPriority w:val="2"/>
    <w:qFormat/>
    <w:rPr>
      <w:i/>
      <w:iCs/>
    </w:rPr>
  </w:style>
  <w:style w:type="paragraph" w:customStyle="1" w:styleId="6814D569C154ED4BB1BAE68B4D2C5765">
    <w:name w:val="6814D569C154ED4BB1BAE68B4D2C5765"/>
  </w:style>
  <w:style w:type="paragraph" w:customStyle="1" w:styleId="17CF23CBA1F17C469E790828063EA43B">
    <w:name w:val="17CF23CBA1F17C469E790828063EA43B"/>
  </w:style>
  <w:style w:type="paragraph" w:customStyle="1" w:styleId="5FE0A7C0115CC14EBFA517BDAC439176">
    <w:name w:val="5FE0A7C0115CC14EBFA517BDAC439176"/>
  </w:style>
  <w:style w:type="paragraph" w:customStyle="1" w:styleId="85DA95F5389A8F4DA22E2C3A13E276EA">
    <w:name w:val="85DA95F5389A8F4DA22E2C3A13E276EA"/>
  </w:style>
  <w:style w:type="paragraph" w:customStyle="1" w:styleId="1A35C752ACC02F468F75CAD5C508838A">
    <w:name w:val="1A35C752ACC02F468F75CAD5C508838A"/>
  </w:style>
  <w:style w:type="paragraph" w:customStyle="1" w:styleId="71D8E976BCF8574DACA2120227FE5172">
    <w:name w:val="71D8E976BCF8574DACA2120227FE5172"/>
  </w:style>
  <w:style w:type="paragraph" w:customStyle="1" w:styleId="DD458A250F4AF44F9D1B1AA44159E8D9">
    <w:name w:val="DD458A250F4AF44F9D1B1AA44159E8D9"/>
  </w:style>
  <w:style w:type="paragraph" w:customStyle="1" w:styleId="01964FC0087D8146B111294AC7BFBF73">
    <w:name w:val="01964FC0087D8146B111294AC7BFBF73"/>
  </w:style>
  <w:style w:type="paragraph" w:customStyle="1" w:styleId="CBBDDF69C7F0ED4A90F8C558EDF95663">
    <w:name w:val="CBBDDF69C7F0ED4A90F8C558EDF95663"/>
  </w:style>
  <w:style w:type="paragraph" w:customStyle="1" w:styleId="4894B52224BF684C9703F18A7B4F288D">
    <w:name w:val="4894B52224BF684C9703F18A7B4F288D"/>
  </w:style>
  <w:style w:type="paragraph" w:customStyle="1" w:styleId="39F30DB420C2794AB805ACCF5A7D2906">
    <w:name w:val="39F30DB420C2794AB805ACCF5A7D2906"/>
  </w:style>
  <w:style w:type="paragraph" w:customStyle="1" w:styleId="04D71497335C7946A221E3F0426DAC61">
    <w:name w:val="04D71497335C7946A221E3F0426DAC61"/>
  </w:style>
  <w:style w:type="paragraph" w:customStyle="1" w:styleId="55872997FF00C148982477A1438F0CA3">
    <w:name w:val="55872997FF00C148982477A1438F0CA3"/>
  </w:style>
  <w:style w:type="paragraph" w:customStyle="1" w:styleId="B3DFFB3A5C51F74D881236CE307B4B62">
    <w:name w:val="B3DFFB3A5C51F74D881236CE307B4B62"/>
  </w:style>
  <w:style w:type="paragraph" w:customStyle="1" w:styleId="CB990B9A60551A41A1D760FCE7BF5DF7">
    <w:name w:val="CB990B9A60551A41A1D760FCE7BF5DF7"/>
  </w:style>
  <w:style w:type="paragraph" w:styleId="Bibliography">
    <w:name w:val="Bibliography"/>
    <w:basedOn w:val="Normal"/>
    <w:next w:val="Normal"/>
    <w:uiPriority w:val="37"/>
    <w:semiHidden/>
    <w:unhideWhenUsed/>
  </w:style>
  <w:style w:type="paragraph" w:customStyle="1" w:styleId="574F2F34CD45974CBE3738EFCDA48926">
    <w:name w:val="574F2F34CD45974CBE3738EFCDA489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Smith</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1E9C59-06F2-DE47-AC6F-9BE065FB3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{76DBFF0E-12F4-E74D-AB26-A3FF67C25963}tf10002092.dotx</Template>
  <TotalTime>984</TotalTime>
  <Pages>8</Pages>
  <Words>2181</Words>
  <Characters>12434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Smith</dc:creator>
  <cp:keywords/>
  <dc:description/>
  <cp:lastModifiedBy>Michael Smith</cp:lastModifiedBy>
  <cp:revision>23</cp:revision>
  <cp:lastPrinted>2020-03-06T15:21:00Z</cp:lastPrinted>
  <dcterms:created xsi:type="dcterms:W3CDTF">2020-03-05T15:09:00Z</dcterms:created>
  <dcterms:modified xsi:type="dcterms:W3CDTF">2020-03-17T15:37:00Z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TC039848419991</vt:lpwstr>
  </property>
  <property fmtid="{D5CDD505-2E9C-101B-9397-08002B2CF9AE}" pid="3" name="AssetID">
    <vt:lpwstr>TF10002068</vt:lpwstr>
  </property>
</Properties>
</file>