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2" w:rsidRPr="00EB6BB0" w:rsidRDefault="00E31FA7" w:rsidP="00062489">
      <w:pPr>
        <w:pStyle w:val="Heading5"/>
        <w:spacing w:line="360" w:lineRule="auto"/>
        <w:jc w:val="both"/>
        <w:rPr>
          <w:sz w:val="28"/>
          <w:rtl/>
        </w:rPr>
      </w:pPr>
      <w:r>
        <w:rPr>
          <w:noProof/>
          <w:sz w:val="28"/>
          <w:rtl/>
          <w:lang w:bidi="ar-SA"/>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Heading5"/>
        <w:spacing w:line="360" w:lineRule="auto"/>
        <w:jc w:val="both"/>
        <w:rPr>
          <w:sz w:val="28"/>
          <w:rtl/>
        </w:rPr>
      </w:pPr>
      <w:r>
        <w:rPr>
          <w:noProof/>
          <w:sz w:val="28"/>
          <w:rtl/>
          <w:lang w:bidi="ar-SA"/>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lastRenderedPageBreak/>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7618EB" w:rsidRPr="003B5659" w:rsidRDefault="007618EB" w:rsidP="003B5659">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p w:rsidR="007618EB" w:rsidRPr="000F1134" w:rsidRDefault="007618EB" w:rsidP="00062489">
      <w:pPr>
        <w:tabs>
          <w:tab w:val="center" w:pos="4153"/>
        </w:tabs>
        <w:spacing w:line="480" w:lineRule="auto"/>
        <w:jc w:val="both"/>
        <w:rPr>
          <w:rFonts w:cs="David"/>
          <w:sz w:val="24"/>
          <w:szCs w:val="24"/>
          <w:rtl/>
        </w:rPr>
      </w:pPr>
    </w:p>
    <w:tbl>
      <w:tblPr>
        <w:tblStyle w:val="TableGrid"/>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ListParagraph"/>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8A0937" w:rsidP="00062489">
            <w:pPr>
              <w:tabs>
                <w:tab w:val="center" w:pos="4153"/>
              </w:tabs>
              <w:spacing w:line="360" w:lineRule="auto"/>
              <w:jc w:val="both"/>
              <w:rPr>
                <w:rFonts w:cs="David"/>
                <w:sz w:val="24"/>
                <w:szCs w:val="24"/>
                <w:rtl/>
              </w:rPr>
            </w:pPr>
            <w:r>
              <w:rPr>
                <w:rFonts w:cs="David"/>
                <w:sz w:val="24"/>
                <w:szCs w:val="24"/>
                <w:rtl/>
              </w:rPr>
              <w:t>40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8A0937" w:rsidP="00062489">
            <w:pPr>
              <w:tabs>
                <w:tab w:val="center" w:pos="4153"/>
              </w:tabs>
              <w:spacing w:line="360" w:lineRule="auto"/>
              <w:jc w:val="both"/>
              <w:rPr>
                <w:rFonts w:cs="David"/>
                <w:sz w:val="24"/>
                <w:szCs w:val="24"/>
                <w:rtl/>
              </w:rPr>
            </w:pPr>
            <w:r>
              <w:rPr>
                <w:rFonts w:cs="David"/>
                <w:sz w:val="24"/>
                <w:szCs w:val="24"/>
                <w:rtl/>
              </w:rPr>
              <w:t>20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8A0937" w:rsidP="00062489">
            <w:pPr>
              <w:tabs>
                <w:tab w:val="center" w:pos="4153"/>
              </w:tabs>
              <w:spacing w:line="360" w:lineRule="auto"/>
              <w:jc w:val="both"/>
              <w:rPr>
                <w:rFonts w:cs="David"/>
                <w:sz w:val="24"/>
                <w:szCs w:val="24"/>
                <w:rtl/>
              </w:rPr>
            </w:pPr>
            <w:r>
              <w:rPr>
                <w:rFonts w:cs="David"/>
                <w:sz w:val="24"/>
                <w:szCs w:val="24"/>
                <w:rtl/>
              </w:rPr>
              <w:t>30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8A0937" w:rsidP="00062489">
            <w:pPr>
              <w:tabs>
                <w:tab w:val="center" w:pos="4153"/>
              </w:tabs>
              <w:spacing w:line="360" w:lineRule="auto"/>
              <w:jc w:val="both"/>
              <w:rPr>
                <w:rFonts w:cs="David"/>
                <w:sz w:val="24"/>
                <w:szCs w:val="24"/>
                <w:rtl/>
              </w:rPr>
            </w:pPr>
            <w:r>
              <w:rPr>
                <w:rFonts w:cs="David"/>
                <w:sz w:val="24"/>
                <w:szCs w:val="24"/>
                <w:rtl/>
              </w:rPr>
              <w:t>10</w:t>
            </w:r>
          </w:p>
        </w:tc>
      </w:tr>
    </w:tbl>
    <w:p w:rsidR="007618EB" w:rsidRPr="000F1134" w:rsidRDefault="007618EB" w:rsidP="00062489">
      <w:pPr>
        <w:tabs>
          <w:tab w:val="center" w:pos="4153"/>
        </w:tabs>
        <w:spacing w:line="360" w:lineRule="auto"/>
        <w:jc w:val="both"/>
        <w:rPr>
          <w:rFonts w:cs="David"/>
          <w:sz w:val="24"/>
          <w:szCs w:val="24"/>
        </w:rPr>
      </w:pPr>
    </w:p>
    <w:p w:rsidR="00B66954" w:rsidRDefault="003B5659" w:rsidP="00062489">
      <w:pPr>
        <w:jc w:val="both"/>
        <w:rPr>
          <w:rFonts w:cs="David"/>
          <w:b/>
          <w:bCs/>
          <w:sz w:val="28"/>
          <w:szCs w:val="28"/>
          <w:rtl/>
        </w:rPr>
      </w:pPr>
      <w:r w:rsidRPr="00AE05B6">
        <w:rPr>
          <w:rFonts w:cs="David" w:hint="cs"/>
          <w:b/>
          <w:bCs/>
          <w:sz w:val="28"/>
          <w:szCs w:val="28"/>
          <w:rtl/>
        </w:rPr>
        <w:t>הערכה כללית:</w:t>
      </w:r>
    </w:p>
    <w:p w:rsidR="008A0937" w:rsidRPr="008A0937" w:rsidRDefault="00AE05B6" w:rsidP="008A0937">
      <w:pPr>
        <w:rPr>
          <w:rFonts w:ascii="Arial" w:hAnsi="Arial" w:cs="Arial"/>
          <w:noProof w:val="0"/>
          <w:color w:val="222222"/>
          <w:sz w:val="24"/>
          <w:szCs w:val="24"/>
          <w:lang w:eastAsia="en-US" w:bidi="ar-SA"/>
        </w:rPr>
      </w:pPr>
      <w:r>
        <w:rPr>
          <w:rFonts w:cs="David" w:hint="cs"/>
          <w:b/>
          <w:bCs/>
          <w:sz w:val="28"/>
          <w:szCs w:val="28"/>
          <w:rtl/>
        </w:rPr>
        <w:t>_____________________________________________________</w:t>
      </w:r>
      <w:r w:rsidR="008A0937" w:rsidRPr="008A0937">
        <w:rPr>
          <w:rFonts w:ascii="Arial" w:hAnsi="Arial" w:cs="Arial"/>
          <w:color w:val="222222"/>
          <w:sz w:val="24"/>
          <w:szCs w:val="24"/>
        </w:rPr>
        <w:t xml:space="preserve"> </w:t>
      </w:r>
      <w:proofErr w:type="spellStart"/>
      <w:r w:rsidR="008A0937" w:rsidRPr="008A0937">
        <w:rPr>
          <w:rFonts w:ascii="Arial" w:hAnsi="Arial" w:cs="Arial"/>
          <w:noProof w:val="0"/>
          <w:color w:val="222222"/>
          <w:sz w:val="24"/>
          <w:szCs w:val="24"/>
          <w:lang w:eastAsia="en-US" w:bidi="ar-SA"/>
        </w:rPr>
        <w:t>Gilad</w:t>
      </w:r>
      <w:proofErr w:type="spellEnd"/>
      <w:r w:rsidR="008A0937" w:rsidRPr="008A0937">
        <w:rPr>
          <w:rFonts w:ascii="Arial" w:hAnsi="Arial" w:cs="Arial"/>
          <w:noProof w:val="0"/>
          <w:color w:val="222222"/>
          <w:sz w:val="24"/>
          <w:szCs w:val="24"/>
          <w:lang w:eastAsia="en-US" w:bidi="ar-SA"/>
        </w:rPr>
        <w:t xml:space="preserve"> </w:t>
      </w:r>
      <w:proofErr w:type="spellStart"/>
      <w:r w:rsidR="008A0937" w:rsidRPr="008A0937">
        <w:rPr>
          <w:rFonts w:ascii="Arial" w:hAnsi="Arial" w:cs="Arial"/>
          <w:noProof w:val="0"/>
          <w:color w:val="222222"/>
          <w:sz w:val="24"/>
          <w:szCs w:val="24"/>
          <w:lang w:eastAsia="en-US" w:bidi="ar-SA"/>
        </w:rPr>
        <w:t>Biran</w:t>
      </w:r>
      <w:proofErr w:type="spellEnd"/>
      <w:r w:rsidR="008A0937" w:rsidRPr="008A0937">
        <w:rPr>
          <w:rFonts w:ascii="Arial" w:hAnsi="Arial" w:cs="Arial"/>
          <w:noProof w:val="0"/>
          <w:color w:val="222222"/>
          <w:sz w:val="24"/>
          <w:szCs w:val="24"/>
          <w:lang w:eastAsia="en-US" w:bidi="ar-SA"/>
        </w:rPr>
        <w:t>: 100</w:t>
      </w:r>
    </w:p>
    <w:p w:rsidR="008A0937" w:rsidRPr="008A0937" w:rsidRDefault="008A0937" w:rsidP="008A0937">
      <w:pPr>
        <w:bidi w:val="0"/>
        <w:rPr>
          <w:rFonts w:ascii="Arial" w:hAnsi="Arial" w:cs="Arial"/>
          <w:noProof w:val="0"/>
          <w:color w:val="222222"/>
          <w:sz w:val="24"/>
          <w:szCs w:val="24"/>
          <w:lang w:eastAsia="en-US" w:bidi="ar-SA"/>
        </w:rPr>
      </w:pPr>
    </w:p>
    <w:p w:rsidR="008A0937" w:rsidRPr="008A0937" w:rsidRDefault="008A0937" w:rsidP="008A0937">
      <w:pPr>
        <w:bidi w:val="0"/>
        <w:rPr>
          <w:rFonts w:ascii="Arial" w:hAnsi="Arial" w:cs="Arial"/>
          <w:noProof w:val="0"/>
          <w:color w:val="222222"/>
          <w:sz w:val="24"/>
          <w:szCs w:val="24"/>
          <w:lang w:eastAsia="en-US" w:bidi="ar-SA"/>
        </w:rPr>
      </w:pPr>
      <w:r w:rsidRPr="008A0937">
        <w:rPr>
          <w:rFonts w:ascii="Arial" w:hAnsi="Arial" w:cs="Arial"/>
          <w:noProof w:val="0"/>
          <w:color w:val="222222"/>
          <w:sz w:val="24"/>
          <w:szCs w:val="24"/>
          <w:lang w:eastAsia="en-US" w:bidi="ar-SA"/>
        </w:rPr>
        <w:t xml:space="preserve">This is an excellent paper. Very well written, structured, with a clear research question, sharp argument and strait-forward findings. The biggest contribution is three fold: (1) using the unorthodox frame of reference for military innovation - non Western experience in the field, which highlights original perspective which might be relevant to Israel; (2) critical discussion of foreign military innovation as a general method of learning lessons; (2) the findings related to the possible lessons learned for the Israeli practitioners, in particular observation about an optimal organizational juxtaposition of the AD corps within the IDF. If the author intends to publish the work and/or to continue on this avenue of research, I would strongly encourage him to highlight better </w:t>
      </w:r>
      <w:r w:rsidRPr="008A0937">
        <w:rPr>
          <w:rFonts w:ascii="Arial" w:hAnsi="Arial" w:cs="Arial"/>
          <w:noProof w:val="0"/>
          <w:color w:val="222222"/>
          <w:sz w:val="24"/>
          <w:szCs w:val="24"/>
          <w:lang w:eastAsia="en-US" w:bidi="ar-SA"/>
        </w:rPr>
        <w:lastRenderedPageBreak/>
        <w:t>how the conclusions and lessons learned emanate from the foreign experience.</w:t>
      </w:r>
    </w:p>
    <w:p w:rsidR="00AE05B6" w:rsidRPr="00AE05B6" w:rsidRDefault="00AE05B6" w:rsidP="00062489">
      <w:pPr>
        <w:jc w:val="both"/>
        <w:rPr>
          <w:rFonts w:cs="David"/>
          <w:b/>
          <w:bCs/>
          <w:sz w:val="28"/>
          <w:szCs w:val="28"/>
        </w:rPr>
      </w:pPr>
      <w:bookmarkStart w:id="0" w:name="_GoBack"/>
      <w:bookmarkEnd w:id="0"/>
      <w:r>
        <w:rPr>
          <w:rFonts w:cs="David" w:hint="cs"/>
          <w:b/>
          <w:bCs/>
          <w:sz w:val="28"/>
          <w:szCs w:val="28"/>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E05B6" w:rsidRPr="00AE05B6"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David">
    <w:altName w:val="Didot"/>
    <w:charset w:val="B1"/>
    <w:family w:val="swiss"/>
    <w:pitch w:val="variable"/>
    <w:sig w:usb0="00000801" w:usb1="00000000" w:usb2="00000000" w:usb3="00000000" w:csb0="0000002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iriam">
    <w:charset w:val="B1"/>
    <w:family w:val="swiss"/>
    <w:pitch w:val="variable"/>
    <w:sig w:usb0="00000801" w:usb1="00000000" w:usb2="00000000" w:usb3="00000000" w:csb0="0000002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2"/>
    <w:rsid w:val="000018FD"/>
    <w:rsid w:val="000134E0"/>
    <w:rsid w:val="00062489"/>
    <w:rsid w:val="00154640"/>
    <w:rsid w:val="001703B4"/>
    <w:rsid w:val="002031F9"/>
    <w:rsid w:val="003B5659"/>
    <w:rsid w:val="003E7942"/>
    <w:rsid w:val="004C3511"/>
    <w:rsid w:val="00534EE1"/>
    <w:rsid w:val="005A7518"/>
    <w:rsid w:val="00633B65"/>
    <w:rsid w:val="006641E2"/>
    <w:rsid w:val="00682B82"/>
    <w:rsid w:val="006A7230"/>
    <w:rsid w:val="006D2E39"/>
    <w:rsid w:val="006D6025"/>
    <w:rsid w:val="006F0942"/>
    <w:rsid w:val="00736085"/>
    <w:rsid w:val="007618EB"/>
    <w:rsid w:val="007B27A0"/>
    <w:rsid w:val="007B4209"/>
    <w:rsid w:val="007B4EED"/>
    <w:rsid w:val="007C175A"/>
    <w:rsid w:val="008070E9"/>
    <w:rsid w:val="00842022"/>
    <w:rsid w:val="008953E1"/>
    <w:rsid w:val="008A0937"/>
    <w:rsid w:val="008E6CD4"/>
    <w:rsid w:val="00961BC0"/>
    <w:rsid w:val="00963880"/>
    <w:rsid w:val="009B35B9"/>
    <w:rsid w:val="00A06CF9"/>
    <w:rsid w:val="00A41A6F"/>
    <w:rsid w:val="00A44F4D"/>
    <w:rsid w:val="00A553E8"/>
    <w:rsid w:val="00A72D22"/>
    <w:rsid w:val="00AC5A6B"/>
    <w:rsid w:val="00AE05B6"/>
    <w:rsid w:val="00B4426F"/>
    <w:rsid w:val="00B66954"/>
    <w:rsid w:val="00B74B13"/>
    <w:rsid w:val="00BA7BEE"/>
    <w:rsid w:val="00BD3C14"/>
    <w:rsid w:val="00BF4B10"/>
    <w:rsid w:val="00C0178D"/>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8890">
      <w:bodyDiv w:val="1"/>
      <w:marLeft w:val="0"/>
      <w:marRight w:val="0"/>
      <w:marTop w:val="0"/>
      <w:marBottom w:val="0"/>
      <w:divBdr>
        <w:top w:val="none" w:sz="0" w:space="0" w:color="auto"/>
        <w:left w:val="none" w:sz="0" w:space="0" w:color="auto"/>
        <w:bottom w:val="none" w:sz="0" w:space="0" w:color="auto"/>
        <w:right w:val="none" w:sz="0" w:space="0" w:color="auto"/>
      </w:divBdr>
      <w:divsChild>
        <w:div w:id="895748712">
          <w:marLeft w:val="0"/>
          <w:marRight w:val="0"/>
          <w:marTop w:val="0"/>
          <w:marBottom w:val="0"/>
          <w:divBdr>
            <w:top w:val="none" w:sz="0" w:space="0" w:color="auto"/>
            <w:left w:val="none" w:sz="0" w:space="0" w:color="auto"/>
            <w:bottom w:val="none" w:sz="0" w:space="0" w:color="auto"/>
            <w:right w:val="none" w:sz="0" w:space="0" w:color="auto"/>
          </w:divBdr>
        </w:div>
        <w:div w:id="912086717">
          <w:marLeft w:val="0"/>
          <w:marRight w:val="0"/>
          <w:marTop w:val="0"/>
          <w:marBottom w:val="0"/>
          <w:divBdr>
            <w:top w:val="none" w:sz="0" w:space="0" w:color="auto"/>
            <w:left w:val="none" w:sz="0" w:space="0" w:color="auto"/>
            <w:bottom w:val="none" w:sz="0" w:space="0" w:color="auto"/>
            <w:right w:val="none" w:sz="0" w:space="0" w:color="auto"/>
          </w:divBdr>
        </w:div>
        <w:div w:id="637802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3700</Characters>
  <Application>Microsoft Macintosh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Dmitry Adamsky</cp:lastModifiedBy>
  <cp:revision>2</cp:revision>
  <cp:lastPrinted>2017-01-12T07:38:00Z</cp:lastPrinted>
  <dcterms:created xsi:type="dcterms:W3CDTF">2019-06-06T08:46:00Z</dcterms:created>
  <dcterms:modified xsi:type="dcterms:W3CDTF">2019-06-06T08:46:00Z</dcterms:modified>
</cp:coreProperties>
</file>