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517340">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E81237">
        <w:rPr>
          <w:rFonts w:ascii="David" w:hAnsi="David" w:cs="David" w:hint="cs"/>
          <w:sz w:val="28"/>
          <w:szCs w:val="28"/>
          <w:rtl/>
        </w:rPr>
        <w:t>שורים. תומכי טענה זאת, העריכו שהמפגש העוצמתי בין תהליך הגלובליזציה לבין מדינת הלאום יוביל לדיפוזיה של עוצמה מהמדינה לארגונים על מדינתיים ובינ"ל</w:t>
      </w:r>
      <w:r w:rsidR="003D4AB3">
        <w:rPr>
          <w:rFonts w:ascii="David" w:hAnsi="David" w:cs="David" w:hint="cs"/>
          <w:sz w:val="28"/>
          <w:szCs w:val="28"/>
          <w:rtl/>
        </w:rPr>
        <w:t xml:space="preserve"> 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6C1343">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w:t>
      </w:r>
      <w:r w:rsidR="00D523DF" w:rsidRPr="00D523DF">
        <w:rPr>
          <w:rFonts w:cs="David"/>
          <w:sz w:val="28"/>
          <w:szCs w:val="28"/>
        </w:rPr>
        <w:t xml:space="preserve"> (Rubenstein and Adler, 2000: 526)</w:t>
      </w:r>
      <w:r w:rsidR="006C1343">
        <w:rPr>
          <w:rFonts w:cs="David" w:hint="cs"/>
          <w:sz w:val="28"/>
          <w:szCs w:val="28"/>
          <w:rtl/>
        </w:rPr>
        <w:t>, על מדינת הלאום:</w:t>
      </w:r>
    </w:p>
    <w:p w:rsidR="006C1343" w:rsidRDefault="006C1343" w:rsidP="005C4A05">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הקשר זה</w:t>
      </w:r>
      <w:r>
        <w:rPr>
          <w:rFonts w:cs="David" w:hint="cs"/>
          <w:sz w:val="28"/>
          <w:szCs w:val="28"/>
          <w:rtl/>
        </w:rPr>
        <w:t xml:space="preserve">, פתחה את גבולות המדינה וצמצמה את יכולת ההשפעה של מדינת הלאום על הכלכלה הלאומית. </w:t>
      </w:r>
    </w:p>
    <w:p w:rsidR="006C1343"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פתיחת השווקים, בתורה, האיצה גם תהליכי הגירה וניידות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העצימו מאד גם את כוחם של מוסדות בינ"ל,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p>
    <w:p w:rsidR="005C4A05" w:rsidRDefault="003D4AB3" w:rsidP="005C4A05">
      <w:pPr>
        <w:bidi/>
        <w:spacing w:after="120" w:line="360" w:lineRule="auto"/>
        <w:ind w:left="360"/>
        <w:jc w:val="both"/>
        <w:rPr>
          <w:rFonts w:cs="David"/>
          <w:sz w:val="28"/>
          <w:szCs w:val="28"/>
          <w:rtl/>
        </w:rPr>
      </w:pPr>
      <w:r>
        <w:rPr>
          <w:rFonts w:cs="David" w:hint="cs"/>
          <w:sz w:val="28"/>
          <w:szCs w:val="28"/>
          <w:rtl/>
        </w:rPr>
        <w:lastRenderedPageBreak/>
        <w:t xml:space="preserve">עם זאת, </w:t>
      </w:r>
      <w:r w:rsidR="005C4A05">
        <w:rPr>
          <w:rFonts w:cs="David" w:hint="cs"/>
          <w:sz w:val="28"/>
          <w:szCs w:val="28"/>
          <w:rtl/>
        </w:rPr>
        <w:t xml:space="preserve">למרות נבואות הזעם, מדינת הלאום הפגינה אמנם אותגרה, אך הפגינה עמידות וסתגלנות ולקראת סיום המילניום הקודם, נראה היה שה"שמועות על מותה" של מדינת הלאום היו מוקדמות. </w:t>
      </w:r>
    </w:p>
    <w:p w:rsidR="009A1CD6" w:rsidRDefault="003D4AB3" w:rsidP="003D4AB3">
      <w:pPr>
        <w:bidi/>
        <w:spacing w:after="120" w:line="360" w:lineRule="auto"/>
        <w:ind w:left="360"/>
        <w:jc w:val="both"/>
        <w:rPr>
          <w:rFonts w:cs="David"/>
          <w:sz w:val="28"/>
          <w:szCs w:val="28"/>
          <w:rtl/>
        </w:rPr>
      </w:pPr>
      <w:r>
        <w:rPr>
          <w:rFonts w:cs="David" w:hint="cs"/>
          <w:sz w:val="28"/>
          <w:szCs w:val="28"/>
          <w:rtl/>
        </w:rPr>
        <w:t>הגם שכך, ב</w:t>
      </w:r>
      <w:r w:rsidR="005C4A05">
        <w:rPr>
          <w:rFonts w:cs="David" w:hint="cs"/>
          <w:sz w:val="28"/>
          <w:szCs w:val="28"/>
          <w:rtl/>
        </w:rPr>
        <w:t xml:space="preserve">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sidR="005C4A05">
        <w:rPr>
          <w:rFonts w:cs="David" w:hint="cs"/>
          <w:sz w:val="28"/>
          <w:szCs w:val="28"/>
          <w:rtl/>
        </w:rPr>
        <w:t>והעצימה מאד את השפעות הגלובליזציה</w:t>
      </w:r>
      <w:r w:rsidR="009A1CD6">
        <w:rPr>
          <w:rFonts w:cs="David" w:hint="cs"/>
          <w:sz w:val="28"/>
          <w:szCs w:val="28"/>
          <w:rtl/>
        </w:rPr>
        <w:t xml:space="preserve">. תופעת הרשת, מטבעה, אינה מקבלת את הגדרות מדינת הלאום, היא נטולת גבולות פיזיים, נטולת היררכיה ברורה ויכולת השליטה בה מוגבלת.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עליבאבא, הן כוח כלכלי ותרבותי עוצמתי שפועל מעל לראשן של מדינות הלאום. </w:t>
      </w:r>
      <w:r w:rsidR="004F0A13">
        <w:rPr>
          <w:rFonts w:cs="David" w:hint="cs"/>
          <w:sz w:val="28"/>
          <w:szCs w:val="28"/>
          <w:rtl/>
        </w:rPr>
        <w:t>ההשפעות של חברות אלו אינן עוצרות במימד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טוויטר ופייסבוק, על ארגון המחאות. </w:t>
      </w:r>
    </w:p>
    <w:p w:rsidR="003C22B8" w:rsidRDefault="003C22B8" w:rsidP="003C22B8">
      <w:pPr>
        <w:bidi/>
        <w:spacing w:after="120" w:line="360" w:lineRule="auto"/>
        <w:ind w:left="360"/>
        <w:jc w:val="both"/>
        <w:rPr>
          <w:rFonts w:cs="David"/>
          <w:sz w:val="28"/>
          <w:szCs w:val="28"/>
          <w:rtl/>
        </w:rPr>
      </w:pPr>
      <w:r>
        <w:rPr>
          <w:rFonts w:cs="David" w:hint="cs"/>
          <w:sz w:val="28"/>
          <w:szCs w:val="28"/>
          <w:rtl/>
        </w:rPr>
        <w:t>בנקודה זאת, חשוב למקד את הניתוח בסוגיית הביטחון הלאומי ובשאלה, כיצד השפיע השינוי במאפייני האתגרים על מדינת הלאום על תפיסות הביטחון הלאומי.</w:t>
      </w:r>
    </w:p>
    <w:p w:rsidR="00CF088F" w:rsidRDefault="003C22B8" w:rsidP="001324E6">
      <w:pPr>
        <w:bidi/>
        <w:spacing w:after="120" w:line="360" w:lineRule="auto"/>
        <w:ind w:left="360"/>
        <w:jc w:val="both"/>
        <w:rPr>
          <w:rFonts w:ascii="David" w:hAnsi="David" w:cs="David"/>
          <w:sz w:val="28"/>
          <w:szCs w:val="28"/>
          <w:rtl/>
        </w:rPr>
      </w:pPr>
      <w:r>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Style w:val="ab"/>
          <w:rFonts w:ascii="David" w:hAnsi="David" w:cs="David"/>
          <w:sz w:val="28"/>
          <w:szCs w:val="28"/>
          <w:rtl/>
        </w:rPr>
        <w:footnoteReference w:id="3"/>
      </w:r>
      <w:r w:rsidR="00CF088F" w:rsidRPr="002C5605">
        <w:rPr>
          <w:rFonts w:ascii="David" w:hAnsi="David" w:cs="David" w:hint="cs"/>
          <w:sz w:val="28"/>
          <w:szCs w:val="28"/>
          <w:rtl/>
        </w:rPr>
        <w:t>.</w:t>
      </w:r>
      <w:r w:rsidR="00CF088F">
        <w:rPr>
          <w:rFonts w:ascii="David" w:hAnsi="David" w:cs="David" w:hint="cs"/>
          <w:sz w:val="28"/>
          <w:szCs w:val="28"/>
          <w:rtl/>
        </w:rPr>
        <w:t xml:space="preserve"> </w:t>
      </w:r>
      <w:r w:rsidR="00CF088F">
        <w:rPr>
          <w:rFonts w:cs="David" w:hint="cs"/>
          <w:sz w:val="28"/>
          <w:szCs w:val="28"/>
          <w:rtl/>
        </w:rPr>
        <w:t xml:space="preserve">על פי גישה זאת, מדינת הלאום היא השחקן שמחזיק בידיו את רוב הכלים, כאשר כלי העוצמה הקשה, ובראשם הכוח הצבאי, הם מרכיב יסוד למימוש או הגנה על ידי הביטחון הלאומי.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lastRenderedPageBreak/>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ab"/>
          <w:rFonts w:ascii="David" w:hAnsi="David" w:cs="David"/>
          <w:sz w:val="28"/>
          <w:szCs w:val="28"/>
          <w:rtl/>
        </w:rPr>
        <w:footnoteReference w:id="4"/>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קיומים</w:t>
      </w:r>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Pr>
          <w:rStyle w:val="ab"/>
          <w:rFonts w:ascii="David" w:hAnsi="David" w:cs="David"/>
          <w:sz w:val="28"/>
          <w:szCs w:val="28"/>
          <w:rtl/>
        </w:rPr>
        <w:footnoteReference w:id="5"/>
      </w:r>
      <w:r w:rsidRPr="002C5605">
        <w:rPr>
          <w:rFonts w:ascii="David" w:hAnsi="David" w:cs="David" w:hint="cs"/>
          <w:sz w:val="28"/>
          <w:szCs w:val="28"/>
          <w:rtl/>
        </w:rPr>
        <w:t>.</w:t>
      </w:r>
    </w:p>
    <w:p w:rsidR="003A6245"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מכל מקום, מהאבולוציה בתיאוריות לגבי הביטחון לאומי ניתן לראות בבירור, שככל שעלו האתגרים על מדינת הלאום, כך תפיסת הביטחון הלאומי הפכה רחבה יותר,</w:t>
      </w:r>
      <w:r w:rsidR="00DF7A6C">
        <w:rPr>
          <w:rFonts w:ascii="David" w:hAnsi="David" w:cs="David" w:hint="cs"/>
          <w:sz w:val="28"/>
          <w:szCs w:val="28"/>
          <w:rtl/>
        </w:rPr>
        <w:t xml:space="preserve"> שכן היה עליה להתמודד עם סט חדש של אתגרים שחלק ניכר מהם נובע מפתיחת הגבולות (הפיזיים, הכלכליים והוירטואלים) של מדינת הלאום. במקביל, ניתן לראות שמקומו של המימד הצבאי בתפיסות הביטחון הלאומי עדיין דומיננטי אך הולך ומצטמצם. זאת, מכיוון שרבות מהמדינות שעימן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sz w:val="28"/>
          <w:szCs w:val="28"/>
          <w:rtl/>
        </w:rPr>
      </w:pPr>
      <w:r>
        <w:rPr>
          <w:rFonts w:ascii="David" w:hAnsi="David" w:cs="David" w:hint="cs"/>
          <w:sz w:val="28"/>
          <w:szCs w:val="28"/>
          <w:rtl/>
        </w:rPr>
        <w:lastRenderedPageBreak/>
        <w:t xml:space="preserve">משבר ההגירה באירופה, שנחשב היום כבעיה המרכזית עימה מתמודדת היבשת, מהווה דוגמא טובה להמחשת התופעות והמתחים בהם עסקנו עד כה: </w:t>
      </w:r>
    </w:p>
    <w:p w:rsidR="003C296A" w:rsidRDefault="003C296A" w:rsidP="007C75F0">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היחלשות מדינת הלאום </w:t>
      </w:r>
      <w:r>
        <w:rPr>
          <w:rFonts w:ascii="David" w:hAnsi="David" w:cs="David"/>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6"/>
      </w:r>
      <w:r w:rsidR="00BA0F94">
        <w:rPr>
          <w:rFonts w:ascii="David" w:hAnsi="David" w:cs="David" w:hint="cs"/>
          <w:sz w:val="28"/>
          <w:szCs w:val="28"/>
          <w:rtl/>
        </w:rPr>
        <w:t xml:space="preserve">. </w:t>
      </w:r>
      <w:r w:rsidR="00C418AD">
        <w:rPr>
          <w:rFonts w:ascii="David" w:hAnsi="David" w:cs="David" w:hint="cs"/>
          <w:sz w:val="28"/>
          <w:szCs w:val="28"/>
          <w:rtl/>
        </w:rPr>
        <w:t>יתרה מכך, היקפי המשבר ורב המימדיות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השתנות אופי האיומים ובעקבותיהם תפיסות הביטחון הלאומי </w:t>
      </w:r>
      <w:r>
        <w:rPr>
          <w:rFonts w:ascii="David" w:hAnsi="David" w:cs="David"/>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ומימד האיום הוא לא רק ביטחוני או כלכלי. מדובר במשבר מרובה שחקנים (מדינות, ארגונים בינלאומיים, קבוצות, בודדים); רב מימדי (כלכלי, ביטחוני, חברתי, משפטי) שמאיים לא רק על מימדים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ירידת מרכזיות המימד הצבאי </w:t>
      </w:r>
      <w:r>
        <w:rPr>
          <w:rFonts w:ascii="David" w:hAnsi="David" w:cs="David"/>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המהפיכות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w:t>
      </w:r>
      <w:r>
        <w:rPr>
          <w:rFonts w:ascii="David" w:hAnsi="David" w:cs="David" w:hint="cs"/>
          <w:sz w:val="28"/>
          <w:szCs w:val="28"/>
          <w:rtl/>
        </w:rPr>
        <w:lastRenderedPageBreak/>
        <w:t xml:space="preserve">תת מדינתיים; האתגרים הפכו להיות מגוונים יותר ומשלבים איומים ביטחוניים "קשים" וישירים עם איומים "רכים" ועקיפים. </w:t>
      </w:r>
    </w:p>
    <w:p w:rsidR="00F511FE" w:rsidRDefault="00F511FE" w:rsidP="00F511FE">
      <w:pPr>
        <w:bidi/>
        <w:spacing w:after="120" w:line="360" w:lineRule="auto"/>
        <w:jc w:val="both"/>
        <w:rPr>
          <w:rFonts w:cs="David"/>
          <w:sz w:val="28"/>
          <w:szCs w:val="28"/>
          <w:rtl/>
        </w:rPr>
      </w:pPr>
      <w:r>
        <w:rPr>
          <w:rFonts w:ascii="David" w:hAnsi="David" w:cs="David" w:hint="cs"/>
          <w:sz w:val="28"/>
          <w:szCs w:val="28"/>
          <w:rtl/>
        </w:rPr>
        <w:t xml:space="preserve">עם זאת, למרות הירידה בעוצמתה מדינת הלאום מגלה שרידות והסתגלות. גם במקומות שבהם היה נדמה כי הפסידה במערכה (המלחמה בסוריה כדוגמה מובהקת) היא הוכיחה את עוצמתה כמסגרת מעצבת.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076B5" w:rsidRDefault="000076B5">
      <w:pPr>
        <w:rPr>
          <w:rFonts w:cs="David"/>
          <w:sz w:val="28"/>
          <w:szCs w:val="28"/>
          <w:rtl/>
        </w:rPr>
      </w:pPr>
      <w:r>
        <w:rPr>
          <w:rFonts w:cs="David"/>
          <w:sz w:val="28"/>
          <w:szCs w:val="28"/>
          <w:rtl/>
        </w:rPr>
        <w:br w:type="page"/>
      </w:r>
    </w:p>
    <w:p w:rsidR="000076B5" w:rsidRDefault="000076B5" w:rsidP="000076B5">
      <w:pPr>
        <w:bidi/>
        <w:spacing w:after="120" w:line="360" w:lineRule="auto"/>
        <w:jc w:val="both"/>
        <w:rPr>
          <w:rFonts w:cs="David" w:hint="cs"/>
          <w:sz w:val="28"/>
          <w:szCs w:val="28"/>
          <w:rtl/>
        </w:rPr>
      </w:pPr>
      <w:r>
        <w:rPr>
          <w:rFonts w:cs="David" w:hint="cs"/>
          <w:sz w:val="28"/>
          <w:szCs w:val="28"/>
          <w:rtl/>
        </w:rPr>
        <w:lastRenderedPageBreak/>
        <w:t>שאלה מספר 4</w:t>
      </w:r>
    </w:p>
    <w:p w:rsidR="00DF183C" w:rsidRDefault="00400C02" w:rsidP="002D1BE1">
      <w:pPr>
        <w:bidi/>
        <w:spacing w:after="120" w:line="360" w:lineRule="auto"/>
        <w:jc w:val="both"/>
        <w:rPr>
          <w:rFonts w:cs="David" w:hint="cs"/>
          <w:sz w:val="28"/>
          <w:szCs w:val="28"/>
          <w:rtl/>
        </w:rPr>
      </w:pPr>
      <w:r w:rsidRPr="00400C02">
        <w:rPr>
          <w:rFonts w:cs="David" w:hint="cs"/>
          <w:sz w:val="28"/>
          <w:szCs w:val="28"/>
          <w:rtl/>
        </w:rPr>
        <w:t xml:space="preserve">היחסים שבין דמוקרטיה לבין סוגיות ביטחון לאומי הם יחסים מורכבים באופן אינהרנטי, אך </w:t>
      </w:r>
      <w:r w:rsidR="002D1BE1">
        <w:rPr>
          <w:rFonts w:cs="David" w:hint="cs"/>
          <w:sz w:val="28"/>
          <w:szCs w:val="28"/>
          <w:rtl/>
        </w:rPr>
        <w:t xml:space="preserve">המונחים אינם </w:t>
      </w:r>
      <w:r w:rsidRPr="00400C02">
        <w:rPr>
          <w:rFonts w:cs="David" w:hint="cs"/>
          <w:sz w:val="28"/>
          <w:szCs w:val="28"/>
          <w:rtl/>
        </w:rPr>
        <w:t>מנוגדים זה לז</w:t>
      </w:r>
      <w:r>
        <w:rPr>
          <w:rFonts w:cs="David" w:hint="cs"/>
          <w:sz w:val="28"/>
          <w:szCs w:val="28"/>
          <w:rtl/>
        </w:rPr>
        <w:t>ה.</w:t>
      </w:r>
      <w:r w:rsidR="00DF183C">
        <w:rPr>
          <w:rFonts w:cs="David" w:hint="cs"/>
          <w:sz w:val="28"/>
          <w:szCs w:val="28"/>
          <w:rtl/>
        </w:rPr>
        <w:t xml:space="preserve"> אמירה זאת, מקפלת בתוכה שתי טענות מרכזיות: האחת, היא ש</w:t>
      </w:r>
      <w:r w:rsidR="002D1BE1">
        <w:rPr>
          <w:rFonts w:cs="David" w:hint="cs"/>
          <w:sz w:val="28"/>
          <w:szCs w:val="28"/>
          <w:rtl/>
        </w:rPr>
        <w:t>הביטחון הלאומי אינו עומד בפני עצמו, הוא נועד, בבסיסו, להגן על שרידותה וזהותה של מדינה. לאור זאת, במדינה דמוקרטית אחד מתפקידיו של הביטחון הלאומי הוא להבטיח את קיומה של הדמוקרטיה ולכן לא יכולה להתקיים סתירה מוחלטת ביניהם שכן פגיעה בדמוקרטיה תהווה פגיעה בביטחון הלאומי. הטענה השנייה היא, כי חלק מערכי היסוד הדמוקרטיים מתנגשים עם פעולות הנגזרות מהצורך להגן על הביטחון הלאומי באופן שמעמיד מדינות דמוקרטיות לעיתים בפני בחירה בין צמצום הדמוקרטיה לבין צמצום הביטחון (נויברג ובן עמי, 7).</w:t>
      </w:r>
    </w:p>
    <w:p w:rsidR="002D1BE1" w:rsidRDefault="008C052A" w:rsidP="002D1BE1">
      <w:pPr>
        <w:bidi/>
        <w:spacing w:after="120" w:line="360" w:lineRule="auto"/>
        <w:jc w:val="both"/>
        <w:rPr>
          <w:rFonts w:cs="David"/>
          <w:sz w:val="28"/>
          <w:szCs w:val="28"/>
          <w:rtl/>
        </w:rPr>
      </w:pPr>
      <w:r>
        <w:rPr>
          <w:rFonts w:cs="David" w:hint="cs"/>
          <w:sz w:val="28"/>
          <w:szCs w:val="28"/>
          <w:rtl/>
        </w:rPr>
        <w:t>ממה נובע המתח בין דמוקרטיה לבין סוגיות ביטחון לאומי? מסתירה מובנית בין הצרכים הבסיסיים של דמוקרטיה לבין</w:t>
      </w:r>
      <w:r w:rsidR="002E32BB">
        <w:rPr>
          <w:rFonts w:cs="David" w:hint="cs"/>
          <w:sz w:val="28"/>
          <w:szCs w:val="28"/>
          <w:rtl/>
        </w:rPr>
        <w:t xml:space="preserve"> צרכי הביטחון הלאומי. כך, בעוד שהתמודדות עם סוגיות ביטחון לאומי דורשות, בעיקר בעיתות משבר, סודיות, יכולת פעולה מהירה ונקיטת צעדים כוחניים, הרי שעקרונות היסוד של דמוקרטיה מחייבים, בין השאר, עיתונות חופשית, חופש ביטוי, שמירה על זכויות אדם ואזרח וביקורת משפטית וציבורית (הרצאה של בן דור...). </w:t>
      </w:r>
    </w:p>
    <w:p w:rsidR="003B30A8" w:rsidRDefault="008D49FF" w:rsidP="003B30A8">
      <w:pPr>
        <w:bidi/>
        <w:spacing w:after="120" w:line="360" w:lineRule="auto"/>
        <w:jc w:val="both"/>
        <w:rPr>
          <w:rFonts w:cs="David" w:hint="cs"/>
          <w:sz w:val="28"/>
          <w:szCs w:val="28"/>
          <w:rtl/>
        </w:rPr>
      </w:pPr>
      <w:r>
        <w:rPr>
          <w:rFonts w:cs="David" w:hint="cs"/>
          <w:sz w:val="28"/>
          <w:szCs w:val="28"/>
          <w:rtl/>
        </w:rPr>
        <w:t xml:space="preserve">לאור מתח מובנה זה, אחד האתגרים המרכזיים העומדים בפני מדינות דמוקרטיות, ובעיקר דמוקרטיות מאוימות, הוא היכולת לאזן בין צרכי הביטחון הלאומי לבין השמירה על </w:t>
      </w:r>
      <w:r w:rsidR="007526F6">
        <w:rPr>
          <w:rFonts w:cs="David" w:hint="cs"/>
          <w:sz w:val="28"/>
          <w:szCs w:val="28"/>
          <w:rtl/>
        </w:rPr>
        <w:t xml:space="preserve">ערכי היסוד </w:t>
      </w:r>
      <w:r>
        <w:rPr>
          <w:rFonts w:cs="David" w:hint="cs"/>
          <w:sz w:val="28"/>
          <w:szCs w:val="28"/>
          <w:rtl/>
        </w:rPr>
        <w:t>הדמו</w:t>
      </w:r>
      <w:r w:rsidR="007526F6">
        <w:rPr>
          <w:rFonts w:cs="David" w:hint="cs"/>
          <w:sz w:val="28"/>
          <w:szCs w:val="28"/>
          <w:rtl/>
        </w:rPr>
        <w:t>קרטים</w:t>
      </w:r>
      <w:r>
        <w:rPr>
          <w:rFonts w:cs="David" w:hint="cs"/>
          <w:sz w:val="28"/>
          <w:szCs w:val="28"/>
          <w:rtl/>
        </w:rPr>
        <w:t xml:space="preserve">. האיזון הזה אינו נעשה בתנאים של "שוויון מוחלט" בין הדמוקרטיה לביטחון הלאומי. בהינתן </w:t>
      </w:r>
      <w:r w:rsidR="003B30A8">
        <w:rPr>
          <w:rFonts w:cs="David" w:hint="cs"/>
          <w:sz w:val="28"/>
          <w:szCs w:val="28"/>
          <w:rtl/>
        </w:rPr>
        <w:t>מצבי חירום</w:t>
      </w:r>
      <w:r>
        <w:rPr>
          <w:rFonts w:cs="David" w:hint="cs"/>
          <w:sz w:val="28"/>
          <w:szCs w:val="28"/>
          <w:rtl/>
        </w:rPr>
        <w:t>, הביטחון הלאומי זוכה ליתרון יחסי</w:t>
      </w:r>
      <w:r w:rsidR="003B30A8">
        <w:rPr>
          <w:rFonts w:cs="David" w:hint="cs"/>
          <w:sz w:val="28"/>
          <w:szCs w:val="28"/>
          <w:rtl/>
        </w:rPr>
        <w:t xml:space="preserve"> על פני עקרונות דמוקרטיים כגון זכויות אדם או חופש העיתונות (</w:t>
      </w:r>
      <w:r w:rsidR="003B30A8" w:rsidRPr="003B30A8">
        <w:rPr>
          <w:rFonts w:cs="David"/>
          <w:sz w:val="28"/>
          <w:szCs w:val="28"/>
          <w:rtl/>
        </w:rPr>
        <w:t>זמיר, 1996, 276-275</w:t>
      </w:r>
      <w:r w:rsidR="003B30A8">
        <w:rPr>
          <w:rFonts w:cs="David" w:hint="cs"/>
          <w:sz w:val="28"/>
          <w:szCs w:val="28"/>
          <w:rtl/>
        </w:rPr>
        <w:t xml:space="preserve">). המבחן שניצב בפני המדינה הדמוקרטית, אם כן, הוא להבטיח שהפגיעה בעקרונות הדמוקרטיה תהיה מידתית ולא תגיע לכדי פגיעה ביסודות המשטר הדמוקרטי. </w:t>
      </w:r>
    </w:p>
    <w:p w:rsidR="007526F6" w:rsidRDefault="003B30A8" w:rsidP="00E74CBA">
      <w:pPr>
        <w:bidi/>
        <w:spacing w:after="120" w:line="360" w:lineRule="auto"/>
        <w:jc w:val="both"/>
        <w:rPr>
          <w:rFonts w:cs="David"/>
          <w:sz w:val="28"/>
          <w:szCs w:val="28"/>
          <w:rtl/>
        </w:rPr>
      </w:pPr>
      <w:r>
        <w:rPr>
          <w:rFonts w:cs="David" w:hint="cs"/>
          <w:sz w:val="28"/>
          <w:szCs w:val="28"/>
          <w:rtl/>
        </w:rPr>
        <w:t>מדינת ישראל היא דוגמה מובהקת לדמוקרטיה מאוימת וכנגזרת למתחים העמוקים שבין צרכי הביטחון הלאומי לבין עקרונות הדמוקרטיה. כפי שכבר נטען, המתח שבין הדמוקרטיה לביטחון הלאומי מגיע לשיא ולמבחן במצבי חירום. מדינת ישראל נמצאת, באופן מתמשך,</w:t>
      </w:r>
      <w:r w:rsidR="007526F6">
        <w:rPr>
          <w:rFonts w:cs="David" w:hint="cs"/>
          <w:sz w:val="28"/>
          <w:szCs w:val="28"/>
          <w:rtl/>
        </w:rPr>
        <w:t xml:space="preserve"> במצב חירום ביטחוני. ברמה החוקית, ישראל נמצאת במצב חירום מתוקף תקנות ההגנה משנת 1945. תקנות אלו מאפשרות לפגוע במודע בזכויות יסוד דמוקרטיות בהינתן צורך ביטחוני. תקנות שעת החירום מ-1948 מרחיבות את היכולת לפגוע בעקרונות דמוקרטיים לטובת צרכים ביטחוניים (פקודת סדרי שלטון ומשפט, תש"ח-1948). כך ניתן למצוא במדינת ישראל חקיקה, דוגמת חוק </w:t>
      </w:r>
      <w:r w:rsidR="007526F6">
        <w:rPr>
          <w:rFonts w:cs="David" w:hint="cs"/>
          <w:sz w:val="28"/>
          <w:szCs w:val="28"/>
          <w:rtl/>
        </w:rPr>
        <w:lastRenderedPageBreak/>
        <w:t>השב"כ, שמכשירה ביודעין סטייה משלטון החוק במידה וזו משרתת יעד ביטחון לאומי משמעותי (נויברג, 10)</w:t>
      </w:r>
    </w:p>
    <w:p w:rsidR="00F24324" w:rsidRDefault="007526F6" w:rsidP="007526F6">
      <w:pPr>
        <w:bidi/>
        <w:spacing w:after="120" w:line="360" w:lineRule="auto"/>
        <w:jc w:val="both"/>
        <w:rPr>
          <w:rFonts w:cs="David"/>
          <w:sz w:val="28"/>
          <w:szCs w:val="28"/>
          <w:rtl/>
        </w:rPr>
      </w:pPr>
      <w:r>
        <w:rPr>
          <w:rFonts w:cs="David" w:hint="cs"/>
          <w:sz w:val="28"/>
          <w:szCs w:val="28"/>
          <w:rtl/>
        </w:rPr>
        <w:t>מעבר למצב החירום החוקי, מדינת ישראל נמצאת גם במה שכונה</w:t>
      </w:r>
      <w:r w:rsidR="00F24324">
        <w:rPr>
          <w:rFonts w:cs="David" w:hint="cs"/>
          <w:sz w:val="28"/>
          <w:szCs w:val="28"/>
          <w:rtl/>
        </w:rPr>
        <w:t xml:space="preserve"> על ידי ליאון שלף "מצב חירום מנטלי", כלומר אווירה כללית המושפעת מחרדות ביטחוניות ומשפיעה על קבלת ההחלטות (של גורמי ביטחון, של פוליטיקאים ושל שופטים) ועל המאזן שבין ביטחון לאומי ודמוקרטיה. בהקשר זה, ההחלטה לחרוג מעקרונות דמוקרטיים אינה מודעת או מוסדרת אלא תולדה של הלך רוח שממקם את צרכי הביטחון הלאומי מעל לאלו של הדמוקרטיה (שלף, 1996, עמ' 34-38). </w:t>
      </w:r>
    </w:p>
    <w:p w:rsidR="007221C1" w:rsidRDefault="007221C1" w:rsidP="00E74CBA">
      <w:pPr>
        <w:bidi/>
        <w:spacing w:after="120" w:line="360" w:lineRule="auto"/>
        <w:jc w:val="both"/>
        <w:rPr>
          <w:rFonts w:cs="David"/>
          <w:sz w:val="28"/>
          <w:szCs w:val="28"/>
          <w:rtl/>
        </w:rPr>
      </w:pPr>
      <w:r>
        <w:rPr>
          <w:rFonts w:cs="David" w:hint="cs"/>
          <w:sz w:val="28"/>
          <w:szCs w:val="28"/>
          <w:rtl/>
        </w:rPr>
        <w:t>תופעה משמעותית נוספת שנגזרת ממצב החירום הביטחוני המתמשך בישראל הוא עליית הבולטות של גורמי הצבא והביטחון במדינה. התופעה, שזכתה לכינוי "עם במדים" (או במקור "העם החמוש"), מתארת חברה שבה מטשטשים הגבולות בין המגז</w:t>
      </w:r>
      <w:r w:rsidR="00E74CBA">
        <w:rPr>
          <w:rFonts w:cs="David" w:hint="cs"/>
          <w:sz w:val="28"/>
          <w:szCs w:val="28"/>
          <w:rtl/>
        </w:rPr>
        <w:t xml:space="preserve">ר הביטחוני לאזרחי וקיימת השפעה משמעותית של גורמי ביטחון גם בפעילות אזרחית (הורוביץ וליסק,84-85). </w:t>
      </w:r>
    </w:p>
    <w:p w:rsidR="002E32BB" w:rsidRPr="00F24324" w:rsidRDefault="00F24324" w:rsidP="00F24324">
      <w:pPr>
        <w:bidi/>
        <w:spacing w:after="120" w:line="360" w:lineRule="auto"/>
        <w:jc w:val="both"/>
        <w:rPr>
          <w:rFonts w:cs="David" w:hint="cs"/>
          <w:sz w:val="28"/>
          <w:szCs w:val="28"/>
          <w:rtl/>
        </w:rPr>
      </w:pPr>
      <w:r>
        <w:rPr>
          <w:rFonts w:cs="David" w:hint="cs"/>
          <w:sz w:val="28"/>
          <w:szCs w:val="28"/>
          <w:rtl/>
        </w:rPr>
        <w:t>את ההתנגשות שבין הדמוקרטיה לבין הביטחון הלאומי</w:t>
      </w:r>
      <w:r w:rsidR="007526F6">
        <w:rPr>
          <w:rFonts w:cs="David" w:hint="cs"/>
          <w:sz w:val="28"/>
          <w:szCs w:val="28"/>
          <w:rtl/>
        </w:rPr>
        <w:t xml:space="preserve"> </w:t>
      </w:r>
      <w:r w:rsidR="00E74CBA">
        <w:rPr>
          <w:rFonts w:cs="David" w:hint="cs"/>
          <w:sz w:val="28"/>
          <w:szCs w:val="28"/>
          <w:rtl/>
        </w:rPr>
        <w:t xml:space="preserve">אפשר לנתח דרך שתי </w:t>
      </w:r>
      <w:bookmarkStart w:id="0" w:name="_GoBack"/>
      <w:bookmarkEnd w:id="0"/>
      <w:r w:rsidR="007526F6">
        <w:rPr>
          <w:rFonts w:cs="David" w:hint="cs"/>
          <w:sz w:val="28"/>
          <w:szCs w:val="28"/>
          <w:rtl/>
        </w:rPr>
        <w:t xml:space="preserve"> </w:t>
      </w:r>
      <w:r w:rsidR="003B30A8">
        <w:rPr>
          <w:rFonts w:cs="David" w:hint="cs"/>
          <w:sz w:val="28"/>
          <w:szCs w:val="28"/>
          <w:rtl/>
        </w:rPr>
        <w:t xml:space="preserve">  </w:t>
      </w:r>
      <w:r w:rsidR="003B30A8">
        <w:rPr>
          <w:rFonts w:cs="David"/>
          <w:sz w:val="28"/>
          <w:szCs w:val="28"/>
        </w:rPr>
        <w:t xml:space="preserve"> </w:t>
      </w:r>
    </w:p>
    <w:p w:rsidR="008D49FF" w:rsidRDefault="008D49FF" w:rsidP="008D49FF">
      <w:pPr>
        <w:bidi/>
        <w:spacing w:after="120" w:line="360" w:lineRule="auto"/>
        <w:jc w:val="both"/>
        <w:rPr>
          <w:rFonts w:cs="David" w:hint="cs"/>
          <w:sz w:val="28"/>
          <w:szCs w:val="28"/>
          <w:rtl/>
        </w:rPr>
      </w:pPr>
    </w:p>
    <w:p w:rsidR="00DF183C" w:rsidRDefault="00DF183C" w:rsidP="00DF183C">
      <w:pPr>
        <w:bidi/>
        <w:spacing w:after="120" w:line="360" w:lineRule="auto"/>
        <w:jc w:val="both"/>
        <w:rPr>
          <w:rFonts w:cs="David"/>
          <w:sz w:val="28"/>
          <w:szCs w:val="28"/>
          <w:rtl/>
        </w:rPr>
      </w:pPr>
    </w:p>
    <w:p w:rsidR="00DF183C" w:rsidRDefault="00DF183C" w:rsidP="00DF183C">
      <w:pPr>
        <w:bidi/>
        <w:spacing w:after="120" w:line="360" w:lineRule="auto"/>
        <w:jc w:val="both"/>
        <w:rPr>
          <w:rFonts w:cs="David"/>
          <w:sz w:val="28"/>
          <w:szCs w:val="28"/>
          <w:rtl/>
        </w:rPr>
      </w:pPr>
    </w:p>
    <w:p w:rsidR="00DF183C" w:rsidRPr="00DF183C" w:rsidRDefault="00400C02" w:rsidP="00DF183C">
      <w:pPr>
        <w:bidi/>
        <w:spacing w:after="120" w:line="360" w:lineRule="auto"/>
        <w:jc w:val="both"/>
        <w:rPr>
          <w:rFonts w:cs="David" w:hint="cs"/>
          <w:sz w:val="28"/>
          <w:szCs w:val="28"/>
          <w:rtl/>
        </w:rPr>
      </w:pPr>
      <w:r>
        <w:rPr>
          <w:rFonts w:cs="David" w:hint="cs"/>
          <w:sz w:val="28"/>
          <w:szCs w:val="28"/>
          <w:rtl/>
        </w:rPr>
        <w:t>כדי להבין את המורכבות צריך ל</w:t>
      </w:r>
      <w:r w:rsidR="00DF183C">
        <w:rPr>
          <w:rFonts w:cs="David" w:hint="cs"/>
          <w:sz w:val="28"/>
          <w:szCs w:val="28"/>
          <w:rtl/>
        </w:rPr>
        <w:t xml:space="preserve">בחון ראשית את מהות שני המושגים: קיימות בספרות הגדרות שונות של המושג דמוקרטיה, עם זאת, גם ללא הסכמה על הגדרה אחודה, יש הסכמה רחבה לגבי העקרונות המרכיבים דמוקרטיה אמיתית </w:t>
      </w:r>
      <w:r w:rsidR="00DF183C" w:rsidRPr="00DF183C">
        <w:rPr>
          <w:rFonts w:cs="David" w:hint="cs"/>
          <w:sz w:val="28"/>
          <w:szCs w:val="28"/>
          <w:rtl/>
        </w:rPr>
        <w:t>שלטון</w:t>
      </w:r>
      <w:r w:rsidR="00DF183C" w:rsidRPr="00DF183C">
        <w:rPr>
          <w:rFonts w:cs="David"/>
          <w:sz w:val="28"/>
          <w:szCs w:val="28"/>
          <w:rtl/>
        </w:rPr>
        <w:t xml:space="preserve"> </w:t>
      </w:r>
      <w:r w:rsidR="00DF183C" w:rsidRPr="00DF183C">
        <w:rPr>
          <w:rFonts w:cs="David" w:hint="cs"/>
          <w:sz w:val="28"/>
          <w:szCs w:val="28"/>
          <w:rtl/>
        </w:rPr>
        <w:t>החוק</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חופש</w:t>
      </w:r>
      <w:r w:rsidR="00DF183C" w:rsidRPr="00DF183C">
        <w:rPr>
          <w:rFonts w:cs="David"/>
          <w:sz w:val="28"/>
          <w:szCs w:val="28"/>
          <w:rtl/>
        </w:rPr>
        <w:t xml:space="preserve"> </w:t>
      </w:r>
      <w:r w:rsidR="00DF183C" w:rsidRPr="00DF183C">
        <w:rPr>
          <w:rFonts w:cs="David" w:hint="cs"/>
          <w:sz w:val="28"/>
          <w:szCs w:val="28"/>
          <w:rtl/>
        </w:rPr>
        <w:t>הביטוי</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חופש</w:t>
      </w:r>
      <w:r w:rsidR="00DF183C" w:rsidRPr="00DF183C">
        <w:rPr>
          <w:rFonts w:cs="David"/>
          <w:sz w:val="28"/>
          <w:szCs w:val="28"/>
          <w:rtl/>
        </w:rPr>
        <w:t xml:space="preserve"> </w:t>
      </w:r>
      <w:r w:rsidR="00DF183C" w:rsidRPr="00DF183C">
        <w:rPr>
          <w:rFonts w:cs="David" w:hint="cs"/>
          <w:sz w:val="28"/>
          <w:szCs w:val="28"/>
          <w:rtl/>
        </w:rPr>
        <w:t>ההתכנסות</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חופש</w:t>
      </w:r>
      <w:r w:rsidR="00DF183C" w:rsidRPr="00DF183C">
        <w:rPr>
          <w:rFonts w:cs="David"/>
          <w:sz w:val="28"/>
          <w:szCs w:val="28"/>
          <w:rtl/>
        </w:rPr>
        <w:t xml:space="preserve"> </w:t>
      </w:r>
      <w:r w:rsidR="00DF183C" w:rsidRPr="00DF183C">
        <w:rPr>
          <w:rFonts w:cs="David" w:hint="cs"/>
          <w:sz w:val="28"/>
          <w:szCs w:val="28"/>
          <w:rtl/>
        </w:rPr>
        <w:t>ההתארגנות</w:t>
      </w:r>
      <w:r w:rsidR="00DF183C" w:rsidRPr="00DF183C">
        <w:rPr>
          <w:rFonts w:cs="David"/>
          <w:sz w:val="28"/>
          <w:szCs w:val="28"/>
        </w:rPr>
        <w:t xml:space="preserve"> </w:t>
      </w:r>
      <w:r w:rsidR="00DF183C" w:rsidRPr="00DF183C">
        <w:rPr>
          <w:rFonts w:cs="David" w:hint="cs"/>
          <w:sz w:val="28"/>
          <w:szCs w:val="28"/>
          <w:rtl/>
        </w:rPr>
        <w:t>תחרות</w:t>
      </w:r>
      <w:r w:rsidR="00DF183C" w:rsidRPr="00DF183C">
        <w:rPr>
          <w:rFonts w:cs="David"/>
          <w:sz w:val="28"/>
          <w:szCs w:val="28"/>
          <w:rtl/>
        </w:rPr>
        <w:t xml:space="preserve"> </w:t>
      </w:r>
      <w:r w:rsidR="00DF183C" w:rsidRPr="00DF183C">
        <w:rPr>
          <w:rFonts w:cs="David" w:hint="cs"/>
          <w:sz w:val="28"/>
          <w:szCs w:val="28"/>
          <w:rtl/>
        </w:rPr>
        <w:t>חופשית</w:t>
      </w:r>
      <w:r w:rsidR="00DF183C" w:rsidRPr="00DF183C">
        <w:rPr>
          <w:rFonts w:cs="David"/>
          <w:sz w:val="28"/>
          <w:szCs w:val="28"/>
          <w:rtl/>
        </w:rPr>
        <w:t xml:space="preserve"> </w:t>
      </w:r>
      <w:r w:rsidR="00DF183C" w:rsidRPr="00DF183C">
        <w:rPr>
          <w:rFonts w:cs="David" w:hint="cs"/>
          <w:sz w:val="28"/>
          <w:szCs w:val="28"/>
          <w:rtl/>
        </w:rPr>
        <w:t>של</w:t>
      </w:r>
      <w:r w:rsidR="00DF183C" w:rsidRPr="00DF183C">
        <w:rPr>
          <w:rFonts w:cs="David"/>
          <w:sz w:val="28"/>
          <w:szCs w:val="28"/>
          <w:rtl/>
        </w:rPr>
        <w:t xml:space="preserve"> </w:t>
      </w:r>
      <w:r w:rsidR="00DF183C" w:rsidRPr="00DF183C">
        <w:rPr>
          <w:rFonts w:cs="David" w:hint="cs"/>
          <w:sz w:val="28"/>
          <w:szCs w:val="28"/>
          <w:rtl/>
        </w:rPr>
        <w:t>תנועות</w:t>
      </w:r>
      <w:r w:rsidR="00DF183C" w:rsidRPr="00DF183C">
        <w:rPr>
          <w:rFonts w:cs="David"/>
          <w:sz w:val="28"/>
          <w:szCs w:val="28"/>
          <w:rtl/>
        </w:rPr>
        <w:t xml:space="preserve">, </w:t>
      </w:r>
      <w:r w:rsidR="00DF183C" w:rsidRPr="00DF183C">
        <w:rPr>
          <w:rFonts w:cs="David" w:hint="cs"/>
          <w:sz w:val="28"/>
          <w:szCs w:val="28"/>
          <w:rtl/>
        </w:rPr>
        <w:t>מפלגות</w:t>
      </w:r>
      <w:r w:rsidR="00DF183C" w:rsidRPr="00DF183C">
        <w:rPr>
          <w:rFonts w:cs="David"/>
          <w:sz w:val="28"/>
          <w:szCs w:val="28"/>
          <w:rtl/>
        </w:rPr>
        <w:t xml:space="preserve">, </w:t>
      </w:r>
      <w:r w:rsidR="00DF183C" w:rsidRPr="00DF183C">
        <w:rPr>
          <w:rFonts w:cs="David" w:hint="cs"/>
          <w:sz w:val="28"/>
          <w:szCs w:val="28"/>
          <w:rtl/>
        </w:rPr>
        <w:t>ארגונים</w:t>
      </w:r>
      <w:r w:rsidR="00DF183C" w:rsidRPr="00DF183C">
        <w:rPr>
          <w:rFonts w:cs="David"/>
          <w:sz w:val="28"/>
          <w:szCs w:val="28"/>
          <w:rtl/>
        </w:rPr>
        <w:t xml:space="preserve"> </w:t>
      </w:r>
      <w:r w:rsidR="00DF183C" w:rsidRPr="00DF183C">
        <w:rPr>
          <w:rFonts w:cs="David" w:hint="cs"/>
          <w:sz w:val="28"/>
          <w:szCs w:val="28"/>
          <w:rtl/>
        </w:rPr>
        <w:t>ופלגים</w:t>
      </w:r>
      <w:r w:rsidR="00DF183C" w:rsidRPr="00DF183C">
        <w:rPr>
          <w:rFonts w:cs="David"/>
          <w:sz w:val="28"/>
          <w:szCs w:val="28"/>
        </w:rPr>
        <w:t xml:space="preserve">; </w:t>
      </w:r>
      <w:r w:rsidR="00DF183C" w:rsidRPr="00DF183C">
        <w:rPr>
          <w:rFonts w:cs="David" w:hint="cs"/>
          <w:sz w:val="28"/>
          <w:szCs w:val="28"/>
          <w:rtl/>
        </w:rPr>
        <w:t>בחירות</w:t>
      </w:r>
      <w:r w:rsidR="00DF183C" w:rsidRPr="00DF183C">
        <w:rPr>
          <w:rFonts w:cs="David"/>
          <w:sz w:val="28"/>
          <w:szCs w:val="28"/>
          <w:rtl/>
        </w:rPr>
        <w:t xml:space="preserve"> </w:t>
      </w:r>
      <w:r w:rsidR="00DF183C" w:rsidRPr="00DF183C">
        <w:rPr>
          <w:rFonts w:cs="David" w:hint="cs"/>
          <w:sz w:val="28"/>
          <w:szCs w:val="28"/>
          <w:rtl/>
        </w:rPr>
        <w:t>חופשיות</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פרלמנט</w:t>
      </w:r>
      <w:r w:rsidR="00DF183C" w:rsidRPr="00DF183C">
        <w:rPr>
          <w:rFonts w:cs="David"/>
          <w:sz w:val="28"/>
          <w:szCs w:val="28"/>
          <w:rtl/>
        </w:rPr>
        <w:t xml:space="preserve"> </w:t>
      </w:r>
      <w:r w:rsidR="00DF183C" w:rsidRPr="00DF183C">
        <w:rPr>
          <w:rFonts w:cs="David" w:hint="cs"/>
          <w:sz w:val="28"/>
          <w:szCs w:val="28"/>
          <w:rtl/>
        </w:rPr>
        <w:t>פעיל</w:t>
      </w:r>
      <w:r w:rsidR="00DF183C" w:rsidRPr="00DF183C">
        <w:rPr>
          <w:rFonts w:cs="David"/>
          <w:sz w:val="28"/>
          <w:szCs w:val="28"/>
        </w:rPr>
        <w:t>;</w:t>
      </w:r>
    </w:p>
    <w:p w:rsidR="00DF183C" w:rsidRPr="00DF183C" w:rsidRDefault="00DF183C" w:rsidP="00DF183C">
      <w:pPr>
        <w:bidi/>
        <w:spacing w:after="120" w:line="360" w:lineRule="auto"/>
        <w:jc w:val="both"/>
        <w:rPr>
          <w:rFonts w:cs="David" w:hint="cs"/>
          <w:sz w:val="28"/>
          <w:szCs w:val="28"/>
          <w:rtl/>
        </w:rPr>
      </w:pPr>
      <w:r w:rsidRPr="00DF183C">
        <w:rPr>
          <w:rFonts w:cs="David" w:hint="cs"/>
          <w:sz w:val="28"/>
          <w:szCs w:val="28"/>
          <w:rtl/>
        </w:rPr>
        <w:t>מערכת</w:t>
      </w:r>
      <w:r w:rsidRPr="00DF183C">
        <w:rPr>
          <w:rFonts w:cs="David"/>
          <w:sz w:val="28"/>
          <w:szCs w:val="28"/>
          <w:rtl/>
        </w:rPr>
        <w:t xml:space="preserve"> </w:t>
      </w:r>
      <w:r w:rsidRPr="00DF183C">
        <w:rPr>
          <w:rFonts w:cs="David" w:hint="cs"/>
          <w:sz w:val="28"/>
          <w:szCs w:val="28"/>
          <w:rtl/>
        </w:rPr>
        <w:t>ביקורתית</w:t>
      </w:r>
      <w:r w:rsidRPr="00DF183C">
        <w:rPr>
          <w:rFonts w:cs="David"/>
          <w:sz w:val="28"/>
          <w:szCs w:val="28"/>
          <w:rtl/>
        </w:rPr>
        <w:t xml:space="preserve"> </w:t>
      </w:r>
      <w:r w:rsidRPr="00DF183C">
        <w:rPr>
          <w:rFonts w:cs="David" w:hint="cs"/>
          <w:sz w:val="28"/>
          <w:szCs w:val="28"/>
          <w:rtl/>
        </w:rPr>
        <w:t>של</w:t>
      </w:r>
      <w:r w:rsidRPr="00DF183C">
        <w:rPr>
          <w:rFonts w:cs="David"/>
          <w:sz w:val="28"/>
          <w:szCs w:val="28"/>
          <w:rtl/>
        </w:rPr>
        <w:t xml:space="preserve"> </w:t>
      </w:r>
      <w:r w:rsidRPr="00DF183C">
        <w:rPr>
          <w:rFonts w:cs="David" w:hint="cs"/>
          <w:sz w:val="28"/>
          <w:szCs w:val="28"/>
          <w:rtl/>
        </w:rPr>
        <w:t>תקשורת</w:t>
      </w:r>
      <w:r w:rsidRPr="00DF183C">
        <w:rPr>
          <w:rFonts w:cs="David"/>
          <w:sz w:val="28"/>
          <w:szCs w:val="28"/>
          <w:rtl/>
        </w:rPr>
        <w:t xml:space="preserve"> </w:t>
      </w:r>
      <w:r w:rsidRPr="00DF183C">
        <w:rPr>
          <w:rFonts w:cs="David" w:hint="cs"/>
          <w:sz w:val="28"/>
          <w:szCs w:val="28"/>
          <w:rtl/>
        </w:rPr>
        <w:t>ההמונים</w:t>
      </w:r>
      <w:r w:rsidRPr="00DF183C">
        <w:rPr>
          <w:rFonts w:cs="David"/>
          <w:sz w:val="28"/>
          <w:szCs w:val="28"/>
        </w:rPr>
        <w:t>;</w:t>
      </w:r>
    </w:p>
    <w:p w:rsidR="00DF183C" w:rsidRPr="00DF183C" w:rsidRDefault="00DF183C" w:rsidP="00DF183C">
      <w:pPr>
        <w:bidi/>
        <w:spacing w:after="120" w:line="360" w:lineRule="auto"/>
        <w:jc w:val="both"/>
        <w:rPr>
          <w:rFonts w:cs="David"/>
          <w:sz w:val="28"/>
          <w:szCs w:val="28"/>
          <w:rtl/>
        </w:rPr>
      </w:pPr>
      <w:r w:rsidRPr="00DF183C">
        <w:rPr>
          <w:rFonts w:cs="David" w:hint="cs"/>
          <w:sz w:val="28"/>
          <w:szCs w:val="28"/>
          <w:rtl/>
        </w:rPr>
        <w:t>חילופי</w:t>
      </w:r>
      <w:r w:rsidRPr="00DF183C">
        <w:rPr>
          <w:rFonts w:cs="David"/>
          <w:sz w:val="28"/>
          <w:szCs w:val="28"/>
          <w:rtl/>
        </w:rPr>
        <w:t xml:space="preserve"> </w:t>
      </w:r>
      <w:r w:rsidRPr="00DF183C">
        <w:rPr>
          <w:rFonts w:cs="David" w:hint="cs"/>
          <w:sz w:val="28"/>
          <w:szCs w:val="28"/>
          <w:rtl/>
        </w:rPr>
        <w:t>ממשל</w:t>
      </w:r>
      <w:r w:rsidRPr="00DF183C">
        <w:rPr>
          <w:rFonts w:cs="David"/>
          <w:sz w:val="28"/>
          <w:szCs w:val="28"/>
          <w:rtl/>
        </w:rPr>
        <w:t xml:space="preserve"> </w:t>
      </w:r>
      <w:r w:rsidRPr="00DF183C">
        <w:rPr>
          <w:rFonts w:cs="David" w:hint="cs"/>
          <w:sz w:val="28"/>
          <w:szCs w:val="28"/>
          <w:rtl/>
        </w:rPr>
        <w:t>סדורים</w:t>
      </w:r>
      <w:r w:rsidRPr="00DF183C">
        <w:rPr>
          <w:rFonts w:cs="David"/>
          <w:sz w:val="28"/>
          <w:szCs w:val="28"/>
        </w:rPr>
        <w:t xml:space="preserve">; </w:t>
      </w:r>
    </w:p>
    <w:p w:rsidR="00DF183C" w:rsidRPr="00DF183C" w:rsidRDefault="00DF183C" w:rsidP="00DF183C">
      <w:pPr>
        <w:bidi/>
        <w:spacing w:after="120" w:line="360" w:lineRule="auto"/>
        <w:jc w:val="both"/>
        <w:rPr>
          <w:rFonts w:cs="David"/>
          <w:sz w:val="28"/>
          <w:szCs w:val="28"/>
          <w:rtl/>
        </w:rPr>
      </w:pPr>
      <w:r w:rsidRPr="00DF183C">
        <w:rPr>
          <w:rFonts w:cs="David" w:hint="cs"/>
          <w:sz w:val="28"/>
          <w:szCs w:val="28"/>
          <w:rtl/>
        </w:rPr>
        <w:t>פְּלוּרָלִיזם</w:t>
      </w:r>
      <w:r w:rsidRPr="00DF183C">
        <w:rPr>
          <w:rFonts w:cs="David"/>
          <w:sz w:val="28"/>
          <w:szCs w:val="28"/>
        </w:rPr>
        <w:t>;</w:t>
      </w:r>
    </w:p>
    <w:p w:rsidR="000248FF" w:rsidRPr="00DF183C" w:rsidRDefault="00DF183C" w:rsidP="00DF183C">
      <w:pPr>
        <w:bidi/>
        <w:spacing w:after="120" w:line="360" w:lineRule="auto"/>
        <w:jc w:val="both"/>
        <w:rPr>
          <w:rFonts w:cs="David"/>
          <w:sz w:val="28"/>
          <w:szCs w:val="28"/>
          <w:rtl/>
        </w:rPr>
      </w:pPr>
      <w:r w:rsidRPr="00DF183C">
        <w:rPr>
          <w:rFonts w:cs="David" w:hint="cs"/>
          <w:sz w:val="28"/>
          <w:szCs w:val="28"/>
          <w:rtl/>
        </w:rPr>
        <w:t>סוֹבלָנוּת</w:t>
      </w:r>
      <w:r>
        <w:rPr>
          <w:rFonts w:cs="David" w:hint="cs"/>
          <w:sz w:val="28"/>
          <w:szCs w:val="28"/>
          <w:rtl/>
        </w:rPr>
        <w:t xml:space="preserve"> </w:t>
      </w:r>
    </w:p>
    <w:sectPr w:rsidR="000248FF" w:rsidRPr="00DF18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645" w:rsidRDefault="00F67645" w:rsidP="002B7DE2">
      <w:pPr>
        <w:spacing w:after="0" w:line="240" w:lineRule="auto"/>
      </w:pPr>
      <w:r>
        <w:separator/>
      </w:r>
    </w:p>
  </w:endnote>
  <w:endnote w:type="continuationSeparator" w:id="0">
    <w:p w:rsidR="00F67645" w:rsidRDefault="00F67645"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645" w:rsidRDefault="00F67645" w:rsidP="002B7DE2">
      <w:pPr>
        <w:spacing w:after="0" w:line="240" w:lineRule="auto"/>
      </w:pPr>
      <w:r>
        <w:separator/>
      </w:r>
    </w:p>
  </w:footnote>
  <w:footnote w:type="continuationSeparator" w:id="0">
    <w:p w:rsidR="00F67645" w:rsidRDefault="00F67645" w:rsidP="002B7DE2">
      <w:pPr>
        <w:spacing w:after="0" w:line="240" w:lineRule="auto"/>
      </w:pPr>
      <w:r>
        <w:continuationSeparator/>
      </w:r>
    </w:p>
  </w:footnote>
  <w:footnote w:id="1">
    <w:p w:rsidR="00E81237" w:rsidRDefault="00E81237" w:rsidP="00E81237">
      <w:pPr>
        <w:pStyle w:val="a9"/>
        <w:bidi/>
        <w:rPr>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w:t>
      </w:r>
      <w:r w:rsidR="005C4A05">
        <w:rPr>
          <w:rFonts w:hint="cs"/>
          <w:rtl/>
        </w:rPr>
        <w:t>א</w:t>
      </w:r>
      <w:r>
        <w:rPr>
          <w:rFonts w:hint="cs"/>
          <w:rtl/>
        </w:rPr>
        <w:t xml:space="preserve">ן מארי גנו, והשני על ידי התאירטיקן היפני, קאניצ'י אומה. שני הכותבים גרסו שמדינת הלאום תאבד מכוחה "למעלה" לטובת ארגונים על מדינתיים דוגמת האיחוד האירופי והאו"מ, ו"למטה" לטובת מסגרות תת מדיניותיות כגון ערים ומחוזות. </w:t>
      </w:r>
    </w:p>
  </w:footnote>
  <w:footnote w:id="2">
    <w:p w:rsidR="004F0A13" w:rsidRDefault="004F0A13" w:rsidP="004F0A13">
      <w:pPr>
        <w:pStyle w:val="a9"/>
        <w:bidi/>
        <w:jc w:val="both"/>
      </w:pPr>
      <w:r>
        <w:rPr>
          <w:rStyle w:val="ab"/>
        </w:rPr>
        <w:footnoteRef/>
      </w:r>
      <w:r>
        <w:t xml:space="preserve"> </w:t>
      </w:r>
      <w:r>
        <w:rPr>
          <w:rFonts w:hint="cs"/>
          <w:rtl/>
        </w:rPr>
        <w:t xml:space="preserve"> הכוונה היא לשורת ההפגנות ומחאה המוניות שהובילו, בסופו של תהליך, לנפילת משטרו של חסני מבארכ במצרים. במסגרת האירועים, לפחות בשלבים הראשונים, עשו המפגינים הצעירים שימוש נרחב ברשתות חברתיות ובראשן פייסבוק וטוויטר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w:t>
      </w:r>
      <w:r w:rsidR="003C22B8">
        <w:rPr>
          <w:rFonts w:hint="cs"/>
          <w:rtl/>
        </w:rPr>
        <w:t xml:space="preserve"> היה חלק משמעותי בעצם החשיפה לרעיונות של חופש פוליטי וליכולת להוציאן לפועל כפי שנעשה במהפיכה בתוניסיה שסימנה את ראשיתו של "האביב הערבי".</w:t>
      </w:r>
      <w:r>
        <w:rPr>
          <w:rFonts w:hint="cs"/>
          <w:rtl/>
        </w:rPr>
        <w:t xml:space="preserve"> </w:t>
      </w:r>
    </w:p>
  </w:footnote>
  <w:footnote w:id="3">
    <w:p w:rsidR="00CF088F" w:rsidRDefault="00CF088F" w:rsidP="00CF088F">
      <w:pPr>
        <w:pStyle w:val="a9"/>
        <w:bidi/>
        <w:rPr>
          <w:rtl/>
        </w:rPr>
      </w:pPr>
      <w:r>
        <w:rPr>
          <w:rStyle w:val="ab"/>
        </w:rPr>
        <w:footnoteRef/>
      </w:r>
      <w:r>
        <w:t xml:space="preserve"> </w:t>
      </w:r>
      <w:r>
        <w:rPr>
          <w:rFonts w:hint="cs"/>
          <w:rtl/>
        </w:rPr>
        <w:t xml:space="preserve"> עמידרור (2011), "מהו ביטחון לאומי", בתוך מבוא לביטחון לאומי. האוניברסיטה המשודרת.  </w:t>
      </w:r>
    </w:p>
  </w:footnote>
  <w:footnote w:id="4">
    <w:p w:rsidR="001324E6" w:rsidRDefault="001324E6" w:rsidP="001324E6">
      <w:pPr>
        <w:pStyle w:val="a9"/>
        <w:bidi/>
        <w:rPr>
          <w:rtl/>
        </w:rPr>
      </w:pPr>
      <w:r>
        <w:rPr>
          <w:rStyle w:val="ab"/>
        </w:rPr>
        <w:footnoteRef/>
      </w:r>
      <w:r>
        <w:t xml:space="preserve"> </w:t>
      </w:r>
      <w:r>
        <w:rPr>
          <w:rFonts w:hint="cs"/>
          <w:rtl/>
        </w:rPr>
        <w:t xml:space="preserve"> שם (עמ' 9)</w:t>
      </w:r>
    </w:p>
  </w:footnote>
  <w:footnote w:id="5">
    <w:p w:rsidR="001324E6" w:rsidRDefault="001324E6" w:rsidP="001324E6">
      <w:pPr>
        <w:pStyle w:val="a9"/>
        <w:bidi/>
        <w:rPr>
          <w:rtl/>
        </w:rPr>
      </w:pPr>
      <w:r>
        <w:rPr>
          <w:rStyle w:val="ab"/>
        </w:rPr>
        <w:footnoteRef/>
      </w:r>
      <w:r>
        <w:t xml:space="preserve"> </w:t>
      </w:r>
      <w:r>
        <w:rPr>
          <w:rFonts w:hint="cs"/>
          <w:rtl/>
        </w:rPr>
        <w:t xml:space="preserve"> שם</w:t>
      </w:r>
    </w:p>
  </w:footnote>
  <w:footnote w:id="6">
    <w:p w:rsidR="00BA0F94" w:rsidRDefault="00BA0F94" w:rsidP="000B3DC5">
      <w:pPr>
        <w:pStyle w:val="a9"/>
        <w:bidi/>
        <w:jc w:val="both"/>
        <w:rPr>
          <w:rtl/>
        </w:rPr>
      </w:pPr>
      <w:r>
        <w:rPr>
          <w:rStyle w:val="ab"/>
        </w:rPr>
        <w:footnoteRef/>
      </w:r>
      <w:r>
        <w:t xml:space="preserve"> </w:t>
      </w:r>
      <w:r>
        <w:rPr>
          <w:rFonts w:hint="cs"/>
          <w:rtl/>
        </w:rPr>
        <w:t xml:space="preserve"> ב"ציוץ" בטוויטר מה-17 בספטמבר 2016 </w:t>
      </w:r>
      <w:r w:rsidR="000B3DC5">
        <w:rPr>
          <w:rFonts w:hint="cs"/>
          <w:rtl/>
        </w:rPr>
        <w:t xml:space="preserve">התייחס הנשיא האמריקני, טראמפ, למשבר ההגירה וטען </w:t>
      </w:r>
      <w:r>
        <w:rPr>
          <w:rFonts w:hint="cs"/>
          <w:rtl/>
        </w:rPr>
        <w:t xml:space="preserve">כי "מדינה ללא </w:t>
      </w:r>
      <w:r w:rsidR="000B3DC5">
        <w:rPr>
          <w:rFonts w:hint="cs"/>
          <w:rtl/>
        </w:rPr>
        <w:t xml:space="preserve">גבולות היא איננה מדינה כלל".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B01B2"/>
    <w:multiLevelType w:val="hybridMultilevel"/>
    <w:tmpl w:val="AEBC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5"/>
  </w:num>
  <w:num w:numId="5">
    <w:abstractNumId w:val="8"/>
  </w:num>
  <w:num w:numId="6">
    <w:abstractNumId w:val="6"/>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076B5"/>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3BB3"/>
    <w:rsid w:val="000A5F9E"/>
    <w:rsid w:val="000B09D6"/>
    <w:rsid w:val="000B3C25"/>
    <w:rsid w:val="000B3DC5"/>
    <w:rsid w:val="000C0CCA"/>
    <w:rsid w:val="000C517A"/>
    <w:rsid w:val="000C6DDA"/>
    <w:rsid w:val="000E2BEA"/>
    <w:rsid w:val="000F4EF2"/>
    <w:rsid w:val="000F6125"/>
    <w:rsid w:val="00101EA9"/>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80C"/>
    <w:rsid w:val="001F79E9"/>
    <w:rsid w:val="00206BDE"/>
    <w:rsid w:val="002201CC"/>
    <w:rsid w:val="002230A7"/>
    <w:rsid w:val="00231DFC"/>
    <w:rsid w:val="002321CD"/>
    <w:rsid w:val="00247130"/>
    <w:rsid w:val="00247D8C"/>
    <w:rsid w:val="00250373"/>
    <w:rsid w:val="00256D53"/>
    <w:rsid w:val="002613A4"/>
    <w:rsid w:val="00265EE0"/>
    <w:rsid w:val="00272965"/>
    <w:rsid w:val="00273A25"/>
    <w:rsid w:val="00275C87"/>
    <w:rsid w:val="0028513A"/>
    <w:rsid w:val="002A4A13"/>
    <w:rsid w:val="002B16DC"/>
    <w:rsid w:val="002B5191"/>
    <w:rsid w:val="002B69A5"/>
    <w:rsid w:val="002B7DE2"/>
    <w:rsid w:val="002C5605"/>
    <w:rsid w:val="002C7AA9"/>
    <w:rsid w:val="002D1BE1"/>
    <w:rsid w:val="002D1CA5"/>
    <w:rsid w:val="002D288B"/>
    <w:rsid w:val="002D3FC4"/>
    <w:rsid w:val="002D4BED"/>
    <w:rsid w:val="002E084E"/>
    <w:rsid w:val="002E0B2F"/>
    <w:rsid w:val="002E32BB"/>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5CF4"/>
    <w:rsid w:val="003971F3"/>
    <w:rsid w:val="00397F33"/>
    <w:rsid w:val="003A6245"/>
    <w:rsid w:val="003B12F0"/>
    <w:rsid w:val="003B30A8"/>
    <w:rsid w:val="003C22B8"/>
    <w:rsid w:val="003C296A"/>
    <w:rsid w:val="003C4C7E"/>
    <w:rsid w:val="003C79FB"/>
    <w:rsid w:val="003D4AB3"/>
    <w:rsid w:val="003D5843"/>
    <w:rsid w:val="003E6822"/>
    <w:rsid w:val="003F227C"/>
    <w:rsid w:val="003F549F"/>
    <w:rsid w:val="00400C02"/>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8E7"/>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21C1"/>
    <w:rsid w:val="0072484C"/>
    <w:rsid w:val="00724EE1"/>
    <w:rsid w:val="007322B5"/>
    <w:rsid w:val="0073566B"/>
    <w:rsid w:val="007369FA"/>
    <w:rsid w:val="00737B6A"/>
    <w:rsid w:val="0074311D"/>
    <w:rsid w:val="0074513D"/>
    <w:rsid w:val="00747D55"/>
    <w:rsid w:val="00751D4C"/>
    <w:rsid w:val="007526F6"/>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052A"/>
    <w:rsid w:val="008C1931"/>
    <w:rsid w:val="008C2C14"/>
    <w:rsid w:val="008C31E6"/>
    <w:rsid w:val="008C48F0"/>
    <w:rsid w:val="008C58F1"/>
    <w:rsid w:val="008C5EBB"/>
    <w:rsid w:val="008D1558"/>
    <w:rsid w:val="008D19A1"/>
    <w:rsid w:val="008D49FF"/>
    <w:rsid w:val="008E0673"/>
    <w:rsid w:val="008E0B30"/>
    <w:rsid w:val="008E278D"/>
    <w:rsid w:val="008F7E21"/>
    <w:rsid w:val="00903B4B"/>
    <w:rsid w:val="009049A8"/>
    <w:rsid w:val="00910256"/>
    <w:rsid w:val="009124A5"/>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69F"/>
    <w:rsid w:val="00B46C48"/>
    <w:rsid w:val="00B57DC0"/>
    <w:rsid w:val="00B613C2"/>
    <w:rsid w:val="00B62863"/>
    <w:rsid w:val="00B66936"/>
    <w:rsid w:val="00B7132B"/>
    <w:rsid w:val="00B92CC9"/>
    <w:rsid w:val="00B97C39"/>
    <w:rsid w:val="00BA0F94"/>
    <w:rsid w:val="00BA2BE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088F"/>
    <w:rsid w:val="00CF6151"/>
    <w:rsid w:val="00D01640"/>
    <w:rsid w:val="00D01F62"/>
    <w:rsid w:val="00D0628D"/>
    <w:rsid w:val="00D0723D"/>
    <w:rsid w:val="00D110BA"/>
    <w:rsid w:val="00D16109"/>
    <w:rsid w:val="00D261E8"/>
    <w:rsid w:val="00D32172"/>
    <w:rsid w:val="00D523DF"/>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3D82"/>
    <w:rsid w:val="00DD5271"/>
    <w:rsid w:val="00DE50D8"/>
    <w:rsid w:val="00DF183C"/>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4CBA"/>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4324"/>
    <w:rsid w:val="00F2660B"/>
    <w:rsid w:val="00F409CF"/>
    <w:rsid w:val="00F511FE"/>
    <w:rsid w:val="00F512F9"/>
    <w:rsid w:val="00F55D78"/>
    <w:rsid w:val="00F66E84"/>
    <w:rsid w:val="00F67645"/>
    <w:rsid w:val="00F700EA"/>
    <w:rsid w:val="00F768CF"/>
    <w:rsid w:val="00F813C9"/>
    <w:rsid w:val="00F82438"/>
    <w:rsid w:val="00F8294D"/>
    <w:rsid w:val="00F8755E"/>
    <w:rsid w:val="00F92611"/>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1350">
      <w:bodyDiv w:val="1"/>
      <w:marLeft w:val="0"/>
      <w:marRight w:val="0"/>
      <w:marTop w:val="0"/>
      <w:marBottom w:val="0"/>
      <w:divBdr>
        <w:top w:val="none" w:sz="0" w:space="0" w:color="auto"/>
        <w:left w:val="none" w:sz="0" w:space="0" w:color="auto"/>
        <w:bottom w:val="none" w:sz="0" w:space="0" w:color="auto"/>
        <w:right w:val="none" w:sz="0" w:space="0" w:color="auto"/>
      </w:divBdr>
      <w:divsChild>
        <w:div w:id="1625849560">
          <w:marLeft w:val="0"/>
          <w:marRight w:val="403"/>
          <w:marTop w:val="150"/>
          <w:marBottom w:val="0"/>
          <w:divBdr>
            <w:top w:val="none" w:sz="0" w:space="0" w:color="auto"/>
            <w:left w:val="none" w:sz="0" w:space="0" w:color="auto"/>
            <w:bottom w:val="none" w:sz="0" w:space="0" w:color="auto"/>
            <w:right w:val="none" w:sz="0" w:space="0" w:color="auto"/>
          </w:divBdr>
        </w:div>
        <w:div w:id="672686698">
          <w:marLeft w:val="0"/>
          <w:marRight w:val="403"/>
          <w:marTop w:val="150"/>
          <w:marBottom w:val="0"/>
          <w:divBdr>
            <w:top w:val="none" w:sz="0" w:space="0" w:color="auto"/>
            <w:left w:val="none" w:sz="0" w:space="0" w:color="auto"/>
            <w:bottom w:val="none" w:sz="0" w:space="0" w:color="auto"/>
            <w:right w:val="none" w:sz="0" w:space="0" w:color="auto"/>
          </w:divBdr>
        </w:div>
        <w:div w:id="86274130">
          <w:marLeft w:val="0"/>
          <w:marRight w:val="403"/>
          <w:marTop w:val="150"/>
          <w:marBottom w:val="0"/>
          <w:divBdr>
            <w:top w:val="none" w:sz="0" w:space="0" w:color="auto"/>
            <w:left w:val="none" w:sz="0" w:space="0" w:color="auto"/>
            <w:bottom w:val="none" w:sz="0" w:space="0" w:color="auto"/>
            <w:right w:val="none" w:sz="0" w:space="0" w:color="auto"/>
          </w:divBdr>
        </w:div>
        <w:div w:id="305208348">
          <w:marLeft w:val="0"/>
          <w:marRight w:val="403"/>
          <w:marTop w:val="150"/>
          <w:marBottom w:val="0"/>
          <w:divBdr>
            <w:top w:val="none" w:sz="0" w:space="0" w:color="auto"/>
            <w:left w:val="none" w:sz="0" w:space="0" w:color="auto"/>
            <w:bottom w:val="none" w:sz="0" w:space="0" w:color="auto"/>
            <w:right w:val="none" w:sz="0" w:space="0" w:color="auto"/>
          </w:divBdr>
        </w:div>
        <w:div w:id="1735543304">
          <w:marLeft w:val="0"/>
          <w:marRight w:val="403"/>
          <w:marTop w:val="150"/>
          <w:marBottom w:val="0"/>
          <w:divBdr>
            <w:top w:val="none" w:sz="0" w:space="0" w:color="auto"/>
            <w:left w:val="none" w:sz="0" w:space="0" w:color="auto"/>
            <w:bottom w:val="none" w:sz="0" w:space="0" w:color="auto"/>
            <w:right w:val="none" w:sz="0" w:space="0" w:color="auto"/>
          </w:divBdr>
        </w:div>
        <w:div w:id="2102099539">
          <w:marLeft w:val="0"/>
          <w:marRight w:val="403"/>
          <w:marTop w:val="150"/>
          <w:marBottom w:val="0"/>
          <w:divBdr>
            <w:top w:val="none" w:sz="0" w:space="0" w:color="auto"/>
            <w:left w:val="none" w:sz="0" w:space="0" w:color="auto"/>
            <w:bottom w:val="none" w:sz="0" w:space="0" w:color="auto"/>
            <w:right w:val="none" w:sz="0" w:space="0" w:color="auto"/>
          </w:divBdr>
        </w:div>
        <w:div w:id="1067217432">
          <w:marLeft w:val="0"/>
          <w:marRight w:val="403"/>
          <w:marTop w:val="150"/>
          <w:marBottom w:val="0"/>
          <w:divBdr>
            <w:top w:val="none" w:sz="0" w:space="0" w:color="auto"/>
            <w:left w:val="none" w:sz="0" w:space="0" w:color="auto"/>
            <w:bottom w:val="none" w:sz="0" w:space="0" w:color="auto"/>
            <w:right w:val="none" w:sz="0" w:space="0" w:color="auto"/>
          </w:divBdr>
        </w:div>
        <w:div w:id="468206470">
          <w:marLeft w:val="0"/>
          <w:marRight w:val="403"/>
          <w:marTop w:val="150"/>
          <w:marBottom w:val="0"/>
          <w:divBdr>
            <w:top w:val="none" w:sz="0" w:space="0" w:color="auto"/>
            <w:left w:val="none" w:sz="0" w:space="0" w:color="auto"/>
            <w:bottom w:val="none" w:sz="0" w:space="0" w:color="auto"/>
            <w:right w:val="none" w:sz="0" w:space="0" w:color="auto"/>
          </w:divBdr>
        </w:div>
        <w:div w:id="1070079667">
          <w:marLeft w:val="0"/>
          <w:marRight w:val="403"/>
          <w:marTop w:val="150"/>
          <w:marBottom w:val="0"/>
          <w:divBdr>
            <w:top w:val="none" w:sz="0" w:space="0" w:color="auto"/>
            <w:left w:val="none" w:sz="0" w:space="0" w:color="auto"/>
            <w:bottom w:val="none" w:sz="0" w:space="0" w:color="auto"/>
            <w:right w:val="none" w:sz="0" w:space="0" w:color="auto"/>
          </w:divBdr>
        </w:div>
        <w:div w:id="1963222244">
          <w:marLeft w:val="0"/>
          <w:marRight w:val="403"/>
          <w:marTop w:val="150"/>
          <w:marBottom w:val="0"/>
          <w:divBdr>
            <w:top w:val="none" w:sz="0" w:space="0" w:color="auto"/>
            <w:left w:val="none" w:sz="0" w:space="0" w:color="auto"/>
            <w:bottom w:val="none" w:sz="0" w:space="0" w:color="auto"/>
            <w:right w:val="none" w:sz="0" w:space="0" w:color="auto"/>
          </w:divBdr>
        </w:div>
      </w:divsChild>
    </w:div>
    <w:div w:id="1197082818">
      <w:bodyDiv w:val="1"/>
      <w:marLeft w:val="0"/>
      <w:marRight w:val="0"/>
      <w:marTop w:val="0"/>
      <w:marBottom w:val="0"/>
      <w:divBdr>
        <w:top w:val="none" w:sz="0" w:space="0" w:color="auto"/>
        <w:left w:val="none" w:sz="0" w:space="0" w:color="auto"/>
        <w:bottom w:val="none" w:sz="0" w:space="0" w:color="auto"/>
        <w:right w:val="none" w:sz="0" w:space="0" w:color="auto"/>
      </w:divBdr>
      <w:divsChild>
        <w:div w:id="941185987">
          <w:marLeft w:val="0"/>
          <w:marRight w:val="403"/>
          <w:marTop w:val="150"/>
          <w:marBottom w:val="0"/>
          <w:divBdr>
            <w:top w:val="none" w:sz="0" w:space="0" w:color="auto"/>
            <w:left w:val="none" w:sz="0" w:space="0" w:color="auto"/>
            <w:bottom w:val="none" w:sz="0" w:space="0" w:color="auto"/>
            <w:right w:val="none" w:sz="0" w:space="0" w:color="auto"/>
          </w:divBdr>
        </w:div>
        <w:div w:id="499733953">
          <w:marLeft w:val="0"/>
          <w:marRight w:val="403"/>
          <w:marTop w:val="150"/>
          <w:marBottom w:val="0"/>
          <w:divBdr>
            <w:top w:val="none" w:sz="0" w:space="0" w:color="auto"/>
            <w:left w:val="none" w:sz="0" w:space="0" w:color="auto"/>
            <w:bottom w:val="none" w:sz="0" w:space="0" w:color="auto"/>
            <w:right w:val="none" w:sz="0" w:space="0" w:color="auto"/>
          </w:divBdr>
        </w:div>
        <w:div w:id="823591813">
          <w:marLeft w:val="0"/>
          <w:marRight w:val="403"/>
          <w:marTop w:val="150"/>
          <w:marBottom w:val="0"/>
          <w:divBdr>
            <w:top w:val="none" w:sz="0" w:space="0" w:color="auto"/>
            <w:left w:val="none" w:sz="0" w:space="0" w:color="auto"/>
            <w:bottom w:val="none" w:sz="0" w:space="0" w:color="auto"/>
            <w:right w:val="none" w:sz="0" w:space="0" w:color="auto"/>
          </w:divBdr>
        </w:div>
        <w:div w:id="1937252219">
          <w:marLeft w:val="0"/>
          <w:marRight w:val="403"/>
          <w:marTop w:val="150"/>
          <w:marBottom w:val="0"/>
          <w:divBdr>
            <w:top w:val="none" w:sz="0" w:space="0" w:color="auto"/>
            <w:left w:val="none" w:sz="0" w:space="0" w:color="auto"/>
            <w:bottom w:val="none" w:sz="0" w:space="0" w:color="auto"/>
            <w:right w:val="none" w:sz="0" w:space="0" w:color="auto"/>
          </w:divBdr>
        </w:div>
        <w:div w:id="487281396">
          <w:marLeft w:val="0"/>
          <w:marRight w:val="403"/>
          <w:marTop w:val="150"/>
          <w:marBottom w:val="0"/>
          <w:divBdr>
            <w:top w:val="none" w:sz="0" w:space="0" w:color="auto"/>
            <w:left w:val="none" w:sz="0" w:space="0" w:color="auto"/>
            <w:bottom w:val="none" w:sz="0" w:space="0" w:color="auto"/>
            <w:right w:val="none" w:sz="0" w:space="0" w:color="auto"/>
          </w:divBdr>
        </w:div>
        <w:div w:id="986469885">
          <w:marLeft w:val="0"/>
          <w:marRight w:val="403"/>
          <w:marTop w:val="150"/>
          <w:marBottom w:val="0"/>
          <w:divBdr>
            <w:top w:val="none" w:sz="0" w:space="0" w:color="auto"/>
            <w:left w:val="none" w:sz="0" w:space="0" w:color="auto"/>
            <w:bottom w:val="none" w:sz="0" w:space="0" w:color="auto"/>
            <w:right w:val="none" w:sz="0" w:space="0" w:color="auto"/>
          </w:divBdr>
        </w:div>
        <w:div w:id="146946678">
          <w:marLeft w:val="0"/>
          <w:marRight w:val="403"/>
          <w:marTop w:val="150"/>
          <w:marBottom w:val="0"/>
          <w:divBdr>
            <w:top w:val="none" w:sz="0" w:space="0" w:color="auto"/>
            <w:left w:val="none" w:sz="0" w:space="0" w:color="auto"/>
            <w:bottom w:val="none" w:sz="0" w:space="0" w:color="auto"/>
            <w:right w:val="none" w:sz="0" w:space="0" w:color="auto"/>
          </w:divBdr>
        </w:div>
        <w:div w:id="1028457426">
          <w:marLeft w:val="0"/>
          <w:marRight w:val="403"/>
          <w:marTop w:val="150"/>
          <w:marBottom w:val="0"/>
          <w:divBdr>
            <w:top w:val="none" w:sz="0" w:space="0" w:color="auto"/>
            <w:left w:val="none" w:sz="0" w:space="0" w:color="auto"/>
            <w:bottom w:val="none" w:sz="0" w:space="0" w:color="auto"/>
            <w:right w:val="none" w:sz="0" w:space="0" w:color="auto"/>
          </w:divBdr>
        </w:div>
        <w:div w:id="2086216507">
          <w:marLeft w:val="0"/>
          <w:marRight w:val="403"/>
          <w:marTop w:val="150"/>
          <w:marBottom w:val="0"/>
          <w:divBdr>
            <w:top w:val="none" w:sz="0" w:space="0" w:color="auto"/>
            <w:left w:val="none" w:sz="0" w:space="0" w:color="auto"/>
            <w:bottom w:val="none" w:sz="0" w:space="0" w:color="auto"/>
            <w:right w:val="none" w:sz="0" w:space="0" w:color="auto"/>
          </w:divBdr>
        </w:div>
        <w:div w:id="436020308">
          <w:marLeft w:val="0"/>
          <w:marRight w:val="403"/>
          <w:marTop w:val="150"/>
          <w:marBottom w:val="0"/>
          <w:divBdr>
            <w:top w:val="none" w:sz="0" w:space="0" w:color="auto"/>
            <w:left w:val="none" w:sz="0" w:space="0" w:color="auto"/>
            <w:bottom w:val="none" w:sz="0" w:space="0" w:color="auto"/>
            <w:right w:val="none" w:sz="0" w:space="0" w:color="auto"/>
          </w:divBdr>
        </w:div>
      </w:divsChild>
    </w:div>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B311AF0B-6C20-43A3-9D75-1B471E2F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1797</Words>
  <Characters>8986</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12</cp:revision>
  <dcterms:created xsi:type="dcterms:W3CDTF">2017-10-09T06:21:00Z</dcterms:created>
  <dcterms:modified xsi:type="dcterms:W3CDTF">2017-11-03T22:19:00Z</dcterms:modified>
</cp:coreProperties>
</file>