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400" w:rsidRPr="00A42D66" w:rsidRDefault="00907400" w:rsidP="00907400">
      <w:pPr>
        <w:rPr>
          <w:b/>
          <w:bCs/>
          <w:sz w:val="28"/>
          <w:rtl/>
        </w:rPr>
      </w:pPr>
      <w:r w:rsidRPr="00A42D66">
        <w:rPr>
          <w:rFonts w:hint="cs"/>
          <w:noProof/>
          <w:sz w:val="32"/>
          <w:szCs w:val="32"/>
          <w:rtl/>
        </w:rPr>
        <w:drawing>
          <wp:anchor distT="0" distB="0" distL="114300" distR="114300" simplePos="0" relativeHeight="251702272" behindDoc="0" locked="0" layoutInCell="1" allowOverlap="1" wp14:anchorId="0405E3DB" wp14:editId="7102EB2C">
            <wp:simplePos x="0" y="0"/>
            <wp:positionH relativeFrom="margin">
              <wp:posOffset>4276725</wp:posOffset>
            </wp:positionH>
            <wp:positionV relativeFrom="margin">
              <wp:posOffset>-413385</wp:posOffset>
            </wp:positionV>
            <wp:extent cx="571500" cy="714375"/>
            <wp:effectExtent l="0" t="0" r="0" b="9525"/>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D66">
        <w:rPr>
          <w:noProof/>
          <w:sz w:val="32"/>
          <w:szCs w:val="32"/>
          <w:rtl/>
        </w:rPr>
        <mc:AlternateContent>
          <mc:Choice Requires="wpg">
            <w:drawing>
              <wp:anchor distT="0" distB="0" distL="114300" distR="114300" simplePos="0" relativeHeight="251703296" behindDoc="0" locked="0" layoutInCell="1" allowOverlap="1" wp14:anchorId="1804F40B" wp14:editId="1113039F">
                <wp:simplePos x="0" y="0"/>
                <wp:positionH relativeFrom="margin">
                  <wp:posOffset>-861060</wp:posOffset>
                </wp:positionH>
                <wp:positionV relativeFrom="margin">
                  <wp:posOffset>-251460</wp:posOffset>
                </wp:positionV>
                <wp:extent cx="6976745" cy="326390"/>
                <wp:effectExtent l="0" t="0" r="14605" b="16510"/>
                <wp:wrapNone/>
                <wp:docPr id="1044" name="קבוצה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047"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63"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37E071" id="קבוצה 1044" o:spid="_x0000_s1026" style="position:absolute;margin-left:-67.8pt;margin-top:-19.8pt;width:549.35pt;height:25.7pt;z-index:251703296;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907400" w:rsidRPr="00A42D66" w:rsidRDefault="00907400" w:rsidP="00907400">
      <w:pPr>
        <w:jc w:val="center"/>
        <w:rPr>
          <w:sz w:val="28"/>
          <w:rtl/>
        </w:rPr>
      </w:pPr>
    </w:p>
    <w:p w:rsidR="00907400" w:rsidRPr="00A42D66" w:rsidRDefault="00907400" w:rsidP="00907400">
      <w:pPr>
        <w:jc w:val="center"/>
        <w:rPr>
          <w:b/>
          <w:bCs/>
          <w:color w:val="244061"/>
          <w:sz w:val="72"/>
          <w:szCs w:val="72"/>
          <w:rtl/>
        </w:rPr>
      </w:pPr>
      <w:r w:rsidRPr="00A42D66">
        <w:rPr>
          <w:rFonts w:hint="cs"/>
          <w:b/>
          <w:bCs/>
          <w:color w:val="244061"/>
          <w:sz w:val="72"/>
          <w:szCs w:val="72"/>
          <w:rtl/>
        </w:rPr>
        <w:t>המכללה לביטחון לאומי</w:t>
      </w:r>
    </w:p>
    <w:p w:rsidR="00907400" w:rsidRPr="00A42D66" w:rsidRDefault="00907400" w:rsidP="00D40CD2">
      <w:pPr>
        <w:jc w:val="center"/>
        <w:rPr>
          <w:b/>
          <w:bCs/>
          <w:color w:val="244061"/>
          <w:sz w:val="44"/>
          <w:szCs w:val="44"/>
          <w:rtl/>
        </w:rPr>
      </w:pPr>
      <w:r w:rsidRPr="00A42D66">
        <w:rPr>
          <w:rFonts w:hint="cs"/>
          <w:b/>
          <w:bCs/>
          <w:color w:val="244061"/>
          <w:sz w:val="44"/>
          <w:szCs w:val="44"/>
          <w:rtl/>
        </w:rPr>
        <w:t>מחזור מ"</w:t>
      </w:r>
      <w:r w:rsidR="00D40CD2">
        <w:rPr>
          <w:rFonts w:hint="cs"/>
          <w:b/>
          <w:bCs/>
          <w:color w:val="244061"/>
          <w:sz w:val="44"/>
          <w:szCs w:val="44"/>
          <w:rtl/>
        </w:rPr>
        <w:t>ה</w:t>
      </w:r>
      <w:r w:rsidRPr="00A42D66">
        <w:rPr>
          <w:rFonts w:hint="cs"/>
          <w:b/>
          <w:bCs/>
          <w:color w:val="244061"/>
          <w:sz w:val="44"/>
          <w:szCs w:val="44"/>
          <w:rtl/>
        </w:rPr>
        <w:t xml:space="preserve">  201</w:t>
      </w:r>
      <w:r w:rsidR="00D40CD2">
        <w:rPr>
          <w:rFonts w:hint="cs"/>
          <w:b/>
          <w:bCs/>
          <w:color w:val="244061"/>
          <w:sz w:val="44"/>
          <w:szCs w:val="44"/>
          <w:rtl/>
        </w:rPr>
        <w:t>7</w:t>
      </w:r>
      <w:r w:rsidRPr="00A42D66">
        <w:rPr>
          <w:rFonts w:hint="cs"/>
          <w:b/>
          <w:bCs/>
          <w:color w:val="244061"/>
          <w:sz w:val="44"/>
          <w:szCs w:val="44"/>
          <w:rtl/>
        </w:rPr>
        <w:t>-201</w:t>
      </w:r>
      <w:r w:rsidR="00D40CD2">
        <w:rPr>
          <w:rFonts w:hint="cs"/>
          <w:b/>
          <w:bCs/>
          <w:color w:val="244061"/>
          <w:sz w:val="44"/>
          <w:szCs w:val="44"/>
          <w:rtl/>
        </w:rPr>
        <w:t>8</w:t>
      </w:r>
    </w:p>
    <w:p w:rsidR="00907400" w:rsidRPr="00A42D66" w:rsidRDefault="00907400" w:rsidP="00907400">
      <w:pPr>
        <w:jc w:val="center"/>
        <w:rPr>
          <w:b/>
          <w:bCs/>
          <w:sz w:val="28"/>
          <w:rtl/>
        </w:rPr>
      </w:pPr>
    </w:p>
    <w:p w:rsidR="00907400" w:rsidRPr="00A42D66" w:rsidRDefault="00F64CBC" w:rsidP="00D40CD2">
      <w:pPr>
        <w:jc w:val="center"/>
        <w:rPr>
          <w:b/>
          <w:bCs/>
          <w:color w:val="244061"/>
          <w:sz w:val="48"/>
          <w:szCs w:val="48"/>
          <w:rtl/>
        </w:rPr>
      </w:pPr>
      <w:r>
        <w:rPr>
          <w:rFonts w:hint="cs"/>
          <w:b/>
          <w:bCs/>
          <w:color w:val="244061"/>
          <w:sz w:val="48"/>
          <w:szCs w:val="48"/>
          <w:rtl/>
        </w:rPr>
        <w:t xml:space="preserve">משפט ציבורי </w:t>
      </w:r>
      <w:r>
        <w:rPr>
          <w:b/>
          <w:bCs/>
          <w:color w:val="244061"/>
          <w:sz w:val="48"/>
          <w:szCs w:val="48"/>
          <w:rtl/>
        </w:rPr>
        <w:t>–</w:t>
      </w:r>
      <w:r>
        <w:rPr>
          <w:rFonts w:hint="cs"/>
          <w:b/>
          <w:bCs/>
          <w:color w:val="244061"/>
          <w:sz w:val="48"/>
          <w:szCs w:val="48"/>
          <w:rtl/>
        </w:rPr>
        <w:t xml:space="preserve"> עבודת סיכום</w:t>
      </w:r>
    </w:p>
    <w:p w:rsidR="00907400" w:rsidRPr="00A42D66" w:rsidRDefault="00907400" w:rsidP="00907400">
      <w:pPr>
        <w:jc w:val="center"/>
        <w:rPr>
          <w:sz w:val="44"/>
          <w:szCs w:val="44"/>
          <w:rtl/>
        </w:rPr>
      </w:pPr>
    </w:p>
    <w:p w:rsidR="00907400" w:rsidRPr="00A42D66" w:rsidRDefault="00907400" w:rsidP="00D40CD2">
      <w:pPr>
        <w:jc w:val="center"/>
        <w:rPr>
          <w:b/>
          <w:bCs/>
          <w:color w:val="244061"/>
          <w:sz w:val="40"/>
          <w:szCs w:val="40"/>
          <w:rtl/>
        </w:rPr>
      </w:pPr>
      <w:r>
        <w:rPr>
          <w:rFonts w:hint="cs"/>
          <w:b/>
          <w:bCs/>
          <w:color w:val="244061"/>
          <w:sz w:val="40"/>
          <w:szCs w:val="40"/>
          <w:rtl/>
        </w:rPr>
        <w:t xml:space="preserve">מגיש: </w:t>
      </w:r>
      <w:r w:rsidR="00D40CD2">
        <w:rPr>
          <w:rFonts w:hint="cs"/>
          <w:b/>
          <w:bCs/>
          <w:color w:val="244061"/>
          <w:sz w:val="40"/>
          <w:szCs w:val="40"/>
          <w:rtl/>
        </w:rPr>
        <w:t>עמית סער</w:t>
      </w:r>
    </w:p>
    <w:p w:rsidR="00907400" w:rsidRPr="00A42D66" w:rsidRDefault="00907400" w:rsidP="00D40CD2">
      <w:pPr>
        <w:jc w:val="center"/>
        <w:rPr>
          <w:sz w:val="28"/>
        </w:rPr>
      </w:pPr>
      <w:r w:rsidRPr="00A42D66">
        <w:rPr>
          <w:b/>
          <w:bCs/>
          <w:noProof/>
          <w:color w:val="244061"/>
          <w:sz w:val="40"/>
          <w:szCs w:val="40"/>
        </w:rPr>
        <mc:AlternateContent>
          <mc:Choice Requires="wpg">
            <w:drawing>
              <wp:anchor distT="0" distB="0" distL="114300" distR="114300" simplePos="0" relativeHeight="251704320" behindDoc="0" locked="0" layoutInCell="1" allowOverlap="1" wp14:anchorId="217E9207" wp14:editId="0FB4D0EA">
                <wp:simplePos x="0" y="0"/>
                <wp:positionH relativeFrom="margin">
                  <wp:posOffset>-908685</wp:posOffset>
                </wp:positionH>
                <wp:positionV relativeFrom="margin">
                  <wp:posOffset>7654290</wp:posOffset>
                </wp:positionV>
                <wp:extent cx="7261860" cy="496570"/>
                <wp:effectExtent l="0" t="0" r="15240" b="17780"/>
                <wp:wrapNone/>
                <wp:docPr id="10" name="קבוצה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1860" cy="496570"/>
                          <a:chOff x="0" y="0"/>
                          <a:chExt cx="20000" cy="20000"/>
                        </a:xfrm>
                      </wpg:grpSpPr>
                      <wps:wsp>
                        <wps:cNvPr id="11" name="Freeform 6"/>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2" name="Freeform 7"/>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19" name="Group 8"/>
                        <wpg:cNvGrpSpPr>
                          <a:grpSpLocks/>
                        </wpg:cNvGrpSpPr>
                        <wpg:grpSpPr bwMode="auto">
                          <a:xfrm>
                            <a:off x="3105" y="0"/>
                            <a:ext cx="1729" cy="20000"/>
                            <a:chOff x="0" y="0"/>
                            <a:chExt cx="20000" cy="20000"/>
                          </a:xfrm>
                        </wpg:grpSpPr>
                        <wps:wsp>
                          <wps:cNvPr id="1024" name="Freeform 9"/>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25" name="Freeform 10"/>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2E4883" id="קבוצה 10" o:spid="_x0000_s1026" style="position:absolute;margin-left:-71.55pt;margin-top:602.7pt;width:571.8pt;height:39.1pt;z-index:251704320;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">
                <v:shape id="Freeform 6"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7"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8"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">
                  <v:shape id="Freeform 9"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0"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3F5AE6">
        <w:rPr>
          <w:rFonts w:hint="cs"/>
          <w:b/>
          <w:bCs/>
          <w:color w:val="244061"/>
          <w:sz w:val="40"/>
          <w:szCs w:val="40"/>
          <w:rtl/>
        </w:rPr>
        <w:t xml:space="preserve">ינואר </w:t>
      </w:r>
      <w:r w:rsidR="00D40CD2">
        <w:rPr>
          <w:rFonts w:hint="cs"/>
          <w:b/>
          <w:bCs/>
          <w:color w:val="244061"/>
          <w:sz w:val="40"/>
          <w:szCs w:val="40"/>
          <w:rtl/>
        </w:rPr>
        <w:t>2018</w:t>
      </w:r>
    </w:p>
    <w:p w:rsidR="00907400" w:rsidRPr="00A42D66" w:rsidRDefault="00907400" w:rsidP="00907400">
      <w:pPr>
        <w:rPr>
          <w:rFonts w:ascii="David" w:hAnsi="David"/>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rsidP="00945FFD">
      <w:pPr>
        <w:rPr>
          <w:b/>
          <w:bCs/>
          <w:sz w:val="32"/>
          <w:szCs w:val="32"/>
          <w:highlight w:val="yellow"/>
          <w:rtl/>
        </w:rPr>
      </w:pPr>
    </w:p>
    <w:p w:rsidR="00907400" w:rsidRDefault="00907400" w:rsidP="00945FFD">
      <w:pPr>
        <w:rPr>
          <w:b/>
          <w:bCs/>
          <w:sz w:val="32"/>
          <w:szCs w:val="32"/>
          <w:highlight w:val="yellow"/>
          <w:rtl/>
        </w:rPr>
      </w:pPr>
    </w:p>
    <w:p w:rsidR="00E921F5" w:rsidRDefault="00E921F5" w:rsidP="00494638">
      <w:pPr>
        <w:pStyle w:val="a7"/>
        <w:rPr>
          <w:rtl w:val="0"/>
          <w:cs w:val="0"/>
        </w:rPr>
      </w:pPr>
    </w:p>
    <w:p w:rsidR="00535029" w:rsidRDefault="00535029" w:rsidP="00945FFD">
      <w:pPr>
        <w:rPr>
          <w:b/>
          <w:bCs/>
          <w:sz w:val="32"/>
          <w:szCs w:val="32"/>
          <w:highlight w:val="yellow"/>
          <w:rtl/>
        </w:rPr>
      </w:pPr>
    </w:p>
    <w:p w:rsidR="00535029" w:rsidRDefault="00535029" w:rsidP="00945FFD">
      <w:pPr>
        <w:rPr>
          <w:b/>
          <w:bCs/>
          <w:sz w:val="32"/>
          <w:szCs w:val="32"/>
          <w:highlight w:val="yellow"/>
          <w:rtl/>
        </w:rPr>
      </w:pPr>
    </w:p>
    <w:p w:rsidR="00535029" w:rsidRDefault="00535029" w:rsidP="00945FFD">
      <w:pPr>
        <w:rPr>
          <w:b/>
          <w:bCs/>
          <w:sz w:val="32"/>
          <w:szCs w:val="32"/>
          <w:highlight w:val="yellow"/>
          <w:rtl/>
        </w:rPr>
      </w:pPr>
    </w:p>
    <w:p w:rsidR="00535029" w:rsidRDefault="00535029" w:rsidP="00945FFD">
      <w:pPr>
        <w:rPr>
          <w:b/>
          <w:bCs/>
          <w:sz w:val="32"/>
          <w:szCs w:val="32"/>
          <w:highlight w:val="yellow"/>
          <w:rtl/>
        </w:rPr>
      </w:pPr>
    </w:p>
    <w:p w:rsidR="00CB6843" w:rsidRPr="00CB6843" w:rsidRDefault="00833352" w:rsidP="00F342D7">
      <w:pPr>
        <w:rPr>
          <w:b/>
          <w:bCs/>
          <w:sz w:val="28"/>
          <w:rtl/>
        </w:rPr>
      </w:pPr>
      <w:r>
        <w:rPr>
          <w:rFonts w:hint="cs"/>
          <w:b/>
          <w:bCs/>
          <w:sz w:val="28"/>
          <w:rtl/>
        </w:rPr>
        <w:lastRenderedPageBreak/>
        <w:t>מבוא</w:t>
      </w:r>
      <w:r w:rsidR="00CB6843" w:rsidRPr="00CB6843">
        <w:rPr>
          <w:rFonts w:hint="cs"/>
          <w:b/>
          <w:bCs/>
          <w:sz w:val="28"/>
          <w:rtl/>
        </w:rPr>
        <w:t xml:space="preserve"> ומסגרת תפיסתית</w:t>
      </w:r>
    </w:p>
    <w:p w:rsidR="005B0FAD" w:rsidRDefault="00F64CBC" w:rsidP="00BE31A5">
      <w:pPr>
        <w:rPr>
          <w:sz w:val="28"/>
          <w:rtl/>
        </w:rPr>
      </w:pPr>
      <w:r>
        <w:rPr>
          <w:rFonts w:hint="cs"/>
          <w:sz w:val="28"/>
          <w:rtl/>
        </w:rPr>
        <w:t>בשישה בפברואר 2011, הודיעה ממשלת ישראל, בהחלטה תקדימית, שהיא מבטלת את מינוי</w:t>
      </w:r>
      <w:r w:rsidR="003D036B">
        <w:rPr>
          <w:rFonts w:hint="cs"/>
          <w:sz w:val="28"/>
          <w:rtl/>
        </w:rPr>
        <w:t>ו</w:t>
      </w:r>
      <w:r>
        <w:rPr>
          <w:rFonts w:hint="cs"/>
          <w:sz w:val="28"/>
          <w:rtl/>
        </w:rPr>
        <w:t xml:space="preserve"> של אלוף יואב </w:t>
      </w:r>
      <w:proofErr w:type="spellStart"/>
      <w:r>
        <w:rPr>
          <w:rFonts w:hint="cs"/>
          <w:sz w:val="28"/>
          <w:rtl/>
        </w:rPr>
        <w:t>גלנט</w:t>
      </w:r>
      <w:proofErr w:type="spellEnd"/>
      <w:r>
        <w:rPr>
          <w:rFonts w:hint="cs"/>
          <w:sz w:val="28"/>
          <w:rtl/>
        </w:rPr>
        <w:t xml:space="preserve"> לתפקיד ראש המטה הכללי של צבא </w:t>
      </w:r>
      <w:r w:rsidR="003D036B">
        <w:rPr>
          <w:rFonts w:hint="cs"/>
          <w:sz w:val="28"/>
          <w:rtl/>
        </w:rPr>
        <w:t>ה</w:t>
      </w:r>
      <w:r>
        <w:rPr>
          <w:rFonts w:hint="cs"/>
          <w:sz w:val="28"/>
          <w:rtl/>
        </w:rPr>
        <w:t>הגנה לישראל</w:t>
      </w:r>
      <w:r w:rsidR="003D036B">
        <w:rPr>
          <w:rFonts w:hint="cs"/>
          <w:sz w:val="28"/>
          <w:rtl/>
        </w:rPr>
        <w:t xml:space="preserve">. </w:t>
      </w:r>
      <w:r w:rsidR="005B0FAD">
        <w:rPr>
          <w:rFonts w:hint="cs"/>
          <w:sz w:val="28"/>
          <w:rtl/>
        </w:rPr>
        <w:t>זאת</w:t>
      </w:r>
      <w:r w:rsidR="003F5AE6">
        <w:rPr>
          <w:rFonts w:hint="cs"/>
          <w:sz w:val="28"/>
          <w:rtl/>
        </w:rPr>
        <w:t>,</w:t>
      </w:r>
      <w:r w:rsidR="005B0FAD">
        <w:rPr>
          <w:rFonts w:hint="cs"/>
          <w:sz w:val="28"/>
          <w:rtl/>
        </w:rPr>
        <w:t xml:space="preserve"> לאחר עתירה שהוגשה נגד המינוי וקביעה של היועץ המשפטי לממשלה, </w:t>
      </w:r>
      <w:r w:rsidR="003D036B">
        <w:rPr>
          <w:rFonts w:hint="cs"/>
          <w:sz w:val="28"/>
          <w:rtl/>
        </w:rPr>
        <w:t xml:space="preserve">מר </w:t>
      </w:r>
      <w:r w:rsidR="00F342D7">
        <w:rPr>
          <w:rFonts w:hint="cs"/>
          <w:sz w:val="28"/>
          <w:rtl/>
        </w:rPr>
        <w:t xml:space="preserve">יהודה </w:t>
      </w:r>
      <w:proofErr w:type="spellStart"/>
      <w:r w:rsidR="00F342D7">
        <w:rPr>
          <w:rFonts w:hint="cs"/>
          <w:sz w:val="28"/>
          <w:rtl/>
        </w:rPr>
        <w:t>וינשטיין</w:t>
      </w:r>
      <w:proofErr w:type="spellEnd"/>
      <w:r w:rsidR="00F342D7">
        <w:rPr>
          <w:rFonts w:hint="cs"/>
          <w:sz w:val="28"/>
          <w:rtl/>
        </w:rPr>
        <w:t xml:space="preserve">, </w:t>
      </w:r>
      <w:r w:rsidR="005B0FAD">
        <w:rPr>
          <w:rFonts w:hint="cs"/>
          <w:sz w:val="28"/>
          <w:rtl/>
        </w:rPr>
        <w:t xml:space="preserve">כי ההחלטה למנותו "מעוררת קשיים </w:t>
      </w:r>
      <w:r w:rsidR="00BE31A5">
        <w:rPr>
          <w:rFonts w:hint="cs"/>
          <w:sz w:val="28"/>
          <w:rtl/>
        </w:rPr>
        <w:t>משפטיים משמעותיים ביחס לסבירותה</w:t>
      </w:r>
      <w:r w:rsidR="003D036B">
        <w:rPr>
          <w:rFonts w:hint="cs"/>
          <w:sz w:val="28"/>
          <w:rtl/>
        </w:rPr>
        <w:t>,</w:t>
      </w:r>
      <w:r w:rsidR="00BE31A5">
        <w:rPr>
          <w:rFonts w:hint="cs"/>
          <w:sz w:val="28"/>
          <w:rtl/>
        </w:rPr>
        <w:t xml:space="preserve"> וכי</w:t>
      </w:r>
      <w:r w:rsidR="005B0FAD">
        <w:rPr>
          <w:rFonts w:hint="cs"/>
          <w:sz w:val="28"/>
          <w:rtl/>
        </w:rPr>
        <w:t xml:space="preserve"> </w:t>
      </w:r>
      <w:r w:rsidR="00F342D7">
        <w:rPr>
          <w:rFonts w:hint="cs"/>
          <w:sz w:val="28"/>
          <w:rtl/>
        </w:rPr>
        <w:t>ס</w:t>
      </w:r>
      <w:r w:rsidR="005B0FAD">
        <w:rPr>
          <w:rFonts w:hint="cs"/>
          <w:sz w:val="28"/>
          <w:rtl/>
        </w:rPr>
        <w:t>פק אם ראוי מבחינה ערכית להותיר בעינה את ההחלטה</w:t>
      </w:r>
      <w:r w:rsidR="003D036B">
        <w:rPr>
          <w:rFonts w:hint="cs"/>
          <w:sz w:val="28"/>
          <w:rtl/>
        </w:rPr>
        <w:t>״</w:t>
      </w:r>
      <w:r w:rsidR="00535029">
        <w:rPr>
          <w:rFonts w:hint="cs"/>
          <w:sz w:val="28"/>
          <w:rtl/>
        </w:rPr>
        <w:t xml:space="preserve"> (</w:t>
      </w:r>
      <w:proofErr w:type="spellStart"/>
      <w:r w:rsidR="00535029">
        <w:rPr>
          <w:rFonts w:hint="cs"/>
          <w:sz w:val="28"/>
          <w:rtl/>
        </w:rPr>
        <w:t>וינשטיין</w:t>
      </w:r>
      <w:proofErr w:type="spellEnd"/>
      <w:r w:rsidR="00535029">
        <w:rPr>
          <w:rFonts w:hint="cs"/>
          <w:sz w:val="28"/>
          <w:rtl/>
        </w:rPr>
        <w:t xml:space="preserve">, 2011). </w:t>
      </w:r>
    </w:p>
    <w:p w:rsidR="005B0FAD" w:rsidRDefault="00F64CBC" w:rsidP="00F64CBC">
      <w:pPr>
        <w:rPr>
          <w:sz w:val="28"/>
          <w:rtl/>
        </w:rPr>
      </w:pPr>
      <w:r>
        <w:rPr>
          <w:rFonts w:hint="cs"/>
          <w:sz w:val="28"/>
          <w:rtl/>
        </w:rPr>
        <w:t xml:space="preserve">ארבע שנים מאוחר יותר, מונה האלוף (כעת כבר במילואים) </w:t>
      </w:r>
      <w:proofErr w:type="spellStart"/>
      <w:r>
        <w:rPr>
          <w:rFonts w:hint="cs"/>
          <w:sz w:val="28"/>
          <w:rtl/>
        </w:rPr>
        <w:t>גלנט</w:t>
      </w:r>
      <w:proofErr w:type="spellEnd"/>
      <w:r>
        <w:rPr>
          <w:rFonts w:hint="cs"/>
          <w:sz w:val="28"/>
          <w:rtl/>
        </w:rPr>
        <w:t xml:space="preserve"> לתפקיד שר השיכון והבינוי בממשלת ישראל. </w:t>
      </w:r>
      <w:r w:rsidR="00F342D7">
        <w:rPr>
          <w:rFonts w:hint="cs"/>
          <w:sz w:val="28"/>
          <w:rtl/>
        </w:rPr>
        <w:t xml:space="preserve">בחוות הדעת של היועץ המשפטי לממשלה, אותו יהודה </w:t>
      </w:r>
      <w:proofErr w:type="spellStart"/>
      <w:r w:rsidR="00F342D7">
        <w:rPr>
          <w:rFonts w:hint="cs"/>
          <w:sz w:val="28"/>
          <w:rtl/>
        </w:rPr>
        <w:t>וינשטיין</w:t>
      </w:r>
      <w:proofErr w:type="spellEnd"/>
      <w:r w:rsidR="00F342D7">
        <w:rPr>
          <w:rFonts w:hint="cs"/>
          <w:sz w:val="28"/>
          <w:rtl/>
        </w:rPr>
        <w:t xml:space="preserve">, </w:t>
      </w:r>
      <w:r w:rsidR="00225892">
        <w:rPr>
          <w:rFonts w:hint="cs"/>
          <w:sz w:val="28"/>
          <w:rtl/>
        </w:rPr>
        <w:t xml:space="preserve">נקבע </w:t>
      </w:r>
      <w:r w:rsidR="00F342D7">
        <w:rPr>
          <w:rFonts w:hint="cs"/>
          <w:sz w:val="28"/>
          <w:rtl/>
        </w:rPr>
        <w:t>כי "אין מניעה משפטית למינויו" וכי המינוי "אינו לוקה באי-סבירות קיצונית"</w:t>
      </w:r>
      <w:r w:rsidR="00535029">
        <w:rPr>
          <w:rFonts w:hint="cs"/>
          <w:sz w:val="28"/>
          <w:rtl/>
        </w:rPr>
        <w:t xml:space="preserve"> (</w:t>
      </w:r>
      <w:proofErr w:type="spellStart"/>
      <w:r w:rsidR="00535029">
        <w:rPr>
          <w:rFonts w:hint="cs"/>
          <w:sz w:val="28"/>
          <w:rtl/>
        </w:rPr>
        <w:t>וינשטיין</w:t>
      </w:r>
      <w:proofErr w:type="spellEnd"/>
      <w:r w:rsidR="00535029">
        <w:rPr>
          <w:rFonts w:hint="cs"/>
          <w:sz w:val="28"/>
          <w:rtl/>
        </w:rPr>
        <w:t>, 2015, 1)</w:t>
      </w:r>
      <w:r w:rsidR="00F342D7">
        <w:rPr>
          <w:rFonts w:hint="cs"/>
          <w:sz w:val="28"/>
          <w:rtl/>
        </w:rPr>
        <w:t xml:space="preserve">. בית המשפט העליון, </w:t>
      </w:r>
      <w:r w:rsidR="00225892">
        <w:rPr>
          <w:rFonts w:hint="cs"/>
          <w:sz w:val="28"/>
          <w:rtl/>
        </w:rPr>
        <w:t xml:space="preserve">אשר </w:t>
      </w:r>
      <w:r w:rsidR="00F342D7">
        <w:rPr>
          <w:rFonts w:hint="cs"/>
          <w:sz w:val="28"/>
          <w:rtl/>
        </w:rPr>
        <w:t>נדרש גם הוא לסוגיה, דחה את העתירה נגד המינוי וקיבל את חוות דעתו של היועץ המשפטי.</w:t>
      </w:r>
    </w:p>
    <w:p w:rsidR="00653CD6" w:rsidRDefault="00F342D7" w:rsidP="00BE31A5">
      <w:pPr>
        <w:rPr>
          <w:sz w:val="28"/>
          <w:rtl/>
        </w:rPr>
      </w:pPr>
      <w:r>
        <w:rPr>
          <w:rFonts w:hint="cs"/>
          <w:sz w:val="28"/>
          <w:rtl/>
        </w:rPr>
        <w:t xml:space="preserve">מעבר לדרמה הפוליטית שעוררו, שתי "פרשיות </w:t>
      </w:r>
      <w:proofErr w:type="spellStart"/>
      <w:r>
        <w:rPr>
          <w:rFonts w:hint="cs"/>
          <w:sz w:val="28"/>
          <w:rtl/>
        </w:rPr>
        <w:t>גלנט</w:t>
      </w:r>
      <w:proofErr w:type="spellEnd"/>
      <w:r>
        <w:rPr>
          <w:rFonts w:hint="cs"/>
          <w:sz w:val="28"/>
          <w:rtl/>
        </w:rPr>
        <w:t>" מ</w:t>
      </w:r>
      <w:r w:rsidR="00653CD6">
        <w:rPr>
          <w:rFonts w:hint="cs"/>
          <w:sz w:val="28"/>
          <w:rtl/>
        </w:rPr>
        <w:t xml:space="preserve">עלות גם סוגיות חוקתיות מרתקות </w:t>
      </w:r>
      <w:r w:rsidR="00221221">
        <w:rPr>
          <w:rFonts w:hint="cs"/>
          <w:sz w:val="28"/>
          <w:rtl/>
        </w:rPr>
        <w:t xml:space="preserve">שבמוקדן </w:t>
      </w:r>
      <w:r w:rsidR="00BE31A5">
        <w:rPr>
          <w:rFonts w:hint="cs"/>
          <w:sz w:val="28"/>
          <w:rtl/>
        </w:rPr>
        <w:t>השאלה</w:t>
      </w:r>
      <w:r w:rsidR="00653CD6">
        <w:rPr>
          <w:rFonts w:hint="cs"/>
          <w:sz w:val="28"/>
          <w:rtl/>
        </w:rPr>
        <w:t>: במה מותר שר מרמטכ"ל? כיצד אותו מסד עובדתי מייצר בעיה ערכית מהותית כאשר מדובר במינוי לראש המערכת הצבאית, אך אינו מונע מינוי לתפקיד בכיר של שר בממשלת ישראל?</w:t>
      </w:r>
    </w:p>
    <w:p w:rsidR="00F342D7" w:rsidRDefault="00653CD6" w:rsidP="00BE31A5">
      <w:pPr>
        <w:rPr>
          <w:sz w:val="28"/>
          <w:rtl/>
        </w:rPr>
      </w:pPr>
      <w:r>
        <w:rPr>
          <w:rFonts w:hint="cs"/>
          <w:sz w:val="28"/>
          <w:rtl/>
        </w:rPr>
        <w:t xml:space="preserve">כדי לענות על השאלות הללו </w:t>
      </w:r>
      <w:r w:rsidR="00D04642">
        <w:rPr>
          <w:rFonts w:hint="cs"/>
          <w:sz w:val="28"/>
          <w:rtl/>
        </w:rPr>
        <w:t xml:space="preserve">יש </w:t>
      </w:r>
      <w:r>
        <w:rPr>
          <w:rFonts w:hint="cs"/>
          <w:sz w:val="28"/>
          <w:rtl/>
        </w:rPr>
        <w:t>לבח</w:t>
      </w:r>
      <w:r w:rsidR="00BE31A5">
        <w:rPr>
          <w:rFonts w:hint="cs"/>
          <w:sz w:val="28"/>
          <w:rtl/>
        </w:rPr>
        <w:t>ו</w:t>
      </w:r>
      <w:r>
        <w:rPr>
          <w:rFonts w:hint="cs"/>
          <w:sz w:val="28"/>
          <w:rtl/>
        </w:rPr>
        <w:t>ן את ההקשר הרחב יותר</w:t>
      </w:r>
      <w:r w:rsidR="00D04642">
        <w:rPr>
          <w:rFonts w:hint="cs"/>
          <w:sz w:val="28"/>
          <w:rtl/>
        </w:rPr>
        <w:t xml:space="preserve">. </w:t>
      </w:r>
      <w:r>
        <w:rPr>
          <w:rFonts w:hint="cs"/>
          <w:sz w:val="28"/>
          <w:rtl/>
        </w:rPr>
        <w:t xml:space="preserve">שתי פרשיותיו של השר </w:t>
      </w:r>
      <w:proofErr w:type="spellStart"/>
      <w:r>
        <w:rPr>
          <w:rFonts w:hint="cs"/>
          <w:sz w:val="28"/>
          <w:rtl/>
        </w:rPr>
        <w:t>גלנט</w:t>
      </w:r>
      <w:proofErr w:type="spellEnd"/>
      <w:r>
        <w:rPr>
          <w:rFonts w:hint="cs"/>
          <w:sz w:val="28"/>
          <w:rtl/>
        </w:rPr>
        <w:t xml:space="preserve"> משתייכות למשפחה של תיקים </w:t>
      </w:r>
      <w:r w:rsidR="00D04642">
        <w:rPr>
          <w:rFonts w:hint="cs"/>
          <w:sz w:val="28"/>
          <w:rtl/>
        </w:rPr>
        <w:t xml:space="preserve">בה </w:t>
      </w:r>
      <w:r>
        <w:rPr>
          <w:rFonts w:hint="cs"/>
          <w:sz w:val="28"/>
          <w:rtl/>
        </w:rPr>
        <w:t>עסק בית המשפט העליון</w:t>
      </w:r>
      <w:r w:rsidR="00CB6843">
        <w:rPr>
          <w:rFonts w:hint="cs"/>
          <w:sz w:val="28"/>
          <w:rtl/>
        </w:rPr>
        <w:t xml:space="preserve">, החל מראשית שנות ה-90, </w:t>
      </w:r>
      <w:r w:rsidR="00D04642">
        <w:rPr>
          <w:rFonts w:hint="cs"/>
          <w:sz w:val="28"/>
          <w:rtl/>
        </w:rPr>
        <w:t>שעניינ</w:t>
      </w:r>
      <w:r w:rsidR="00535029">
        <w:rPr>
          <w:rFonts w:hint="cs"/>
          <w:sz w:val="28"/>
          <w:rtl/>
        </w:rPr>
        <w:t>ם</w:t>
      </w:r>
      <w:r w:rsidR="00D04642">
        <w:rPr>
          <w:rFonts w:hint="cs"/>
          <w:sz w:val="28"/>
          <w:rtl/>
        </w:rPr>
        <w:t xml:space="preserve"> </w:t>
      </w:r>
      <w:r>
        <w:rPr>
          <w:rFonts w:hint="cs"/>
          <w:sz w:val="28"/>
          <w:rtl/>
        </w:rPr>
        <w:t>סוגיית המינויים לתפקידים בכירים בשירות הציבורי.</w:t>
      </w:r>
      <w:r w:rsidR="00CB6843">
        <w:rPr>
          <w:rFonts w:hint="cs"/>
          <w:sz w:val="28"/>
          <w:rtl/>
        </w:rPr>
        <w:t xml:space="preserve"> באופן מדויק יותר ניתן לומר כי תיקים אלו דנו בשאלת "המינוי הראוי", כלומר האם ניתן לפסול מינוי, אשר אין נגדו מניעה חוקית, משום שהוא מקיים חוסר סבירות קיצונית מבחינה ערכית וציבורית.</w:t>
      </w:r>
    </w:p>
    <w:p w:rsidR="00CB6843" w:rsidRDefault="00CB6843" w:rsidP="005C2030">
      <w:pPr>
        <w:rPr>
          <w:sz w:val="28"/>
          <w:rtl/>
        </w:rPr>
      </w:pPr>
      <w:r>
        <w:rPr>
          <w:rFonts w:hint="cs"/>
          <w:sz w:val="28"/>
          <w:rtl/>
        </w:rPr>
        <w:t>שלושת פסקי הדין שעיצבו את המסגרת הנורמטיבי</w:t>
      </w:r>
      <w:r w:rsidR="003F5AE6">
        <w:rPr>
          <w:rFonts w:hint="cs"/>
          <w:sz w:val="28"/>
          <w:rtl/>
        </w:rPr>
        <w:t xml:space="preserve">ת </w:t>
      </w:r>
      <w:r w:rsidR="005C2030">
        <w:rPr>
          <w:rFonts w:hint="cs"/>
          <w:sz w:val="28"/>
          <w:rtl/>
        </w:rPr>
        <w:t>בסוגיה זו</w:t>
      </w:r>
      <w:r w:rsidR="003F5AE6">
        <w:rPr>
          <w:rFonts w:hint="cs"/>
          <w:sz w:val="28"/>
          <w:rtl/>
        </w:rPr>
        <w:t xml:space="preserve"> הם פסק הדין</w:t>
      </w:r>
      <w:r>
        <w:rPr>
          <w:rFonts w:hint="cs"/>
          <w:sz w:val="28"/>
          <w:rtl/>
        </w:rPr>
        <w:t xml:space="preserve"> בפרשת דרעי (</w:t>
      </w:r>
      <w:r w:rsidRPr="00CB6843">
        <w:rPr>
          <w:rFonts w:hint="cs"/>
          <w:sz w:val="28"/>
          <w:rtl/>
        </w:rPr>
        <w:t>בג"צ 3094/94</w:t>
      </w:r>
      <w:r>
        <w:rPr>
          <w:rFonts w:hint="cs"/>
          <w:sz w:val="28"/>
          <w:rtl/>
        </w:rPr>
        <w:t>)</w:t>
      </w:r>
      <w:r w:rsidR="00872B1C">
        <w:rPr>
          <w:rFonts w:hint="cs"/>
          <w:sz w:val="28"/>
          <w:rtl/>
        </w:rPr>
        <w:t>,</w:t>
      </w:r>
      <w:r w:rsidR="003F5AE6">
        <w:rPr>
          <w:rFonts w:hint="cs"/>
          <w:sz w:val="28"/>
          <w:rtl/>
        </w:rPr>
        <w:t xml:space="preserve"> פסק הדין</w:t>
      </w:r>
      <w:r>
        <w:rPr>
          <w:rFonts w:hint="cs"/>
          <w:sz w:val="28"/>
          <w:rtl/>
        </w:rPr>
        <w:t xml:space="preserve"> בפרשת פנחסי (</w:t>
      </w:r>
      <w:r w:rsidRPr="00CB6843">
        <w:rPr>
          <w:rFonts w:eastAsia="MS Mincho" w:hint="cs"/>
          <w:rtl/>
        </w:rPr>
        <w:t>בג"צ 4267/93</w:t>
      </w:r>
      <w:r>
        <w:rPr>
          <w:rFonts w:hint="cs"/>
          <w:sz w:val="28"/>
          <w:rtl/>
        </w:rPr>
        <w:t>)</w:t>
      </w:r>
      <w:r w:rsidR="00872B1C">
        <w:rPr>
          <w:rFonts w:hint="cs"/>
          <w:sz w:val="28"/>
          <w:rtl/>
        </w:rPr>
        <w:t>,</w:t>
      </w:r>
      <w:r w:rsidR="003F5AE6">
        <w:rPr>
          <w:rFonts w:hint="cs"/>
          <w:sz w:val="28"/>
          <w:rtl/>
        </w:rPr>
        <w:t xml:space="preserve"> ופסק הדין </w:t>
      </w:r>
      <w:r>
        <w:rPr>
          <w:rFonts w:hint="cs"/>
          <w:sz w:val="28"/>
          <w:rtl/>
        </w:rPr>
        <w:t xml:space="preserve">בפרשת גינוסר </w:t>
      </w:r>
      <w:r w:rsidR="00706D14">
        <w:rPr>
          <w:rFonts w:hint="cs"/>
          <w:sz w:val="28"/>
          <w:rtl/>
        </w:rPr>
        <w:t xml:space="preserve">(בג"צ 6163/92). בשלושת התיקים הללו דן בית המשפט בשאלה האם ניתן למנות, או לפטר, אדם מתפקיד ציבורי בכיר, אף כי החוק אינו דורש זאת במפורש. </w:t>
      </w:r>
    </w:p>
    <w:p w:rsidR="00706D14" w:rsidRDefault="00706D14" w:rsidP="00833352">
      <w:pPr>
        <w:rPr>
          <w:sz w:val="28"/>
          <w:rtl/>
        </w:rPr>
      </w:pPr>
      <w:r>
        <w:rPr>
          <w:rFonts w:hint="cs"/>
          <w:sz w:val="28"/>
          <w:rtl/>
        </w:rPr>
        <w:t xml:space="preserve">במקרים של השר דרעי וסגן השר פנחסי, קבע בין המשפט כי למרות שהחוק אינו מחייב את ראש הממשלה לפטר שר וסגן שר שהוגש נגדם כתב אישום, הרי שההחלטה להותירם בתפקידם לוקה בחוסר סבירות קיצוני ולכן בטלה. בסוגיית הכוונה למנות את יוסי גינוסר למנכ"ל משרד הבינוי והשיכון, קבע בית המשפט העליון שתי קביעות חשובות ותקדימיות: האחת, כי קיימת חובה על הממשלה לשקול לעומק עברו של </w:t>
      </w:r>
      <w:r>
        <w:rPr>
          <w:rFonts w:hint="cs"/>
          <w:sz w:val="28"/>
          <w:rtl/>
        </w:rPr>
        <w:lastRenderedPageBreak/>
        <w:t>אדם המועמד לתפקיד בכיר</w:t>
      </w:r>
      <w:r w:rsidR="00051464">
        <w:rPr>
          <w:rFonts w:hint="cs"/>
          <w:sz w:val="28"/>
          <w:rtl/>
        </w:rPr>
        <w:t>;</w:t>
      </w:r>
      <w:r>
        <w:rPr>
          <w:rFonts w:hint="cs"/>
          <w:sz w:val="28"/>
          <w:rtl/>
        </w:rPr>
        <w:t xml:space="preserve"> השנייה היא כי בשאלת סבירות המינוי, הרף הוא אינו הרף הפלילי ובהקשר זה גם ראיה מנהלתית עשויה לבסס מעין עבר פלילי ציבורי </w:t>
      </w:r>
      <w:r w:rsidR="00051464">
        <w:rPr>
          <w:rFonts w:hint="cs"/>
          <w:sz w:val="28"/>
          <w:rtl/>
        </w:rPr>
        <w:t>אף ש</w:t>
      </w:r>
      <w:r>
        <w:rPr>
          <w:rFonts w:hint="cs"/>
          <w:sz w:val="28"/>
          <w:rtl/>
        </w:rPr>
        <w:t>אינו פורמלי, אך מהותית עשוי וראוי לפסול אדם מתפקיד ציבורי בכיר</w:t>
      </w:r>
      <w:r w:rsidR="00535029">
        <w:rPr>
          <w:rStyle w:val="a6"/>
          <w:sz w:val="28"/>
          <w:rtl/>
        </w:rPr>
        <w:footnoteReference w:id="1"/>
      </w:r>
      <w:r>
        <w:rPr>
          <w:rFonts w:hint="cs"/>
          <w:sz w:val="28"/>
          <w:rtl/>
        </w:rPr>
        <w:t xml:space="preserve">. </w:t>
      </w:r>
    </w:p>
    <w:p w:rsidR="00706D14" w:rsidRPr="00CB6843" w:rsidRDefault="00833352" w:rsidP="00833352">
      <w:pPr>
        <w:rPr>
          <w:sz w:val="28"/>
          <w:rtl/>
        </w:rPr>
      </w:pPr>
      <w:r>
        <w:rPr>
          <w:rFonts w:hint="cs"/>
          <w:sz w:val="28"/>
          <w:rtl/>
        </w:rPr>
        <w:t xml:space="preserve">שלושת התיקים הללו עיצבו את ההלכה לפיה "כשירות לחוד וסבירות לחוד". </w:t>
      </w:r>
      <w:r w:rsidR="00706D14">
        <w:rPr>
          <w:rFonts w:hint="cs"/>
          <w:sz w:val="28"/>
          <w:rtl/>
        </w:rPr>
        <w:t>במאמר שכתב השופט חיים כהן על שלושת התיקים הוא קובע: "</w:t>
      </w:r>
      <w:r w:rsidR="00706D14">
        <w:rPr>
          <w:rtl/>
        </w:rPr>
        <w:t>כל אחד משלושת משרתי</w:t>
      </w:r>
      <w:r w:rsidR="00706D14">
        <w:rPr>
          <w:rFonts w:hint="cs"/>
          <w:rtl/>
        </w:rPr>
        <w:t xml:space="preserve"> </w:t>
      </w:r>
      <w:r w:rsidR="00706D14">
        <w:rPr>
          <w:rtl/>
        </w:rPr>
        <w:t>הציבור... היה, אליבא דכולי עלמא, כשיר לתפקידו מבחינת השכלתו, ניסיונו, מעמדו וכוח ביצועו. השאלה שעמדה לפני בית</w:t>
      </w:r>
      <w:r w:rsidR="00706D14">
        <w:rPr>
          <w:rFonts w:hint="cs"/>
          <w:rtl/>
        </w:rPr>
        <w:t xml:space="preserve"> </w:t>
      </w:r>
      <w:r w:rsidR="00706D14">
        <w:rPr>
          <w:rtl/>
        </w:rPr>
        <w:t>המשפט, לגבי כל אחד מהם</w:t>
      </w:r>
      <w:r w:rsidR="00706D14">
        <w:t xml:space="preserve">, </w:t>
      </w:r>
      <w:r>
        <w:rPr>
          <w:rFonts w:hint="cs"/>
          <w:rtl/>
        </w:rPr>
        <w:t xml:space="preserve"> </w:t>
      </w:r>
      <w:r w:rsidR="00706D14">
        <w:rPr>
          <w:rtl/>
        </w:rPr>
        <w:t>הי</w:t>
      </w:r>
      <w:r>
        <w:rPr>
          <w:rFonts w:hint="cs"/>
          <w:rtl/>
        </w:rPr>
        <w:t>י</w:t>
      </w:r>
      <w:r w:rsidR="00706D14">
        <w:rPr>
          <w:rtl/>
        </w:rPr>
        <w:t>תה אם די בכשירות זו לכהונה בתפקיד שלטוני בכיר, או שמא נדחית כשירות (פורמלית) זו מפני נתונים ושיקולים הפוסלים</w:t>
      </w:r>
      <w:r w:rsidR="00706D14">
        <w:rPr>
          <w:rFonts w:hint="cs"/>
          <w:rtl/>
        </w:rPr>
        <w:t xml:space="preserve"> </w:t>
      </w:r>
      <w:r w:rsidR="00706D14">
        <w:rPr>
          <w:rtl/>
        </w:rPr>
        <w:t>אדם לכהונה כזו</w:t>
      </w:r>
      <w:r w:rsidR="00706D14">
        <w:rPr>
          <w:rFonts w:hint="cs"/>
          <w:rtl/>
        </w:rPr>
        <w:t>"</w:t>
      </w:r>
      <w:r w:rsidR="00706D14">
        <w:rPr>
          <w:rFonts w:hint="cs"/>
          <w:sz w:val="28"/>
          <w:rtl/>
        </w:rPr>
        <w:t xml:space="preserve"> (כהן, 1994, 264). </w:t>
      </w:r>
    </w:p>
    <w:p w:rsidR="00833352" w:rsidRDefault="00833352" w:rsidP="00833352">
      <w:pPr>
        <w:rPr>
          <w:sz w:val="28"/>
          <w:rtl/>
        </w:rPr>
      </w:pPr>
      <w:r>
        <w:rPr>
          <w:rFonts w:hint="cs"/>
          <w:sz w:val="28"/>
          <w:rtl/>
        </w:rPr>
        <w:t xml:space="preserve">על רקע זה </w:t>
      </w:r>
      <w:r w:rsidR="00535029">
        <w:rPr>
          <w:rFonts w:hint="cs"/>
          <w:sz w:val="28"/>
          <w:rtl/>
        </w:rPr>
        <w:t xml:space="preserve">תיבחנה שתי "פרשיות </w:t>
      </w:r>
      <w:proofErr w:type="spellStart"/>
      <w:r w:rsidR="00535029">
        <w:rPr>
          <w:rFonts w:hint="cs"/>
          <w:sz w:val="28"/>
          <w:rtl/>
        </w:rPr>
        <w:t>גלנט</w:t>
      </w:r>
      <w:proofErr w:type="spellEnd"/>
      <w:r w:rsidR="00535029">
        <w:rPr>
          <w:rFonts w:hint="cs"/>
          <w:sz w:val="28"/>
          <w:rtl/>
        </w:rPr>
        <w:t>", על הדומה והשונה ביניהן, בעבודה זו.</w:t>
      </w:r>
    </w:p>
    <w:p w:rsidR="00833352" w:rsidRPr="00833352" w:rsidRDefault="00833352" w:rsidP="00C51CA1">
      <w:pPr>
        <w:rPr>
          <w:b/>
          <w:bCs/>
          <w:sz w:val="28"/>
          <w:rtl/>
        </w:rPr>
      </w:pPr>
      <w:r w:rsidRPr="00833352">
        <w:rPr>
          <w:rFonts w:hint="cs"/>
          <w:b/>
          <w:bCs/>
          <w:sz w:val="28"/>
          <w:rtl/>
        </w:rPr>
        <w:t>המקרה הראשון</w:t>
      </w:r>
      <w:r w:rsidR="00E35D42">
        <w:rPr>
          <w:rFonts w:hint="cs"/>
          <w:b/>
          <w:bCs/>
          <w:sz w:val="28"/>
          <w:rtl/>
        </w:rPr>
        <w:t>:</w:t>
      </w:r>
      <w:r w:rsidRPr="00833352">
        <w:rPr>
          <w:rFonts w:hint="cs"/>
          <w:b/>
          <w:bCs/>
          <w:sz w:val="28"/>
          <w:rtl/>
        </w:rPr>
        <w:t xml:space="preserve"> ביטול מינויו של האלוף </w:t>
      </w:r>
      <w:proofErr w:type="spellStart"/>
      <w:r w:rsidRPr="00833352">
        <w:rPr>
          <w:rFonts w:hint="cs"/>
          <w:b/>
          <w:bCs/>
          <w:sz w:val="28"/>
          <w:rtl/>
        </w:rPr>
        <w:t>גלנט</w:t>
      </w:r>
      <w:proofErr w:type="spellEnd"/>
      <w:r w:rsidRPr="00833352">
        <w:rPr>
          <w:rFonts w:hint="cs"/>
          <w:b/>
          <w:bCs/>
          <w:sz w:val="28"/>
          <w:rtl/>
        </w:rPr>
        <w:t xml:space="preserve"> לתפקיד </w:t>
      </w:r>
      <w:r w:rsidR="00C51CA1">
        <w:rPr>
          <w:rFonts w:hint="cs"/>
          <w:b/>
          <w:bCs/>
          <w:sz w:val="28"/>
          <w:rtl/>
        </w:rPr>
        <w:t>ראש המטה הכללי</w:t>
      </w:r>
    </w:p>
    <w:p w:rsidR="00833352" w:rsidRDefault="00833352" w:rsidP="006E4702">
      <w:pPr>
        <w:rPr>
          <w:sz w:val="28"/>
          <w:rtl/>
        </w:rPr>
      </w:pPr>
      <w:r>
        <w:rPr>
          <w:rFonts w:hint="cs"/>
          <w:sz w:val="28"/>
          <w:rtl/>
        </w:rPr>
        <w:t xml:space="preserve">בחמישה בספטמבר 2010 אישרה ממשלת ישראל את המלצת שר הביטחון ברק למנות את האלוף יואב </w:t>
      </w:r>
      <w:proofErr w:type="spellStart"/>
      <w:r>
        <w:rPr>
          <w:rFonts w:hint="cs"/>
          <w:sz w:val="28"/>
          <w:rtl/>
        </w:rPr>
        <w:t>גלנט</w:t>
      </w:r>
      <w:proofErr w:type="spellEnd"/>
      <w:r>
        <w:rPr>
          <w:rFonts w:hint="cs"/>
          <w:sz w:val="28"/>
          <w:rtl/>
        </w:rPr>
        <w:t xml:space="preserve"> לתפקיד ראש המטה הכללי. סביב המינוי ריחפו האשמות שעלו בתחקיר עיתונאי אודות עבירות תכנון ובניה שיוחסו לאלוף</w:t>
      </w:r>
      <w:r w:rsidR="006E4702">
        <w:rPr>
          <w:rStyle w:val="a6"/>
          <w:sz w:val="28"/>
          <w:rtl/>
        </w:rPr>
        <w:footnoteReference w:id="2"/>
      </w:r>
      <w:r w:rsidR="003F5AE6">
        <w:rPr>
          <w:rFonts w:hint="cs"/>
          <w:sz w:val="28"/>
          <w:rtl/>
        </w:rPr>
        <w:t xml:space="preserve"> </w:t>
      </w:r>
      <w:r w:rsidRPr="00833352">
        <w:rPr>
          <w:rFonts w:hint="cs"/>
          <w:sz w:val="28"/>
          <w:rtl/>
        </w:rPr>
        <w:t>אך</w:t>
      </w:r>
      <w:r w:rsidRPr="00833352">
        <w:rPr>
          <w:sz w:val="28"/>
          <w:rtl/>
        </w:rPr>
        <w:t xml:space="preserve"> </w:t>
      </w:r>
      <w:r w:rsidRPr="00833352">
        <w:rPr>
          <w:rFonts w:hint="cs"/>
          <w:sz w:val="28"/>
          <w:rtl/>
        </w:rPr>
        <w:t>הוועדה</w:t>
      </w:r>
      <w:r w:rsidRPr="00833352">
        <w:rPr>
          <w:sz w:val="28"/>
          <w:rtl/>
        </w:rPr>
        <w:t xml:space="preserve"> </w:t>
      </w:r>
      <w:r w:rsidRPr="00833352">
        <w:rPr>
          <w:rFonts w:hint="cs"/>
          <w:sz w:val="28"/>
          <w:rtl/>
        </w:rPr>
        <w:t>המייעצת</w:t>
      </w:r>
      <w:r w:rsidRPr="00833352">
        <w:rPr>
          <w:sz w:val="28"/>
          <w:rtl/>
        </w:rPr>
        <w:t xml:space="preserve"> </w:t>
      </w:r>
      <w:r w:rsidRPr="00833352">
        <w:rPr>
          <w:rFonts w:hint="cs"/>
          <w:sz w:val="28"/>
          <w:rtl/>
        </w:rPr>
        <w:t>למינוי</w:t>
      </w:r>
      <w:r w:rsidRPr="00833352">
        <w:rPr>
          <w:sz w:val="28"/>
          <w:rtl/>
        </w:rPr>
        <w:t xml:space="preserve"> </w:t>
      </w:r>
      <w:r w:rsidRPr="00833352">
        <w:rPr>
          <w:rFonts w:hint="cs"/>
          <w:sz w:val="28"/>
          <w:rtl/>
        </w:rPr>
        <w:t>בכירים</w:t>
      </w:r>
      <w:r w:rsidRPr="00833352">
        <w:rPr>
          <w:sz w:val="28"/>
          <w:rtl/>
        </w:rPr>
        <w:t xml:space="preserve"> </w:t>
      </w:r>
      <w:r w:rsidRPr="00833352">
        <w:rPr>
          <w:rFonts w:hint="cs"/>
          <w:sz w:val="28"/>
          <w:rtl/>
        </w:rPr>
        <w:t>בשירות</w:t>
      </w:r>
      <w:r w:rsidRPr="00833352">
        <w:rPr>
          <w:sz w:val="28"/>
          <w:rtl/>
        </w:rPr>
        <w:t xml:space="preserve"> </w:t>
      </w:r>
      <w:r w:rsidRPr="00833352">
        <w:rPr>
          <w:rFonts w:hint="cs"/>
          <w:sz w:val="28"/>
          <w:rtl/>
        </w:rPr>
        <w:t>המדינה</w:t>
      </w:r>
      <w:r w:rsidRPr="00833352">
        <w:rPr>
          <w:sz w:val="28"/>
          <w:rtl/>
        </w:rPr>
        <w:t xml:space="preserve"> (</w:t>
      </w:r>
      <w:r w:rsidRPr="00833352">
        <w:rPr>
          <w:rFonts w:hint="cs"/>
          <w:sz w:val="28"/>
          <w:rtl/>
        </w:rPr>
        <w:t>ועדת</w:t>
      </w:r>
      <w:r w:rsidRPr="00833352">
        <w:rPr>
          <w:sz w:val="28"/>
          <w:rtl/>
        </w:rPr>
        <w:t xml:space="preserve"> </w:t>
      </w:r>
      <w:proofErr w:type="spellStart"/>
      <w:r w:rsidRPr="00833352">
        <w:rPr>
          <w:rFonts w:hint="cs"/>
          <w:sz w:val="28"/>
          <w:rtl/>
        </w:rPr>
        <w:t>טירקל</w:t>
      </w:r>
      <w:proofErr w:type="spellEnd"/>
      <w:r w:rsidRPr="00833352">
        <w:rPr>
          <w:sz w:val="28"/>
          <w:rtl/>
        </w:rPr>
        <w:t xml:space="preserve">) </w:t>
      </w:r>
      <w:r w:rsidRPr="00833352">
        <w:rPr>
          <w:rFonts w:hint="cs"/>
          <w:sz w:val="28"/>
          <w:rtl/>
        </w:rPr>
        <w:t>לא</w:t>
      </w:r>
      <w:r w:rsidRPr="00833352">
        <w:rPr>
          <w:sz w:val="28"/>
          <w:rtl/>
        </w:rPr>
        <w:t xml:space="preserve"> </w:t>
      </w:r>
      <w:r w:rsidRPr="00833352">
        <w:rPr>
          <w:rFonts w:hint="cs"/>
          <w:sz w:val="28"/>
          <w:rtl/>
        </w:rPr>
        <w:t>מצאה</w:t>
      </w:r>
      <w:r w:rsidRPr="00833352">
        <w:rPr>
          <w:sz w:val="28"/>
          <w:rtl/>
        </w:rPr>
        <w:t xml:space="preserve"> </w:t>
      </w:r>
      <w:r w:rsidRPr="00833352">
        <w:rPr>
          <w:rFonts w:hint="cs"/>
          <w:sz w:val="28"/>
          <w:rtl/>
        </w:rPr>
        <w:t>בחשדות</w:t>
      </w:r>
      <w:r w:rsidRPr="00833352">
        <w:rPr>
          <w:sz w:val="28"/>
          <w:rtl/>
        </w:rPr>
        <w:t xml:space="preserve"> </w:t>
      </w:r>
      <w:r w:rsidRPr="00833352">
        <w:rPr>
          <w:rFonts w:hint="cs"/>
          <w:sz w:val="28"/>
          <w:rtl/>
        </w:rPr>
        <w:t>אלו</w:t>
      </w:r>
      <w:r w:rsidRPr="00833352">
        <w:rPr>
          <w:sz w:val="28"/>
          <w:rtl/>
        </w:rPr>
        <w:t xml:space="preserve"> </w:t>
      </w:r>
      <w:r w:rsidRPr="00833352">
        <w:rPr>
          <w:rFonts w:hint="cs"/>
          <w:sz w:val="28"/>
          <w:rtl/>
        </w:rPr>
        <w:t>די</w:t>
      </w:r>
      <w:r w:rsidRPr="00833352">
        <w:rPr>
          <w:sz w:val="28"/>
          <w:rtl/>
        </w:rPr>
        <w:t xml:space="preserve"> </w:t>
      </w:r>
      <w:r w:rsidRPr="00833352">
        <w:rPr>
          <w:rFonts w:hint="cs"/>
          <w:sz w:val="28"/>
          <w:rtl/>
        </w:rPr>
        <w:t>כדי</w:t>
      </w:r>
      <w:r w:rsidRPr="00833352">
        <w:rPr>
          <w:sz w:val="28"/>
          <w:rtl/>
        </w:rPr>
        <w:t xml:space="preserve"> </w:t>
      </w:r>
      <w:r w:rsidRPr="00833352">
        <w:rPr>
          <w:rFonts w:hint="cs"/>
          <w:sz w:val="28"/>
          <w:rtl/>
        </w:rPr>
        <w:t>לפסול</w:t>
      </w:r>
      <w:r w:rsidRPr="00833352">
        <w:rPr>
          <w:sz w:val="28"/>
          <w:rtl/>
        </w:rPr>
        <w:t xml:space="preserve"> </w:t>
      </w:r>
      <w:r w:rsidRPr="00833352">
        <w:rPr>
          <w:rFonts w:hint="cs"/>
          <w:sz w:val="28"/>
          <w:rtl/>
        </w:rPr>
        <w:t>את</w:t>
      </w:r>
      <w:r w:rsidRPr="00833352">
        <w:rPr>
          <w:sz w:val="28"/>
          <w:rtl/>
        </w:rPr>
        <w:t xml:space="preserve"> </w:t>
      </w:r>
      <w:r w:rsidRPr="00833352">
        <w:rPr>
          <w:rFonts w:hint="cs"/>
          <w:sz w:val="28"/>
          <w:rtl/>
        </w:rPr>
        <w:t>מינויו</w:t>
      </w:r>
      <w:r w:rsidRPr="00833352">
        <w:rPr>
          <w:sz w:val="28"/>
          <w:rtl/>
        </w:rPr>
        <w:t xml:space="preserve"> </w:t>
      </w:r>
      <w:r w:rsidRPr="00833352">
        <w:rPr>
          <w:rFonts w:hint="cs"/>
          <w:sz w:val="28"/>
          <w:rtl/>
        </w:rPr>
        <w:t>של</w:t>
      </w:r>
      <w:r w:rsidRPr="00833352">
        <w:rPr>
          <w:sz w:val="28"/>
          <w:rtl/>
        </w:rPr>
        <w:t xml:space="preserve"> </w:t>
      </w:r>
      <w:proofErr w:type="spellStart"/>
      <w:r w:rsidRPr="00833352">
        <w:rPr>
          <w:rFonts w:hint="cs"/>
          <w:sz w:val="28"/>
          <w:rtl/>
        </w:rPr>
        <w:t>גלנט</w:t>
      </w:r>
      <w:proofErr w:type="spellEnd"/>
      <w:r w:rsidRPr="00833352">
        <w:rPr>
          <w:sz w:val="28"/>
          <w:rtl/>
        </w:rPr>
        <w:t xml:space="preserve"> </w:t>
      </w:r>
      <w:r w:rsidRPr="00833352">
        <w:rPr>
          <w:rFonts w:hint="cs"/>
          <w:sz w:val="28"/>
          <w:rtl/>
        </w:rPr>
        <w:t>לרמטכ</w:t>
      </w:r>
      <w:r w:rsidRPr="00833352">
        <w:rPr>
          <w:sz w:val="28"/>
          <w:rtl/>
        </w:rPr>
        <w:t>"</w:t>
      </w:r>
      <w:r w:rsidRPr="00833352">
        <w:rPr>
          <w:rFonts w:hint="cs"/>
          <w:sz w:val="28"/>
          <w:rtl/>
        </w:rPr>
        <w:t>ל</w:t>
      </w:r>
      <w:r w:rsidR="006E4702">
        <w:rPr>
          <w:rFonts w:hint="cs"/>
          <w:sz w:val="28"/>
          <w:rtl/>
        </w:rPr>
        <w:t>.</w:t>
      </w:r>
    </w:p>
    <w:p w:rsidR="00833352" w:rsidRDefault="00833352" w:rsidP="005C2030">
      <w:pPr>
        <w:rPr>
          <w:sz w:val="28"/>
          <w:rtl/>
        </w:rPr>
      </w:pPr>
      <w:r>
        <w:rPr>
          <w:rFonts w:hint="cs"/>
          <w:sz w:val="28"/>
          <w:rtl/>
        </w:rPr>
        <w:t>בעקבות אישור המינוי הגישה התנועה הירוקה עתירה לבית המשפט העליון בבקשה לבטל את המינוי</w:t>
      </w:r>
      <w:r w:rsidR="00353DB1">
        <w:rPr>
          <w:rFonts w:hint="cs"/>
          <w:sz w:val="28"/>
          <w:rtl/>
        </w:rPr>
        <w:t>,</w:t>
      </w:r>
      <w:r>
        <w:rPr>
          <w:rFonts w:hint="cs"/>
          <w:sz w:val="28"/>
          <w:rtl/>
        </w:rPr>
        <w:t xml:space="preserve"> כאשר ברקע</w:t>
      </w:r>
      <w:r w:rsidR="00353DB1">
        <w:rPr>
          <w:rFonts w:hint="cs"/>
          <w:sz w:val="28"/>
          <w:rtl/>
        </w:rPr>
        <w:t xml:space="preserve"> </w:t>
      </w:r>
      <w:r w:rsidR="005C2030">
        <w:rPr>
          <w:rFonts w:hint="cs"/>
          <w:sz w:val="28"/>
          <w:rtl/>
        </w:rPr>
        <w:t>חוות דעת שגיבש</w:t>
      </w:r>
      <w:r>
        <w:rPr>
          <w:rFonts w:hint="cs"/>
          <w:sz w:val="28"/>
          <w:rtl/>
        </w:rPr>
        <w:t xml:space="preserve"> מבקר המדינה חש</w:t>
      </w:r>
      <w:r w:rsidR="005C2030">
        <w:rPr>
          <w:rFonts w:hint="cs"/>
          <w:sz w:val="28"/>
          <w:rtl/>
        </w:rPr>
        <w:t xml:space="preserve">פה </w:t>
      </w:r>
      <w:r>
        <w:rPr>
          <w:rFonts w:hint="cs"/>
          <w:sz w:val="28"/>
          <w:rtl/>
        </w:rPr>
        <w:t xml:space="preserve">פרטים נוספים אודות החשדות כלפי </w:t>
      </w:r>
      <w:proofErr w:type="spellStart"/>
      <w:r>
        <w:rPr>
          <w:rFonts w:hint="cs"/>
          <w:sz w:val="28"/>
          <w:rtl/>
        </w:rPr>
        <w:t>גלנט</w:t>
      </w:r>
      <w:proofErr w:type="spellEnd"/>
      <w:r w:rsidR="00353DB1">
        <w:rPr>
          <w:rFonts w:hint="cs"/>
          <w:sz w:val="28"/>
          <w:rtl/>
        </w:rPr>
        <w:t xml:space="preserve"> (</w:t>
      </w:r>
      <w:r w:rsidR="00EB4527">
        <w:rPr>
          <w:rFonts w:hint="cs"/>
          <w:sz w:val="28"/>
          <w:rtl/>
        </w:rPr>
        <w:t>רז</w:t>
      </w:r>
      <w:r w:rsidR="006E4702">
        <w:rPr>
          <w:rFonts w:hint="cs"/>
          <w:sz w:val="28"/>
          <w:rtl/>
        </w:rPr>
        <w:t>, 2011</w:t>
      </w:r>
      <w:r w:rsidR="00353DB1">
        <w:rPr>
          <w:rFonts w:hint="cs"/>
          <w:sz w:val="28"/>
          <w:rtl/>
        </w:rPr>
        <w:t>)</w:t>
      </w:r>
      <w:r>
        <w:rPr>
          <w:rFonts w:hint="cs"/>
          <w:sz w:val="28"/>
          <w:rtl/>
        </w:rPr>
        <w:t xml:space="preserve">. </w:t>
      </w:r>
      <w:r w:rsidR="00A82528">
        <w:rPr>
          <w:rFonts w:hint="cs"/>
          <w:sz w:val="28"/>
          <w:rtl/>
        </w:rPr>
        <w:t xml:space="preserve">מהנתונים עלה </w:t>
      </w:r>
      <w:r w:rsidR="00A93AE3">
        <w:rPr>
          <w:rFonts w:hint="cs"/>
          <w:sz w:val="28"/>
          <w:rtl/>
        </w:rPr>
        <w:t>ה</w:t>
      </w:r>
      <w:r w:rsidR="00C51CA1">
        <w:rPr>
          <w:rFonts w:hint="cs"/>
          <w:sz w:val="28"/>
          <w:rtl/>
        </w:rPr>
        <w:t xml:space="preserve">חשד </w:t>
      </w:r>
      <w:r w:rsidR="00A82528">
        <w:rPr>
          <w:rFonts w:hint="cs"/>
          <w:sz w:val="28"/>
          <w:rtl/>
        </w:rPr>
        <w:t xml:space="preserve">כי האלוף </w:t>
      </w:r>
      <w:proofErr w:type="spellStart"/>
      <w:r w:rsidR="00A82528">
        <w:rPr>
          <w:rFonts w:hint="cs"/>
          <w:sz w:val="28"/>
          <w:rtl/>
        </w:rPr>
        <w:t>גלנט</w:t>
      </w:r>
      <w:proofErr w:type="spellEnd"/>
      <w:r w:rsidR="00A82528">
        <w:rPr>
          <w:rFonts w:hint="cs"/>
          <w:sz w:val="28"/>
          <w:rtl/>
        </w:rPr>
        <w:t xml:space="preserve"> השתלט שלא כחוק על שטחים ציבוריים בסמוך לנחלתו לשם בניית חניה וכביש גישה לביתו</w:t>
      </w:r>
      <w:r w:rsidR="00A93AE3">
        <w:rPr>
          <w:rFonts w:hint="cs"/>
          <w:sz w:val="28"/>
          <w:rtl/>
        </w:rPr>
        <w:t xml:space="preserve">. </w:t>
      </w:r>
      <w:r w:rsidR="00A82528">
        <w:rPr>
          <w:rFonts w:hint="cs"/>
          <w:sz w:val="28"/>
          <w:rtl/>
        </w:rPr>
        <w:t>בנוסף</w:t>
      </w:r>
      <w:r w:rsidR="00A93AE3">
        <w:rPr>
          <w:rFonts w:hint="cs"/>
          <w:sz w:val="28"/>
          <w:rtl/>
        </w:rPr>
        <w:t>,</w:t>
      </w:r>
      <w:r w:rsidR="00A82528">
        <w:rPr>
          <w:rFonts w:hint="cs"/>
          <w:sz w:val="28"/>
          <w:rtl/>
        </w:rPr>
        <w:t xml:space="preserve"> </w:t>
      </w:r>
      <w:r w:rsidR="00C51CA1">
        <w:rPr>
          <w:rFonts w:hint="cs"/>
          <w:sz w:val="28"/>
          <w:rtl/>
        </w:rPr>
        <w:t xml:space="preserve">נטען כי </w:t>
      </w:r>
      <w:r w:rsidR="00A82528">
        <w:rPr>
          <w:rFonts w:hint="cs"/>
          <w:sz w:val="28"/>
          <w:rtl/>
        </w:rPr>
        <w:t xml:space="preserve">האלוף </w:t>
      </w:r>
      <w:proofErr w:type="spellStart"/>
      <w:r w:rsidR="00A82528">
        <w:rPr>
          <w:rFonts w:hint="cs"/>
          <w:sz w:val="28"/>
          <w:rtl/>
        </w:rPr>
        <w:t>גלנט</w:t>
      </w:r>
      <w:proofErr w:type="spellEnd"/>
      <w:r w:rsidR="00A82528">
        <w:rPr>
          <w:rFonts w:hint="cs"/>
          <w:sz w:val="28"/>
          <w:rtl/>
        </w:rPr>
        <w:t xml:space="preserve"> נטע עצים בשטח נרחב (כ-28 דונמים) שבהם לא היו ל</w:t>
      </w:r>
      <w:r w:rsidR="00C51CA1">
        <w:rPr>
          <w:rFonts w:hint="cs"/>
          <w:sz w:val="28"/>
          <w:rtl/>
        </w:rPr>
        <w:t>ו</w:t>
      </w:r>
      <w:r w:rsidR="00A82528">
        <w:rPr>
          <w:rFonts w:hint="cs"/>
          <w:sz w:val="28"/>
          <w:rtl/>
        </w:rPr>
        <w:t xml:space="preserve"> זכויות קנייניות או חוזיות. עוד </w:t>
      </w:r>
      <w:r w:rsidR="00C51CA1">
        <w:rPr>
          <w:rFonts w:hint="cs"/>
          <w:sz w:val="28"/>
          <w:rtl/>
        </w:rPr>
        <w:t>נחשד</w:t>
      </w:r>
      <w:r w:rsidR="00A82528">
        <w:rPr>
          <w:rFonts w:hint="cs"/>
          <w:sz w:val="28"/>
          <w:rtl/>
        </w:rPr>
        <w:t xml:space="preserve">, כי למרות פניות ודרישות מהרשויות </w:t>
      </w:r>
      <w:r w:rsidR="00A93AE3">
        <w:rPr>
          <w:rFonts w:hint="cs"/>
          <w:sz w:val="28"/>
          <w:rtl/>
        </w:rPr>
        <w:t xml:space="preserve">נמנע </w:t>
      </w:r>
      <w:r w:rsidR="00A82528">
        <w:rPr>
          <w:rFonts w:hint="cs"/>
          <w:sz w:val="28"/>
          <w:rtl/>
        </w:rPr>
        <w:t>האלוף מהפסקת השימושים הבלתי חוקיים במשך תקופה ארוכה</w:t>
      </w:r>
      <w:r w:rsidR="00A93AE3">
        <w:rPr>
          <w:rFonts w:hint="cs"/>
          <w:sz w:val="28"/>
          <w:rtl/>
        </w:rPr>
        <w:t>,</w:t>
      </w:r>
      <w:r w:rsidR="00A82528">
        <w:rPr>
          <w:rFonts w:hint="cs"/>
          <w:sz w:val="28"/>
          <w:rtl/>
        </w:rPr>
        <w:t xml:space="preserve"> וכן במספר מקרים הציג מצגים אשר לא תאמו את העובדות </w:t>
      </w:r>
      <w:proofErr w:type="spellStart"/>
      <w:r w:rsidR="00A82528">
        <w:rPr>
          <w:rFonts w:hint="cs"/>
          <w:sz w:val="28"/>
          <w:rtl/>
        </w:rPr>
        <w:t>לאשורן</w:t>
      </w:r>
      <w:proofErr w:type="spellEnd"/>
      <w:r w:rsidR="00A82528">
        <w:rPr>
          <w:rFonts w:hint="cs"/>
          <w:sz w:val="28"/>
          <w:rtl/>
        </w:rPr>
        <w:t xml:space="preserve"> (בג"צ 6770/10).</w:t>
      </w:r>
    </w:p>
    <w:p w:rsidR="005B0FAD" w:rsidRDefault="00A82528" w:rsidP="006E4702">
      <w:pPr>
        <w:rPr>
          <w:sz w:val="28"/>
          <w:rtl/>
        </w:rPr>
      </w:pPr>
      <w:r>
        <w:rPr>
          <w:rFonts w:hint="cs"/>
          <w:sz w:val="28"/>
          <w:rtl/>
        </w:rPr>
        <w:t xml:space="preserve">סוגיית מינוי </w:t>
      </w:r>
      <w:r w:rsidR="00C51CA1">
        <w:rPr>
          <w:rFonts w:hint="cs"/>
          <w:sz w:val="28"/>
          <w:rtl/>
        </w:rPr>
        <w:t>ראש המטה הכללי</w:t>
      </w:r>
      <w:r>
        <w:rPr>
          <w:rFonts w:hint="cs"/>
          <w:sz w:val="28"/>
          <w:rtl/>
        </w:rPr>
        <w:t xml:space="preserve"> במדינת ישראל מוסדרת בחוק יסוד הצבא מ-1976. על פי החוק "</w:t>
      </w:r>
      <w:r w:rsidRPr="00A82528">
        <w:rPr>
          <w:rFonts w:hint="cs"/>
          <w:sz w:val="28"/>
          <w:rtl/>
        </w:rPr>
        <w:t>ראש</w:t>
      </w:r>
      <w:r w:rsidRPr="00A82528">
        <w:rPr>
          <w:sz w:val="28"/>
          <w:rtl/>
        </w:rPr>
        <w:t xml:space="preserve"> </w:t>
      </w:r>
      <w:r w:rsidRPr="00A82528">
        <w:rPr>
          <w:rFonts w:hint="cs"/>
          <w:sz w:val="28"/>
          <w:rtl/>
        </w:rPr>
        <w:t>המטה</w:t>
      </w:r>
      <w:r w:rsidRPr="00A82528">
        <w:rPr>
          <w:sz w:val="28"/>
          <w:rtl/>
        </w:rPr>
        <w:t xml:space="preserve"> </w:t>
      </w:r>
      <w:r w:rsidRPr="00A82528">
        <w:rPr>
          <w:rFonts w:hint="cs"/>
          <w:sz w:val="28"/>
          <w:rtl/>
        </w:rPr>
        <w:t>הכללי</w:t>
      </w:r>
      <w:r w:rsidRPr="00A82528">
        <w:rPr>
          <w:sz w:val="28"/>
          <w:rtl/>
        </w:rPr>
        <w:t xml:space="preserve"> </w:t>
      </w:r>
      <w:r w:rsidRPr="00A82528">
        <w:rPr>
          <w:rFonts w:hint="cs"/>
          <w:sz w:val="28"/>
          <w:rtl/>
        </w:rPr>
        <w:t>יתמנה</w:t>
      </w:r>
      <w:r w:rsidRPr="00A82528">
        <w:rPr>
          <w:sz w:val="28"/>
          <w:rtl/>
        </w:rPr>
        <w:t xml:space="preserve"> </w:t>
      </w:r>
      <w:r w:rsidRPr="00A82528">
        <w:rPr>
          <w:rFonts w:hint="cs"/>
          <w:sz w:val="28"/>
          <w:rtl/>
        </w:rPr>
        <w:t>בידי</w:t>
      </w:r>
      <w:r w:rsidRPr="00A82528">
        <w:rPr>
          <w:sz w:val="28"/>
          <w:rtl/>
        </w:rPr>
        <w:t xml:space="preserve"> </w:t>
      </w:r>
      <w:r w:rsidRPr="00A82528">
        <w:rPr>
          <w:rFonts w:hint="cs"/>
          <w:sz w:val="28"/>
          <w:rtl/>
        </w:rPr>
        <w:t>הממשלה</w:t>
      </w:r>
      <w:r w:rsidRPr="00A82528">
        <w:rPr>
          <w:sz w:val="28"/>
          <w:rtl/>
        </w:rPr>
        <w:t xml:space="preserve"> </w:t>
      </w:r>
      <w:r w:rsidRPr="00A82528">
        <w:rPr>
          <w:rFonts w:hint="cs"/>
          <w:sz w:val="28"/>
          <w:rtl/>
        </w:rPr>
        <w:t>לפי</w:t>
      </w:r>
      <w:r w:rsidRPr="00A82528">
        <w:rPr>
          <w:sz w:val="28"/>
          <w:rtl/>
        </w:rPr>
        <w:t xml:space="preserve"> </w:t>
      </w:r>
      <w:r w:rsidRPr="00A82528">
        <w:rPr>
          <w:rFonts w:hint="cs"/>
          <w:sz w:val="28"/>
          <w:rtl/>
        </w:rPr>
        <w:t>המלצת</w:t>
      </w:r>
      <w:r w:rsidRPr="00A82528">
        <w:rPr>
          <w:sz w:val="28"/>
          <w:rtl/>
        </w:rPr>
        <w:t xml:space="preserve"> </w:t>
      </w:r>
      <w:r w:rsidRPr="00A82528">
        <w:rPr>
          <w:rFonts w:hint="cs"/>
          <w:sz w:val="28"/>
          <w:rtl/>
        </w:rPr>
        <w:t>שר</w:t>
      </w:r>
      <w:r w:rsidRPr="00A82528">
        <w:rPr>
          <w:sz w:val="28"/>
          <w:rtl/>
        </w:rPr>
        <w:t xml:space="preserve"> </w:t>
      </w:r>
      <w:r w:rsidRPr="00A82528">
        <w:rPr>
          <w:rFonts w:hint="cs"/>
          <w:sz w:val="28"/>
          <w:rtl/>
        </w:rPr>
        <w:t>הביטחון</w:t>
      </w:r>
      <w:r w:rsidR="00C51CA1">
        <w:rPr>
          <w:rFonts w:hint="cs"/>
          <w:sz w:val="28"/>
          <w:rtl/>
        </w:rPr>
        <w:t>"</w:t>
      </w:r>
      <w:r w:rsidR="00F26776">
        <w:rPr>
          <w:rFonts w:hint="cs"/>
          <w:sz w:val="28"/>
          <w:rtl/>
        </w:rPr>
        <w:t xml:space="preserve"> (</w:t>
      </w:r>
      <w:r w:rsidR="006E4702">
        <w:rPr>
          <w:rFonts w:hint="cs"/>
          <w:sz w:val="28"/>
          <w:rtl/>
        </w:rPr>
        <w:t>חוק יסוד: הצבא, 1976</w:t>
      </w:r>
      <w:r w:rsidR="00F26776">
        <w:rPr>
          <w:rFonts w:hint="cs"/>
          <w:sz w:val="28"/>
          <w:rtl/>
        </w:rPr>
        <w:t>)</w:t>
      </w:r>
      <w:r w:rsidR="00C51CA1">
        <w:rPr>
          <w:rFonts w:hint="cs"/>
          <w:sz w:val="28"/>
          <w:rtl/>
        </w:rPr>
        <w:t xml:space="preserve">. יתרה מכך, בשנת 2006 החליטה ממשלת ישראל להקים </w:t>
      </w:r>
      <w:r w:rsidR="00C51CA1">
        <w:rPr>
          <w:rFonts w:hint="cs"/>
          <w:sz w:val="28"/>
          <w:rtl/>
        </w:rPr>
        <w:lastRenderedPageBreak/>
        <w:t>ועדה מייעצת לעניין מינוי לתפקידים בכירים מסוימים ונקבע כי תפקיד ראש המטה הכללי י</w:t>
      </w:r>
      <w:r w:rsidR="00BE31A5">
        <w:rPr>
          <w:rFonts w:hint="cs"/>
          <w:sz w:val="28"/>
          <w:rtl/>
        </w:rPr>
        <w:t>י</w:t>
      </w:r>
      <w:r w:rsidR="00C51CA1">
        <w:rPr>
          <w:rFonts w:hint="cs"/>
          <w:sz w:val="28"/>
          <w:rtl/>
        </w:rPr>
        <w:t xml:space="preserve">כלל בגדר התפקידים לגביהם נדרשת חוות הדעת של הועדה. כאמור לעיל, מועמדותו של האלוף </w:t>
      </w:r>
      <w:proofErr w:type="spellStart"/>
      <w:r w:rsidR="00C51CA1">
        <w:rPr>
          <w:rFonts w:hint="cs"/>
          <w:sz w:val="28"/>
          <w:rtl/>
        </w:rPr>
        <w:t>גלנט</w:t>
      </w:r>
      <w:proofErr w:type="spellEnd"/>
      <w:r w:rsidR="00C51CA1">
        <w:rPr>
          <w:rFonts w:hint="cs"/>
          <w:sz w:val="28"/>
          <w:rtl/>
        </w:rPr>
        <w:t xml:space="preserve"> עמדה לשיפוט הועדה והמינוי אושר. </w:t>
      </w:r>
    </w:p>
    <w:p w:rsidR="00C51CA1" w:rsidRDefault="00C51CA1" w:rsidP="003F5AE6">
      <w:pPr>
        <w:rPr>
          <w:sz w:val="28"/>
          <w:rtl/>
        </w:rPr>
      </w:pPr>
      <w:r>
        <w:rPr>
          <w:rFonts w:hint="cs"/>
          <w:sz w:val="28"/>
          <w:rtl/>
        </w:rPr>
        <w:t xml:space="preserve">ברור אם כן, כי </w:t>
      </w:r>
      <w:r w:rsidRPr="00BE31A5">
        <w:rPr>
          <w:rFonts w:hint="cs"/>
          <w:b/>
          <w:bCs/>
          <w:sz w:val="28"/>
          <w:rtl/>
        </w:rPr>
        <w:t xml:space="preserve">הטיעונים נגד המינוי </w:t>
      </w:r>
      <w:r w:rsidR="003F5AE6">
        <w:rPr>
          <w:rFonts w:hint="cs"/>
          <w:b/>
          <w:bCs/>
          <w:sz w:val="28"/>
          <w:rtl/>
        </w:rPr>
        <w:t>אינם נשענים</w:t>
      </w:r>
      <w:r w:rsidRPr="00BE31A5">
        <w:rPr>
          <w:rFonts w:hint="cs"/>
          <w:b/>
          <w:bCs/>
          <w:sz w:val="28"/>
          <w:rtl/>
        </w:rPr>
        <w:t xml:space="preserve"> על היעדר סמכות או חריגה מהחוק</w:t>
      </w:r>
      <w:r w:rsidR="00AF04F1">
        <w:rPr>
          <w:rFonts w:hint="cs"/>
          <w:b/>
          <w:bCs/>
          <w:sz w:val="28"/>
          <w:rtl/>
        </w:rPr>
        <w:t>,</w:t>
      </w:r>
      <w:r w:rsidRPr="00BE31A5">
        <w:rPr>
          <w:rFonts w:hint="cs"/>
          <w:b/>
          <w:bCs/>
          <w:sz w:val="28"/>
          <w:rtl/>
        </w:rPr>
        <w:t xml:space="preserve"> אלא ערעור על סבירותה של ההחלטה למנותו</w:t>
      </w:r>
      <w:r w:rsidR="00AF04F1">
        <w:rPr>
          <w:rFonts w:hint="cs"/>
          <w:b/>
          <w:bCs/>
          <w:sz w:val="28"/>
          <w:rtl/>
        </w:rPr>
        <w:t>,</w:t>
      </w:r>
      <w:r w:rsidRPr="00BE31A5">
        <w:rPr>
          <w:rFonts w:hint="cs"/>
          <w:b/>
          <w:bCs/>
          <w:sz w:val="28"/>
          <w:rtl/>
        </w:rPr>
        <w:t xml:space="preserve"> או במילים אחרות על השאלה האם המינוי ראוי</w:t>
      </w:r>
      <w:r w:rsidR="003F5AE6">
        <w:rPr>
          <w:rFonts w:hint="cs"/>
          <w:sz w:val="28"/>
          <w:rtl/>
        </w:rPr>
        <w:t>?</w:t>
      </w:r>
      <w:r>
        <w:rPr>
          <w:rFonts w:hint="cs"/>
          <w:sz w:val="28"/>
          <w:rtl/>
        </w:rPr>
        <w:t xml:space="preserve"> </w:t>
      </w:r>
    </w:p>
    <w:p w:rsidR="00C51CA1" w:rsidRDefault="00C51CA1" w:rsidP="00C51CA1">
      <w:pPr>
        <w:rPr>
          <w:sz w:val="28"/>
          <w:rtl/>
        </w:rPr>
      </w:pPr>
      <w:r>
        <w:rPr>
          <w:rFonts w:hint="cs"/>
          <w:sz w:val="28"/>
          <w:rtl/>
        </w:rPr>
        <w:t>העותרים נגד המינוי נשענו על ההלכות שנקבעו בשלושת תיקי היסוד שהוזכרו לעיל (דרעי, פנחסי</w:t>
      </w:r>
      <w:r w:rsidR="00D70385">
        <w:rPr>
          <w:rFonts w:hint="cs"/>
          <w:sz w:val="28"/>
          <w:rtl/>
        </w:rPr>
        <w:t>,</w:t>
      </w:r>
      <w:r>
        <w:rPr>
          <w:rFonts w:hint="cs"/>
          <w:sz w:val="28"/>
          <w:rtl/>
        </w:rPr>
        <w:t xml:space="preserve"> וגינוסר) והעלו שתי טענות מהותיות:</w:t>
      </w:r>
    </w:p>
    <w:p w:rsidR="00C52D5B" w:rsidRDefault="00C51CA1" w:rsidP="003F5AE6">
      <w:pPr>
        <w:pStyle w:val="a3"/>
        <w:numPr>
          <w:ilvl w:val="0"/>
          <w:numId w:val="31"/>
        </w:numPr>
        <w:rPr>
          <w:sz w:val="28"/>
        </w:rPr>
      </w:pPr>
      <w:r w:rsidRPr="00BE31A5">
        <w:rPr>
          <w:rFonts w:hint="cs"/>
          <w:b/>
          <w:bCs/>
          <w:sz w:val="28"/>
          <w:rtl/>
        </w:rPr>
        <w:t xml:space="preserve">ההחלטה למנות את האלוף </w:t>
      </w:r>
      <w:proofErr w:type="spellStart"/>
      <w:r w:rsidRPr="00BE31A5">
        <w:rPr>
          <w:rFonts w:hint="cs"/>
          <w:b/>
          <w:bCs/>
          <w:sz w:val="28"/>
          <w:rtl/>
        </w:rPr>
        <w:t>גלנט</w:t>
      </w:r>
      <w:proofErr w:type="spellEnd"/>
      <w:r w:rsidRPr="00BE31A5">
        <w:rPr>
          <w:rFonts w:hint="cs"/>
          <w:b/>
          <w:bCs/>
          <w:sz w:val="28"/>
          <w:rtl/>
        </w:rPr>
        <w:t xml:space="preserve"> לוקה ב"</w:t>
      </w:r>
      <w:r w:rsidR="00BE31A5" w:rsidRPr="00BE31A5">
        <w:rPr>
          <w:rFonts w:hint="cs"/>
          <w:b/>
          <w:bCs/>
          <w:sz w:val="28"/>
          <w:rtl/>
        </w:rPr>
        <w:t>חוסר סבירו</w:t>
      </w:r>
      <w:r w:rsidRPr="00BE31A5">
        <w:rPr>
          <w:rFonts w:hint="cs"/>
          <w:b/>
          <w:bCs/>
          <w:sz w:val="28"/>
          <w:rtl/>
        </w:rPr>
        <w:t>ת קיצונית</w:t>
      </w:r>
      <w:r w:rsidR="004F6AF8">
        <w:rPr>
          <w:rFonts w:hint="cs"/>
          <w:b/>
          <w:bCs/>
          <w:sz w:val="28"/>
          <w:rtl/>
        </w:rPr>
        <w:t>.</w:t>
      </w:r>
      <w:r w:rsidR="004F6AF8" w:rsidRPr="00BE31A5">
        <w:rPr>
          <w:rFonts w:hint="cs"/>
          <w:b/>
          <w:bCs/>
          <w:sz w:val="28"/>
          <w:rtl/>
        </w:rPr>
        <w:t>"</w:t>
      </w:r>
      <w:r w:rsidR="004F6AF8">
        <w:rPr>
          <w:rFonts w:hint="cs"/>
          <w:b/>
          <w:bCs/>
          <w:sz w:val="28"/>
          <w:rtl/>
        </w:rPr>
        <w:t xml:space="preserve"> </w:t>
      </w:r>
      <w:r w:rsidR="00A40A31" w:rsidRPr="00C52D5B">
        <w:rPr>
          <w:rFonts w:hint="cs"/>
          <w:sz w:val="28"/>
          <w:rtl/>
        </w:rPr>
        <w:t xml:space="preserve">אמנם נגד האלוף </w:t>
      </w:r>
      <w:r w:rsidR="00BE31A5">
        <w:rPr>
          <w:rFonts w:hint="cs"/>
          <w:sz w:val="28"/>
          <w:rtl/>
        </w:rPr>
        <w:t xml:space="preserve">לא הוגש כתב אישום </w:t>
      </w:r>
      <w:r w:rsidR="00A40A31" w:rsidRPr="00C52D5B">
        <w:rPr>
          <w:rFonts w:hint="cs"/>
          <w:sz w:val="28"/>
          <w:rtl/>
        </w:rPr>
        <w:t xml:space="preserve">אך מהפרשות שנחשפו עולה "התנהגות ביריונית, נטולת כבוד לחוק שמטרתה לנכס שטחי ציבור ולהעבירם, בניגוד לדין, לרשות היחיד...מדובר בהתנהגות שאינה הולמת מועמד לתפקיד ראש המטה הכללי של צה"ל". טיעון זה מהדהד שתי הלכות שעלו </w:t>
      </w:r>
      <w:r w:rsidR="006E4702" w:rsidRPr="00494638">
        <w:rPr>
          <w:rFonts w:hint="cs"/>
          <w:sz w:val="28"/>
          <w:rtl/>
        </w:rPr>
        <w:t>בפרשת גינוסר (</w:t>
      </w:r>
      <w:r w:rsidR="00A40A31" w:rsidRPr="00494638">
        <w:rPr>
          <w:rFonts w:hint="cs"/>
          <w:sz w:val="28"/>
          <w:rtl/>
        </w:rPr>
        <w:t>פס</w:t>
      </w:r>
      <w:r w:rsidR="00A40A31" w:rsidRPr="00494638">
        <w:rPr>
          <w:sz w:val="28"/>
          <w:rtl/>
        </w:rPr>
        <w:t>"</w:t>
      </w:r>
      <w:r w:rsidR="00A40A31" w:rsidRPr="00494638">
        <w:rPr>
          <w:rFonts w:hint="cs"/>
          <w:sz w:val="28"/>
          <w:rtl/>
        </w:rPr>
        <w:t>ד</w:t>
      </w:r>
      <w:r w:rsidR="00A40A31" w:rsidRPr="00494638">
        <w:rPr>
          <w:sz w:val="28"/>
          <w:rtl/>
        </w:rPr>
        <w:t xml:space="preserve"> </w:t>
      </w:r>
      <w:r w:rsidR="00A40A31" w:rsidRPr="00494638">
        <w:rPr>
          <w:rFonts w:hint="cs"/>
          <w:sz w:val="28"/>
          <w:rtl/>
        </w:rPr>
        <w:t>איזנברג</w:t>
      </w:r>
      <w:r w:rsidR="006E4702" w:rsidRPr="00494638">
        <w:rPr>
          <w:rFonts w:hint="cs"/>
          <w:sz w:val="28"/>
          <w:rtl/>
        </w:rPr>
        <w:t>)</w:t>
      </w:r>
      <w:r w:rsidR="00A40A31" w:rsidRPr="00494638">
        <w:rPr>
          <w:sz w:val="28"/>
          <w:rtl/>
        </w:rPr>
        <w:t>:</w:t>
      </w:r>
      <w:r w:rsidR="00A40A31" w:rsidRPr="00C52D5B">
        <w:rPr>
          <w:rFonts w:hint="cs"/>
          <w:sz w:val="28"/>
          <w:rtl/>
        </w:rPr>
        <w:t xml:space="preserve"> האחת, קובעת שבשאלת "המינוי הראוי" הרף הוא אינו הרף הפלילי וכי אם בידי הסמכות הממנה יש "ראיה מנהלית" שמעידה על ביצוע העבירה, הרי שהיא מספיקה לקביעה הערכית בסוגיית סבירות המינוי. </w:t>
      </w:r>
      <w:r w:rsidR="00C52D5B">
        <w:rPr>
          <w:rFonts w:hint="cs"/>
          <w:sz w:val="28"/>
          <w:rtl/>
        </w:rPr>
        <w:t>ההלכה השני</w:t>
      </w:r>
      <w:r w:rsidR="001721BD">
        <w:rPr>
          <w:rFonts w:hint="cs"/>
          <w:sz w:val="28"/>
          <w:rtl/>
        </w:rPr>
        <w:t>י</w:t>
      </w:r>
      <w:r w:rsidR="00C52D5B">
        <w:rPr>
          <w:rFonts w:hint="cs"/>
          <w:sz w:val="28"/>
          <w:rtl/>
        </w:rPr>
        <w:t xml:space="preserve">ה נוגעת בסוגיית היותו של נושא תפקיד בכיר בשירות הציבורי בגדר "נאמן ציבור" ולכן </w:t>
      </w:r>
      <w:r w:rsidR="008E494F">
        <w:rPr>
          <w:rFonts w:hint="cs"/>
          <w:sz w:val="28"/>
          <w:rtl/>
        </w:rPr>
        <w:t>"</w:t>
      </w:r>
      <w:r w:rsidR="00C52D5B">
        <w:rPr>
          <w:rFonts w:hint="cs"/>
          <w:sz w:val="28"/>
          <w:rtl/>
        </w:rPr>
        <w:t>מי שבעברותיו פגע באושיות המבנה החברתי...מי</w:t>
      </w:r>
      <w:r w:rsidR="008E494F">
        <w:rPr>
          <w:rFonts w:hint="cs"/>
          <w:sz w:val="28"/>
          <w:rtl/>
        </w:rPr>
        <w:t>נויו למשרה בכירה בשירות הציבור הינו פעולה בלתי סבירה באופן קיצוני" (בג"צ 6163/92, 1992, 273-274).</w:t>
      </w:r>
    </w:p>
    <w:p w:rsidR="00A40A31" w:rsidRPr="00C52D5B" w:rsidRDefault="00C52D5B" w:rsidP="003F5AE6">
      <w:pPr>
        <w:pStyle w:val="a3"/>
        <w:numPr>
          <w:ilvl w:val="0"/>
          <w:numId w:val="31"/>
        </w:numPr>
        <w:rPr>
          <w:sz w:val="28"/>
        </w:rPr>
      </w:pPr>
      <w:r w:rsidRPr="00BE31A5">
        <w:rPr>
          <w:rFonts w:hint="cs"/>
          <w:b/>
          <w:bCs/>
          <w:sz w:val="28"/>
          <w:rtl/>
        </w:rPr>
        <w:t>הועדה למינויים בכירים שאישרה את המינוי התרשלה בעבודתה באופן שמייצר אי סבירות קיצוני להחלטתה</w:t>
      </w:r>
      <w:r>
        <w:rPr>
          <w:rFonts w:hint="cs"/>
          <w:sz w:val="28"/>
          <w:rtl/>
        </w:rPr>
        <w:t xml:space="preserve">. הועדה קיבלה את החלטתה מבלי שיהיו לפניה כלל החומרים הקשורים בפרשות השונות ובכך למעשה קיבלה החלטה ללא </w:t>
      </w:r>
      <w:r w:rsidR="008E494F">
        <w:rPr>
          <w:rFonts w:hint="cs"/>
          <w:sz w:val="28"/>
          <w:rtl/>
        </w:rPr>
        <w:t>בסיס עובדתי ראוי. השופט זמיר התייחס לחובות המוטלות על רשות מנהלית בבואה לקבל החלטה: "רשות מנהלית שמפעילה שיקול הדעת שלה ללא בירור העובדות הנוגעות לעניין...ניתן לומר על הרשות כי היא פועלת בשרירותיות. שרירות היא סוג של שחיתות. יש בה חומרה קיצונית. היא עילה לפסול כל החלטה מנהלית".</w:t>
      </w:r>
      <w:r w:rsidR="001721BD">
        <w:rPr>
          <w:rFonts w:hint="cs"/>
          <w:sz w:val="28"/>
          <w:rtl/>
        </w:rPr>
        <w:t xml:space="preserve"> </w:t>
      </w:r>
      <w:r w:rsidR="001721BD" w:rsidRPr="00494638">
        <w:rPr>
          <w:sz w:val="28"/>
          <w:rtl/>
        </w:rPr>
        <w:t>(</w:t>
      </w:r>
      <w:r w:rsidR="006E4702">
        <w:rPr>
          <w:rFonts w:hint="cs"/>
          <w:sz w:val="28"/>
          <w:rtl/>
        </w:rPr>
        <w:t>זמיר, 1996</w:t>
      </w:r>
      <w:r w:rsidR="00F91B37">
        <w:rPr>
          <w:rFonts w:hint="cs"/>
          <w:sz w:val="28"/>
          <w:rtl/>
        </w:rPr>
        <w:t>, 738</w:t>
      </w:r>
      <w:r w:rsidR="006E4702">
        <w:rPr>
          <w:rFonts w:hint="cs"/>
          <w:sz w:val="28"/>
          <w:rtl/>
        </w:rPr>
        <w:t>)</w:t>
      </w:r>
    </w:p>
    <w:p w:rsidR="00C52D5B" w:rsidRDefault="008E494F" w:rsidP="003F5AE6">
      <w:pPr>
        <w:ind w:left="360"/>
        <w:rPr>
          <w:sz w:val="28"/>
          <w:rtl/>
        </w:rPr>
      </w:pPr>
      <w:r>
        <w:rPr>
          <w:rFonts w:hint="cs"/>
          <w:sz w:val="28"/>
          <w:rtl/>
        </w:rPr>
        <w:t>לצד טיעונים אלו, ניתן היה לבסס טיעון נוסף, שלא קיבל דגש מיוחד בעתירה נגד המינוי, הקשור באופיו המיוחד של הצבא והאחריות המוטלת על קצינים בכירים. בפרשת תא"ל ניר גלילי</w:t>
      </w:r>
      <w:r w:rsidR="00BB25B9">
        <w:rPr>
          <w:rFonts w:hint="cs"/>
          <w:sz w:val="28"/>
          <w:rtl/>
        </w:rPr>
        <w:t xml:space="preserve"> (</w:t>
      </w:r>
      <w:r w:rsidR="006E4702">
        <w:rPr>
          <w:rFonts w:hint="cs"/>
          <w:sz w:val="28"/>
          <w:rtl/>
        </w:rPr>
        <w:t>בג"צ 1284/99</w:t>
      </w:r>
      <w:r w:rsidR="006E4702">
        <w:rPr>
          <w:rFonts w:hint="cs"/>
          <w:sz w:val="28"/>
          <w:rtl/>
        </w:rPr>
        <w:t>, 1999</w:t>
      </w:r>
      <w:r w:rsidR="00BB25B9">
        <w:rPr>
          <w:rFonts w:hint="cs"/>
          <w:sz w:val="28"/>
          <w:rtl/>
        </w:rPr>
        <w:t>)</w:t>
      </w:r>
      <w:r>
        <w:rPr>
          <w:rFonts w:hint="cs"/>
          <w:sz w:val="28"/>
          <w:rtl/>
        </w:rPr>
        <w:t xml:space="preserve">, התייחס בית המשפט העליון </w:t>
      </w:r>
      <w:r>
        <w:rPr>
          <w:rFonts w:hint="cs"/>
          <w:sz w:val="28"/>
          <w:rtl/>
        </w:rPr>
        <w:lastRenderedPageBreak/>
        <w:t>לאחריות המיוחדת המוטלת על צה"ל ועל מפקדיו הבכירים: "</w:t>
      </w:r>
      <w:r w:rsidR="00C52D5B" w:rsidRPr="00C52D5B">
        <w:rPr>
          <w:rFonts w:hint="cs"/>
          <w:sz w:val="28"/>
          <w:rtl/>
        </w:rPr>
        <w:t>דווקא</w:t>
      </w:r>
      <w:r w:rsidR="00C52D5B" w:rsidRPr="00C52D5B">
        <w:rPr>
          <w:sz w:val="28"/>
          <w:rtl/>
        </w:rPr>
        <w:t xml:space="preserve"> </w:t>
      </w:r>
      <w:r w:rsidR="00C52D5B" w:rsidRPr="00C52D5B">
        <w:rPr>
          <w:rFonts w:hint="cs"/>
          <w:sz w:val="28"/>
          <w:rtl/>
        </w:rPr>
        <w:t>משום</w:t>
      </w:r>
      <w:r w:rsidR="00C52D5B">
        <w:rPr>
          <w:rFonts w:hint="cs"/>
          <w:sz w:val="28"/>
          <w:rtl/>
        </w:rPr>
        <w:t xml:space="preserve"> </w:t>
      </w:r>
      <w:r w:rsidR="00C52D5B" w:rsidRPr="00C52D5B">
        <w:rPr>
          <w:rFonts w:hint="cs"/>
          <w:sz w:val="28"/>
          <w:rtl/>
        </w:rPr>
        <w:t>מרכזיותו</w:t>
      </w:r>
      <w:r w:rsidR="00C52D5B" w:rsidRPr="00C52D5B">
        <w:rPr>
          <w:sz w:val="28"/>
          <w:rtl/>
        </w:rPr>
        <w:t xml:space="preserve"> </w:t>
      </w:r>
      <w:r w:rsidR="00C52D5B" w:rsidRPr="00C52D5B">
        <w:rPr>
          <w:rFonts w:hint="cs"/>
          <w:sz w:val="28"/>
          <w:rtl/>
        </w:rPr>
        <w:t>של</w:t>
      </w:r>
      <w:r w:rsidR="00C52D5B" w:rsidRPr="00C52D5B">
        <w:rPr>
          <w:sz w:val="28"/>
          <w:rtl/>
        </w:rPr>
        <w:t xml:space="preserve"> </w:t>
      </w:r>
      <w:r w:rsidR="00C52D5B" w:rsidRPr="00C52D5B">
        <w:rPr>
          <w:rFonts w:hint="cs"/>
          <w:sz w:val="28"/>
          <w:rtl/>
        </w:rPr>
        <w:t>צה</w:t>
      </w:r>
      <w:r w:rsidR="00C52D5B" w:rsidRPr="00C52D5B">
        <w:rPr>
          <w:sz w:val="28"/>
          <w:rtl/>
        </w:rPr>
        <w:t>"</w:t>
      </w:r>
      <w:r w:rsidR="00C52D5B" w:rsidRPr="00C52D5B">
        <w:rPr>
          <w:rFonts w:hint="cs"/>
          <w:sz w:val="28"/>
          <w:rtl/>
        </w:rPr>
        <w:t>ל</w:t>
      </w:r>
      <w:r w:rsidR="00C52D5B" w:rsidRPr="00C52D5B">
        <w:rPr>
          <w:sz w:val="28"/>
          <w:rtl/>
        </w:rPr>
        <w:t xml:space="preserve"> </w:t>
      </w:r>
      <w:r w:rsidR="00C52D5B" w:rsidRPr="00C52D5B">
        <w:rPr>
          <w:rFonts w:hint="cs"/>
          <w:sz w:val="28"/>
          <w:rtl/>
        </w:rPr>
        <w:t>בחיינו</w:t>
      </w:r>
      <w:r w:rsidR="00C52D5B" w:rsidRPr="00C52D5B">
        <w:rPr>
          <w:sz w:val="28"/>
          <w:rtl/>
        </w:rPr>
        <w:t xml:space="preserve"> </w:t>
      </w:r>
      <w:r w:rsidR="00C52D5B" w:rsidRPr="00C52D5B">
        <w:rPr>
          <w:rFonts w:hint="cs"/>
          <w:sz w:val="28"/>
          <w:rtl/>
        </w:rPr>
        <w:t>ושל</w:t>
      </w:r>
      <w:r w:rsidR="00C52D5B" w:rsidRPr="00C52D5B">
        <w:rPr>
          <w:sz w:val="28"/>
          <w:rtl/>
        </w:rPr>
        <w:t xml:space="preserve"> </w:t>
      </w:r>
      <w:r w:rsidR="00C52D5B" w:rsidRPr="00C52D5B">
        <w:rPr>
          <w:rFonts w:hint="cs"/>
          <w:sz w:val="28"/>
          <w:rtl/>
        </w:rPr>
        <w:t>החייל</w:t>
      </w:r>
      <w:r w:rsidR="00C52D5B" w:rsidRPr="00C52D5B">
        <w:rPr>
          <w:sz w:val="28"/>
          <w:rtl/>
        </w:rPr>
        <w:t xml:space="preserve"> </w:t>
      </w:r>
      <w:r w:rsidR="00C52D5B" w:rsidRPr="00C52D5B">
        <w:rPr>
          <w:rFonts w:hint="cs"/>
          <w:sz w:val="28"/>
          <w:rtl/>
        </w:rPr>
        <w:t>בצה</w:t>
      </w:r>
      <w:r w:rsidR="00C52D5B" w:rsidRPr="00C52D5B">
        <w:rPr>
          <w:sz w:val="28"/>
          <w:rtl/>
        </w:rPr>
        <w:t>"</w:t>
      </w:r>
      <w:r w:rsidR="00C52D5B" w:rsidRPr="00C52D5B">
        <w:rPr>
          <w:rFonts w:hint="cs"/>
          <w:sz w:val="28"/>
          <w:rtl/>
        </w:rPr>
        <w:t>ל</w:t>
      </w:r>
      <w:r w:rsidR="00C52D5B" w:rsidRPr="00C52D5B">
        <w:rPr>
          <w:sz w:val="28"/>
          <w:rtl/>
        </w:rPr>
        <w:t xml:space="preserve">, </w:t>
      </w:r>
      <w:r w:rsidR="00C52D5B" w:rsidRPr="00C52D5B">
        <w:rPr>
          <w:rFonts w:hint="cs"/>
          <w:sz w:val="28"/>
          <w:rtl/>
        </w:rPr>
        <w:t>דווקא</w:t>
      </w:r>
      <w:r w:rsidR="00C52D5B" w:rsidRPr="00C52D5B">
        <w:rPr>
          <w:sz w:val="28"/>
          <w:rtl/>
        </w:rPr>
        <w:t xml:space="preserve"> </w:t>
      </w:r>
      <w:r w:rsidR="00C52D5B" w:rsidRPr="00C52D5B">
        <w:rPr>
          <w:rFonts w:hint="cs"/>
          <w:sz w:val="28"/>
          <w:rtl/>
        </w:rPr>
        <w:t>משום</w:t>
      </w:r>
      <w:r w:rsidR="00C52D5B" w:rsidRPr="00C52D5B">
        <w:rPr>
          <w:sz w:val="28"/>
          <w:rtl/>
        </w:rPr>
        <w:t xml:space="preserve"> </w:t>
      </w:r>
      <w:r w:rsidR="00C52D5B" w:rsidRPr="00C52D5B">
        <w:rPr>
          <w:rFonts w:hint="cs"/>
          <w:sz w:val="28"/>
          <w:rtl/>
        </w:rPr>
        <w:t>היותו</w:t>
      </w:r>
      <w:r w:rsidR="00C52D5B" w:rsidRPr="00C52D5B">
        <w:rPr>
          <w:sz w:val="28"/>
          <w:rtl/>
        </w:rPr>
        <w:t xml:space="preserve"> </w:t>
      </w:r>
      <w:r w:rsidR="00C52D5B" w:rsidRPr="00C52D5B">
        <w:rPr>
          <w:rFonts w:hint="cs"/>
          <w:sz w:val="28"/>
          <w:rtl/>
        </w:rPr>
        <w:t>צבא</w:t>
      </w:r>
      <w:r w:rsidR="00C52D5B" w:rsidRPr="00C52D5B">
        <w:rPr>
          <w:sz w:val="28"/>
          <w:rtl/>
        </w:rPr>
        <w:t xml:space="preserve"> </w:t>
      </w:r>
      <w:r w:rsidR="00C52D5B" w:rsidRPr="00C52D5B">
        <w:rPr>
          <w:rFonts w:hint="cs"/>
          <w:sz w:val="28"/>
          <w:rtl/>
        </w:rPr>
        <w:t>שחרת</w:t>
      </w:r>
      <w:r w:rsidR="00C52D5B" w:rsidRPr="00C52D5B">
        <w:rPr>
          <w:sz w:val="28"/>
          <w:rtl/>
        </w:rPr>
        <w:t xml:space="preserve"> </w:t>
      </w:r>
      <w:r w:rsidR="00C52D5B" w:rsidRPr="00C52D5B">
        <w:rPr>
          <w:rFonts w:hint="cs"/>
          <w:sz w:val="28"/>
          <w:rtl/>
        </w:rPr>
        <w:t>על</w:t>
      </w:r>
      <w:r w:rsidR="00C52D5B" w:rsidRPr="00C52D5B">
        <w:rPr>
          <w:sz w:val="28"/>
          <w:rtl/>
        </w:rPr>
        <w:t xml:space="preserve"> </w:t>
      </w:r>
      <w:r w:rsidR="00C52D5B" w:rsidRPr="00C52D5B">
        <w:rPr>
          <w:rFonts w:hint="cs"/>
          <w:sz w:val="28"/>
          <w:rtl/>
        </w:rPr>
        <w:t>דגלו</w:t>
      </w:r>
      <w:r w:rsidR="00C52D5B" w:rsidRPr="00C52D5B">
        <w:rPr>
          <w:sz w:val="28"/>
          <w:rtl/>
        </w:rPr>
        <w:t xml:space="preserve"> </w:t>
      </w:r>
      <w:r w:rsidR="00C52D5B" w:rsidRPr="00C52D5B">
        <w:rPr>
          <w:rFonts w:hint="cs"/>
          <w:sz w:val="28"/>
          <w:rtl/>
        </w:rPr>
        <w:t>את</w:t>
      </w:r>
      <w:r w:rsidR="00C52D5B">
        <w:rPr>
          <w:rFonts w:hint="cs"/>
          <w:sz w:val="28"/>
          <w:rtl/>
        </w:rPr>
        <w:t xml:space="preserve"> </w:t>
      </w:r>
      <w:r w:rsidR="00C52D5B" w:rsidRPr="00C52D5B">
        <w:rPr>
          <w:rFonts w:hint="cs"/>
          <w:sz w:val="28"/>
          <w:rtl/>
        </w:rPr>
        <w:t>החינוך</w:t>
      </w:r>
      <w:r w:rsidR="00C52D5B" w:rsidRPr="00C52D5B">
        <w:rPr>
          <w:sz w:val="28"/>
          <w:rtl/>
        </w:rPr>
        <w:t xml:space="preserve"> </w:t>
      </w:r>
      <w:r w:rsidR="00C52D5B" w:rsidRPr="00C52D5B">
        <w:rPr>
          <w:rFonts w:hint="cs"/>
          <w:sz w:val="28"/>
          <w:rtl/>
        </w:rPr>
        <w:t>כיעד</w:t>
      </w:r>
      <w:r w:rsidR="00C52D5B" w:rsidRPr="00C52D5B">
        <w:rPr>
          <w:sz w:val="28"/>
          <w:rtl/>
        </w:rPr>
        <w:t xml:space="preserve"> </w:t>
      </w:r>
      <w:r w:rsidR="00C52D5B" w:rsidRPr="00C52D5B">
        <w:rPr>
          <w:rFonts w:hint="cs"/>
          <w:sz w:val="28"/>
          <w:rtl/>
        </w:rPr>
        <w:t>והמהווה</w:t>
      </w:r>
      <w:r w:rsidR="00C52D5B" w:rsidRPr="00C52D5B">
        <w:rPr>
          <w:sz w:val="28"/>
          <w:rtl/>
        </w:rPr>
        <w:t xml:space="preserve"> </w:t>
      </w:r>
      <w:r w:rsidR="00C52D5B" w:rsidRPr="00C52D5B">
        <w:rPr>
          <w:rFonts w:hint="cs"/>
          <w:sz w:val="28"/>
          <w:rtl/>
        </w:rPr>
        <w:t>כור</w:t>
      </w:r>
      <w:r w:rsidR="00C52D5B" w:rsidRPr="00C52D5B">
        <w:rPr>
          <w:sz w:val="28"/>
          <w:rtl/>
        </w:rPr>
        <w:t xml:space="preserve"> </w:t>
      </w:r>
      <w:r w:rsidR="00C52D5B" w:rsidRPr="00C52D5B">
        <w:rPr>
          <w:rFonts w:hint="cs"/>
          <w:sz w:val="28"/>
          <w:rtl/>
        </w:rPr>
        <w:t>היתוך</w:t>
      </w:r>
      <w:r w:rsidR="00C52D5B" w:rsidRPr="00C52D5B">
        <w:rPr>
          <w:sz w:val="28"/>
          <w:rtl/>
        </w:rPr>
        <w:t xml:space="preserve"> </w:t>
      </w:r>
      <w:r w:rsidR="00C52D5B" w:rsidRPr="00C52D5B">
        <w:rPr>
          <w:rFonts w:hint="cs"/>
          <w:sz w:val="28"/>
          <w:rtl/>
        </w:rPr>
        <w:t>לכל</w:t>
      </w:r>
      <w:r w:rsidR="00C52D5B" w:rsidRPr="00C52D5B">
        <w:rPr>
          <w:sz w:val="28"/>
          <w:rtl/>
        </w:rPr>
        <w:t xml:space="preserve"> </w:t>
      </w:r>
      <w:r w:rsidR="00C52D5B" w:rsidRPr="00C52D5B">
        <w:rPr>
          <w:rFonts w:hint="cs"/>
          <w:sz w:val="28"/>
          <w:rtl/>
        </w:rPr>
        <w:t>המתגייסים</w:t>
      </w:r>
      <w:r w:rsidR="00C52D5B" w:rsidRPr="00C52D5B">
        <w:rPr>
          <w:sz w:val="28"/>
          <w:rtl/>
        </w:rPr>
        <w:t xml:space="preserve"> </w:t>
      </w:r>
      <w:r w:rsidR="00C52D5B" w:rsidRPr="00C52D5B">
        <w:rPr>
          <w:rFonts w:hint="cs"/>
          <w:sz w:val="28"/>
          <w:rtl/>
        </w:rPr>
        <w:t>לשורותיו</w:t>
      </w:r>
      <w:r w:rsidR="00C52D5B" w:rsidRPr="00C52D5B">
        <w:rPr>
          <w:sz w:val="28"/>
          <w:rtl/>
        </w:rPr>
        <w:t xml:space="preserve">, </w:t>
      </w:r>
      <w:r w:rsidR="00C52D5B" w:rsidRPr="00C52D5B">
        <w:rPr>
          <w:rFonts w:hint="cs"/>
          <w:sz w:val="28"/>
          <w:rtl/>
        </w:rPr>
        <w:t>יש</w:t>
      </w:r>
      <w:r w:rsidR="00C52D5B" w:rsidRPr="00C52D5B">
        <w:rPr>
          <w:sz w:val="28"/>
          <w:rtl/>
        </w:rPr>
        <w:t xml:space="preserve"> </w:t>
      </w:r>
      <w:r w:rsidR="00C52D5B" w:rsidRPr="00C52D5B">
        <w:rPr>
          <w:rFonts w:hint="cs"/>
          <w:sz w:val="28"/>
          <w:rtl/>
        </w:rPr>
        <w:t>לצה</w:t>
      </w:r>
      <w:r w:rsidR="00C52D5B" w:rsidRPr="00C52D5B">
        <w:rPr>
          <w:sz w:val="28"/>
          <w:rtl/>
        </w:rPr>
        <w:t>"</w:t>
      </w:r>
      <w:r w:rsidR="00C52D5B" w:rsidRPr="00C52D5B">
        <w:rPr>
          <w:rFonts w:hint="cs"/>
          <w:sz w:val="28"/>
          <w:rtl/>
        </w:rPr>
        <w:t>ל</w:t>
      </w:r>
      <w:r w:rsidR="00C52D5B" w:rsidRPr="00C52D5B">
        <w:rPr>
          <w:sz w:val="28"/>
          <w:rtl/>
        </w:rPr>
        <w:t xml:space="preserve"> </w:t>
      </w:r>
      <w:r w:rsidR="00C52D5B" w:rsidRPr="00C52D5B">
        <w:rPr>
          <w:rFonts w:hint="cs"/>
          <w:sz w:val="28"/>
          <w:rtl/>
        </w:rPr>
        <w:t>תפקיד</w:t>
      </w:r>
      <w:r w:rsidR="00C52D5B" w:rsidRPr="00C52D5B">
        <w:rPr>
          <w:sz w:val="28"/>
          <w:rtl/>
        </w:rPr>
        <w:t xml:space="preserve"> </w:t>
      </w:r>
      <w:r w:rsidR="00C52D5B" w:rsidRPr="00C52D5B">
        <w:rPr>
          <w:rFonts w:hint="cs"/>
          <w:sz w:val="28"/>
          <w:rtl/>
        </w:rPr>
        <w:t>בעל</w:t>
      </w:r>
      <w:r w:rsidR="00C52D5B" w:rsidRPr="00C52D5B">
        <w:rPr>
          <w:sz w:val="28"/>
          <w:rtl/>
        </w:rPr>
        <w:t xml:space="preserve"> </w:t>
      </w:r>
      <w:r w:rsidR="00C52D5B" w:rsidRPr="00C52D5B">
        <w:rPr>
          <w:rFonts w:hint="cs"/>
          <w:sz w:val="28"/>
          <w:rtl/>
        </w:rPr>
        <w:t>חשיבות</w:t>
      </w:r>
      <w:r w:rsidR="00C52D5B">
        <w:rPr>
          <w:rFonts w:hint="cs"/>
          <w:sz w:val="28"/>
          <w:rtl/>
        </w:rPr>
        <w:t xml:space="preserve"> </w:t>
      </w:r>
      <w:r w:rsidR="00C52D5B" w:rsidRPr="00C52D5B">
        <w:rPr>
          <w:rFonts w:hint="cs"/>
          <w:sz w:val="28"/>
          <w:rtl/>
        </w:rPr>
        <w:t>עליונה</w:t>
      </w:r>
      <w:r w:rsidR="00C52D5B" w:rsidRPr="00C52D5B">
        <w:rPr>
          <w:sz w:val="28"/>
          <w:rtl/>
        </w:rPr>
        <w:t xml:space="preserve"> </w:t>
      </w:r>
      <w:r w:rsidR="00C52D5B" w:rsidRPr="00C52D5B">
        <w:rPr>
          <w:rFonts w:hint="cs"/>
          <w:sz w:val="28"/>
          <w:rtl/>
        </w:rPr>
        <w:t>במישור</w:t>
      </w:r>
      <w:r w:rsidR="00C52D5B" w:rsidRPr="00C52D5B">
        <w:rPr>
          <w:sz w:val="28"/>
          <w:rtl/>
        </w:rPr>
        <w:t xml:space="preserve"> </w:t>
      </w:r>
      <w:r w:rsidR="00C52D5B" w:rsidRPr="00C52D5B">
        <w:rPr>
          <w:rFonts w:hint="cs"/>
          <w:sz w:val="28"/>
          <w:rtl/>
        </w:rPr>
        <w:t>המוסרי</w:t>
      </w:r>
      <w:r w:rsidR="00C52D5B" w:rsidRPr="00C52D5B">
        <w:rPr>
          <w:sz w:val="28"/>
          <w:rtl/>
        </w:rPr>
        <w:t xml:space="preserve"> </w:t>
      </w:r>
      <w:r w:rsidR="00C52D5B" w:rsidRPr="00C52D5B">
        <w:rPr>
          <w:rFonts w:hint="cs"/>
          <w:sz w:val="28"/>
          <w:rtl/>
        </w:rPr>
        <w:t>והערכי</w:t>
      </w:r>
      <w:r w:rsidR="00C52D5B" w:rsidRPr="00C52D5B">
        <w:rPr>
          <w:sz w:val="28"/>
          <w:rtl/>
        </w:rPr>
        <w:t xml:space="preserve">. </w:t>
      </w:r>
      <w:r w:rsidR="00C52D5B" w:rsidRPr="00C52D5B">
        <w:rPr>
          <w:rFonts w:hint="cs"/>
          <w:sz w:val="28"/>
          <w:rtl/>
        </w:rPr>
        <w:t>צה</w:t>
      </w:r>
      <w:r w:rsidR="00C52D5B" w:rsidRPr="00C52D5B">
        <w:rPr>
          <w:sz w:val="28"/>
          <w:rtl/>
        </w:rPr>
        <w:t>"</w:t>
      </w:r>
      <w:r w:rsidR="00C52D5B" w:rsidRPr="00C52D5B">
        <w:rPr>
          <w:rFonts w:hint="cs"/>
          <w:sz w:val="28"/>
          <w:rtl/>
        </w:rPr>
        <w:t>ל</w:t>
      </w:r>
      <w:r w:rsidR="00C52D5B" w:rsidRPr="00C52D5B">
        <w:rPr>
          <w:sz w:val="28"/>
          <w:rtl/>
        </w:rPr>
        <w:t xml:space="preserve"> </w:t>
      </w:r>
      <w:r w:rsidR="00C52D5B" w:rsidRPr="00C52D5B">
        <w:rPr>
          <w:rFonts w:hint="cs"/>
          <w:sz w:val="28"/>
          <w:rtl/>
        </w:rPr>
        <w:t>תורם</w:t>
      </w:r>
      <w:r w:rsidR="00C52D5B" w:rsidRPr="00C52D5B">
        <w:rPr>
          <w:sz w:val="28"/>
          <w:rtl/>
        </w:rPr>
        <w:t xml:space="preserve"> </w:t>
      </w:r>
      <w:r w:rsidR="00C52D5B" w:rsidRPr="00C52D5B">
        <w:rPr>
          <w:rFonts w:hint="cs"/>
          <w:sz w:val="28"/>
          <w:rtl/>
        </w:rPr>
        <w:t>תרומה</w:t>
      </w:r>
      <w:r w:rsidR="00C52D5B" w:rsidRPr="00C52D5B">
        <w:rPr>
          <w:sz w:val="28"/>
          <w:rtl/>
        </w:rPr>
        <w:t xml:space="preserve"> </w:t>
      </w:r>
      <w:r w:rsidR="00C52D5B" w:rsidRPr="00C52D5B">
        <w:rPr>
          <w:rFonts w:hint="cs"/>
          <w:sz w:val="28"/>
          <w:rtl/>
        </w:rPr>
        <w:t>גדולה</w:t>
      </w:r>
      <w:r w:rsidR="00C52D5B" w:rsidRPr="00C52D5B">
        <w:rPr>
          <w:sz w:val="28"/>
          <w:rtl/>
        </w:rPr>
        <w:t xml:space="preserve"> </w:t>
      </w:r>
      <w:r w:rsidR="00C52D5B" w:rsidRPr="00C52D5B">
        <w:rPr>
          <w:rFonts w:hint="cs"/>
          <w:sz w:val="28"/>
          <w:rtl/>
        </w:rPr>
        <w:t>ועצומה</w:t>
      </w:r>
      <w:r w:rsidR="00C52D5B" w:rsidRPr="00C52D5B">
        <w:rPr>
          <w:sz w:val="28"/>
          <w:rtl/>
        </w:rPr>
        <w:t xml:space="preserve"> </w:t>
      </w:r>
      <w:r w:rsidR="00C52D5B" w:rsidRPr="00C52D5B">
        <w:rPr>
          <w:rFonts w:hint="cs"/>
          <w:sz w:val="28"/>
          <w:rtl/>
        </w:rPr>
        <w:t>לגיבוש</w:t>
      </w:r>
      <w:r w:rsidR="00C52D5B" w:rsidRPr="00C52D5B">
        <w:rPr>
          <w:sz w:val="28"/>
          <w:rtl/>
        </w:rPr>
        <w:t xml:space="preserve"> </w:t>
      </w:r>
      <w:r w:rsidR="00C52D5B" w:rsidRPr="00C52D5B">
        <w:rPr>
          <w:rFonts w:hint="cs"/>
          <w:sz w:val="28"/>
          <w:rtl/>
        </w:rPr>
        <w:t>אישיות</w:t>
      </w:r>
      <w:r w:rsidR="00C52D5B" w:rsidRPr="00C52D5B">
        <w:rPr>
          <w:sz w:val="28"/>
          <w:rtl/>
        </w:rPr>
        <w:t xml:space="preserve"> </w:t>
      </w:r>
      <w:r w:rsidR="00C52D5B" w:rsidRPr="00C52D5B">
        <w:rPr>
          <w:rFonts w:hint="cs"/>
          <w:sz w:val="28"/>
          <w:rtl/>
        </w:rPr>
        <w:t>המשרתים</w:t>
      </w:r>
      <w:r w:rsidR="00C52D5B">
        <w:rPr>
          <w:rFonts w:hint="cs"/>
          <w:sz w:val="28"/>
          <w:rtl/>
        </w:rPr>
        <w:t xml:space="preserve"> </w:t>
      </w:r>
      <w:r w:rsidR="00C52D5B" w:rsidRPr="00C52D5B">
        <w:rPr>
          <w:rFonts w:hint="cs"/>
          <w:sz w:val="28"/>
          <w:rtl/>
        </w:rPr>
        <w:t>בו</w:t>
      </w:r>
      <w:r w:rsidR="00C52D5B" w:rsidRPr="00C52D5B">
        <w:rPr>
          <w:sz w:val="28"/>
          <w:rtl/>
        </w:rPr>
        <w:t xml:space="preserve"> </w:t>
      </w:r>
      <w:r w:rsidR="00C52D5B" w:rsidRPr="00C52D5B">
        <w:rPr>
          <w:rFonts w:hint="cs"/>
          <w:sz w:val="28"/>
          <w:rtl/>
        </w:rPr>
        <w:t>ומציידם</w:t>
      </w:r>
      <w:r w:rsidR="00C52D5B" w:rsidRPr="00C52D5B">
        <w:rPr>
          <w:sz w:val="28"/>
          <w:rtl/>
        </w:rPr>
        <w:t xml:space="preserve"> </w:t>
      </w:r>
      <w:r w:rsidR="00C52D5B" w:rsidRPr="00C52D5B">
        <w:rPr>
          <w:rFonts w:hint="cs"/>
          <w:sz w:val="28"/>
          <w:rtl/>
        </w:rPr>
        <w:t>בערכים</w:t>
      </w:r>
      <w:r w:rsidR="00C52D5B" w:rsidRPr="00C52D5B">
        <w:rPr>
          <w:sz w:val="28"/>
          <w:rtl/>
        </w:rPr>
        <w:t xml:space="preserve"> </w:t>
      </w:r>
      <w:r w:rsidR="00C52D5B" w:rsidRPr="00C52D5B">
        <w:rPr>
          <w:rFonts w:hint="cs"/>
          <w:sz w:val="28"/>
          <w:rtl/>
        </w:rPr>
        <w:t>שיעצבו</w:t>
      </w:r>
      <w:r w:rsidR="00C52D5B" w:rsidRPr="00C52D5B">
        <w:rPr>
          <w:sz w:val="28"/>
          <w:rtl/>
        </w:rPr>
        <w:t xml:space="preserve"> </w:t>
      </w:r>
      <w:r w:rsidR="00C52D5B" w:rsidRPr="00C52D5B">
        <w:rPr>
          <w:rFonts w:hint="cs"/>
          <w:sz w:val="28"/>
          <w:rtl/>
        </w:rPr>
        <w:t>את</w:t>
      </w:r>
      <w:r w:rsidR="00C52D5B" w:rsidRPr="00C52D5B">
        <w:rPr>
          <w:sz w:val="28"/>
          <w:rtl/>
        </w:rPr>
        <w:t xml:space="preserve"> </w:t>
      </w:r>
      <w:r w:rsidR="00C52D5B" w:rsidRPr="00C52D5B">
        <w:rPr>
          <w:rFonts w:hint="cs"/>
          <w:sz w:val="28"/>
          <w:rtl/>
        </w:rPr>
        <w:t>התנהגותם</w:t>
      </w:r>
      <w:r w:rsidR="00C52D5B" w:rsidRPr="00C52D5B">
        <w:rPr>
          <w:sz w:val="28"/>
          <w:rtl/>
        </w:rPr>
        <w:t xml:space="preserve"> </w:t>
      </w:r>
      <w:r w:rsidR="00C52D5B" w:rsidRPr="00C52D5B">
        <w:rPr>
          <w:rFonts w:hint="cs"/>
          <w:sz w:val="28"/>
          <w:rtl/>
        </w:rPr>
        <w:t>בחברה</w:t>
      </w:r>
      <w:r w:rsidR="00C52D5B" w:rsidRPr="00C52D5B">
        <w:rPr>
          <w:sz w:val="28"/>
          <w:rtl/>
        </w:rPr>
        <w:t xml:space="preserve"> </w:t>
      </w:r>
      <w:r w:rsidR="00C52D5B" w:rsidRPr="00C52D5B">
        <w:rPr>
          <w:rFonts w:hint="cs"/>
          <w:sz w:val="28"/>
          <w:rtl/>
        </w:rPr>
        <w:t>בעתיד</w:t>
      </w:r>
      <w:r w:rsidR="00C52D5B" w:rsidRPr="00C52D5B">
        <w:rPr>
          <w:sz w:val="28"/>
          <w:rtl/>
        </w:rPr>
        <w:t xml:space="preserve"> </w:t>
      </w:r>
      <w:r w:rsidR="00C52D5B" w:rsidRPr="00C52D5B">
        <w:rPr>
          <w:rFonts w:hint="cs"/>
          <w:sz w:val="28"/>
          <w:rtl/>
        </w:rPr>
        <w:t>ואת</w:t>
      </w:r>
      <w:r w:rsidR="00C52D5B" w:rsidRPr="00C52D5B">
        <w:rPr>
          <w:sz w:val="28"/>
          <w:rtl/>
        </w:rPr>
        <w:t xml:space="preserve"> </w:t>
      </w:r>
      <w:r w:rsidR="00C52D5B" w:rsidRPr="00C52D5B">
        <w:rPr>
          <w:rFonts w:hint="cs"/>
          <w:sz w:val="28"/>
          <w:rtl/>
        </w:rPr>
        <w:t>תפיסותיהם</w:t>
      </w:r>
      <w:r w:rsidR="00C52D5B" w:rsidRPr="00C52D5B">
        <w:rPr>
          <w:sz w:val="28"/>
          <w:rtl/>
        </w:rPr>
        <w:t xml:space="preserve"> </w:t>
      </w:r>
      <w:r w:rsidR="00C52D5B" w:rsidRPr="00C52D5B">
        <w:rPr>
          <w:rFonts w:hint="cs"/>
          <w:sz w:val="28"/>
          <w:rtl/>
        </w:rPr>
        <w:t>הנורמטיביות</w:t>
      </w:r>
      <w:r w:rsidR="00C52D5B" w:rsidRPr="00C52D5B">
        <w:rPr>
          <w:sz w:val="28"/>
          <w:rtl/>
        </w:rPr>
        <w:t xml:space="preserve"> </w:t>
      </w:r>
      <w:r w:rsidR="00C52D5B" w:rsidRPr="00C52D5B">
        <w:rPr>
          <w:rFonts w:hint="cs"/>
          <w:sz w:val="28"/>
          <w:rtl/>
        </w:rPr>
        <w:t>לגבי</w:t>
      </w:r>
      <w:r w:rsidR="00C52D5B">
        <w:rPr>
          <w:rFonts w:hint="cs"/>
          <w:sz w:val="28"/>
          <w:rtl/>
        </w:rPr>
        <w:t xml:space="preserve"> </w:t>
      </w:r>
      <w:r w:rsidR="00C52D5B" w:rsidRPr="00C52D5B">
        <w:rPr>
          <w:rFonts w:hint="cs"/>
          <w:sz w:val="28"/>
          <w:rtl/>
        </w:rPr>
        <w:t>המותר</w:t>
      </w:r>
      <w:r w:rsidR="00C52D5B" w:rsidRPr="00C52D5B">
        <w:rPr>
          <w:sz w:val="28"/>
          <w:rtl/>
        </w:rPr>
        <w:t xml:space="preserve"> </w:t>
      </w:r>
      <w:r w:rsidR="00C52D5B" w:rsidRPr="00C52D5B">
        <w:rPr>
          <w:rFonts w:hint="cs"/>
          <w:sz w:val="28"/>
          <w:rtl/>
        </w:rPr>
        <w:t>והאסור</w:t>
      </w:r>
      <w:r w:rsidR="00C52D5B" w:rsidRPr="00C52D5B">
        <w:rPr>
          <w:sz w:val="28"/>
          <w:rtl/>
        </w:rPr>
        <w:t xml:space="preserve">. </w:t>
      </w:r>
      <w:r w:rsidR="00C52D5B" w:rsidRPr="00C52D5B">
        <w:rPr>
          <w:rFonts w:hint="cs"/>
          <w:sz w:val="28"/>
          <w:rtl/>
        </w:rPr>
        <w:t>דווקא</w:t>
      </w:r>
      <w:r w:rsidR="00C52D5B" w:rsidRPr="00C52D5B">
        <w:rPr>
          <w:sz w:val="28"/>
          <w:rtl/>
        </w:rPr>
        <w:t xml:space="preserve"> </w:t>
      </w:r>
      <w:r w:rsidR="00C52D5B" w:rsidRPr="00C52D5B">
        <w:rPr>
          <w:rFonts w:hint="cs"/>
          <w:sz w:val="28"/>
          <w:rtl/>
        </w:rPr>
        <w:t>משום</w:t>
      </w:r>
      <w:r w:rsidR="00C52D5B" w:rsidRPr="00C52D5B">
        <w:rPr>
          <w:sz w:val="28"/>
          <w:rtl/>
        </w:rPr>
        <w:t xml:space="preserve"> </w:t>
      </w:r>
      <w:r w:rsidR="00C52D5B" w:rsidRPr="00C52D5B">
        <w:rPr>
          <w:rFonts w:hint="cs"/>
          <w:sz w:val="28"/>
          <w:rtl/>
        </w:rPr>
        <w:t>כל</w:t>
      </w:r>
      <w:r w:rsidR="00C52D5B" w:rsidRPr="00C52D5B">
        <w:rPr>
          <w:sz w:val="28"/>
          <w:rtl/>
        </w:rPr>
        <w:t xml:space="preserve"> </w:t>
      </w:r>
      <w:r w:rsidR="00C52D5B" w:rsidRPr="00C52D5B">
        <w:rPr>
          <w:rFonts w:hint="cs"/>
          <w:sz w:val="28"/>
          <w:rtl/>
        </w:rPr>
        <w:t>אלה</w:t>
      </w:r>
      <w:r w:rsidR="00C52D5B" w:rsidRPr="00C52D5B">
        <w:rPr>
          <w:sz w:val="28"/>
          <w:rtl/>
        </w:rPr>
        <w:t xml:space="preserve"> </w:t>
      </w:r>
      <w:r w:rsidR="00C52D5B" w:rsidRPr="00C52D5B">
        <w:rPr>
          <w:rFonts w:hint="cs"/>
          <w:sz w:val="28"/>
          <w:rtl/>
        </w:rPr>
        <w:t>על</w:t>
      </w:r>
      <w:r w:rsidR="00C52D5B" w:rsidRPr="00C52D5B">
        <w:rPr>
          <w:sz w:val="28"/>
          <w:rtl/>
        </w:rPr>
        <w:t xml:space="preserve"> </w:t>
      </w:r>
      <w:r w:rsidR="00C52D5B" w:rsidRPr="00C52D5B">
        <w:rPr>
          <w:rFonts w:hint="cs"/>
          <w:sz w:val="28"/>
          <w:rtl/>
        </w:rPr>
        <w:t>צה</w:t>
      </w:r>
      <w:r w:rsidR="00C52D5B" w:rsidRPr="00C52D5B">
        <w:rPr>
          <w:sz w:val="28"/>
          <w:rtl/>
        </w:rPr>
        <w:t>"</w:t>
      </w:r>
      <w:r w:rsidR="00C52D5B" w:rsidRPr="00C52D5B">
        <w:rPr>
          <w:rFonts w:hint="cs"/>
          <w:sz w:val="28"/>
          <w:rtl/>
        </w:rPr>
        <w:t>ל</w:t>
      </w:r>
      <w:r w:rsidR="00C52D5B" w:rsidRPr="00C52D5B">
        <w:rPr>
          <w:sz w:val="28"/>
          <w:rtl/>
        </w:rPr>
        <w:t xml:space="preserve"> </w:t>
      </w:r>
      <w:r w:rsidR="00C52D5B" w:rsidRPr="00C52D5B">
        <w:rPr>
          <w:rFonts w:hint="cs"/>
          <w:sz w:val="28"/>
          <w:rtl/>
        </w:rPr>
        <w:t>להצטיין</w:t>
      </w:r>
      <w:r w:rsidR="00C52D5B" w:rsidRPr="00C52D5B">
        <w:rPr>
          <w:sz w:val="28"/>
          <w:rtl/>
        </w:rPr>
        <w:t xml:space="preserve"> </w:t>
      </w:r>
      <w:r w:rsidR="00C52D5B" w:rsidRPr="00C52D5B">
        <w:rPr>
          <w:rFonts w:hint="cs"/>
          <w:sz w:val="28"/>
          <w:rtl/>
        </w:rPr>
        <w:t>בחוסן</w:t>
      </w:r>
      <w:r w:rsidR="00C52D5B" w:rsidRPr="00C52D5B">
        <w:rPr>
          <w:sz w:val="28"/>
          <w:rtl/>
        </w:rPr>
        <w:t xml:space="preserve"> </w:t>
      </w:r>
      <w:r w:rsidR="00C52D5B" w:rsidRPr="00C52D5B">
        <w:rPr>
          <w:rFonts w:hint="cs"/>
          <w:sz w:val="28"/>
          <w:rtl/>
        </w:rPr>
        <w:t>מוסרי</w:t>
      </w:r>
      <w:r w:rsidR="00C52D5B" w:rsidRPr="00C52D5B">
        <w:rPr>
          <w:sz w:val="28"/>
          <w:rtl/>
        </w:rPr>
        <w:t xml:space="preserve"> </w:t>
      </w:r>
      <w:r w:rsidR="00C52D5B" w:rsidRPr="00C52D5B">
        <w:rPr>
          <w:rFonts w:hint="cs"/>
          <w:sz w:val="28"/>
          <w:rtl/>
        </w:rPr>
        <w:t>וערכי</w:t>
      </w:r>
      <w:r w:rsidR="00C52D5B" w:rsidRPr="00C52D5B">
        <w:rPr>
          <w:sz w:val="28"/>
          <w:rtl/>
        </w:rPr>
        <w:t xml:space="preserve"> </w:t>
      </w:r>
      <w:r w:rsidR="00C52D5B" w:rsidRPr="00C52D5B">
        <w:rPr>
          <w:rFonts w:hint="cs"/>
          <w:sz w:val="28"/>
          <w:rtl/>
        </w:rPr>
        <w:t>חזק</w:t>
      </w:r>
      <w:r w:rsidR="00C52D5B" w:rsidRPr="00C52D5B">
        <w:rPr>
          <w:sz w:val="28"/>
          <w:rtl/>
        </w:rPr>
        <w:t xml:space="preserve"> </w:t>
      </w:r>
      <w:r w:rsidR="00C52D5B" w:rsidRPr="00C52D5B">
        <w:rPr>
          <w:rFonts w:hint="cs"/>
          <w:sz w:val="28"/>
          <w:rtl/>
        </w:rPr>
        <w:t>ואיתן</w:t>
      </w:r>
      <w:r w:rsidR="00C52D5B" w:rsidRPr="00C52D5B">
        <w:rPr>
          <w:sz w:val="28"/>
          <w:rtl/>
        </w:rPr>
        <w:t xml:space="preserve">. </w:t>
      </w:r>
      <w:r w:rsidR="00C52D5B" w:rsidRPr="00C52D5B">
        <w:rPr>
          <w:rFonts w:hint="cs"/>
          <w:sz w:val="28"/>
          <w:rtl/>
        </w:rPr>
        <w:t>נושאי</w:t>
      </w:r>
      <w:r w:rsidR="00C52D5B">
        <w:rPr>
          <w:rFonts w:hint="cs"/>
          <w:sz w:val="28"/>
          <w:rtl/>
        </w:rPr>
        <w:t xml:space="preserve"> </w:t>
      </w:r>
      <w:r w:rsidR="00C52D5B" w:rsidRPr="00C52D5B">
        <w:rPr>
          <w:rFonts w:hint="cs"/>
          <w:sz w:val="28"/>
          <w:rtl/>
        </w:rPr>
        <w:t>דגל</w:t>
      </w:r>
      <w:r w:rsidR="00C52D5B" w:rsidRPr="00C52D5B">
        <w:rPr>
          <w:sz w:val="28"/>
          <w:rtl/>
        </w:rPr>
        <w:t xml:space="preserve"> </w:t>
      </w:r>
      <w:r w:rsidR="00C52D5B" w:rsidRPr="00C52D5B">
        <w:rPr>
          <w:rFonts w:hint="cs"/>
          <w:sz w:val="28"/>
          <w:rtl/>
        </w:rPr>
        <w:t>זה</w:t>
      </w:r>
      <w:r w:rsidR="00C52D5B" w:rsidRPr="00C52D5B">
        <w:rPr>
          <w:sz w:val="28"/>
          <w:rtl/>
        </w:rPr>
        <w:t xml:space="preserve"> </w:t>
      </w:r>
      <w:r w:rsidR="00C52D5B" w:rsidRPr="00C52D5B">
        <w:rPr>
          <w:rFonts w:hint="cs"/>
          <w:sz w:val="28"/>
          <w:rtl/>
        </w:rPr>
        <w:t>הם</w:t>
      </w:r>
      <w:r w:rsidR="00C52D5B" w:rsidRPr="00C52D5B">
        <w:rPr>
          <w:sz w:val="28"/>
          <w:rtl/>
        </w:rPr>
        <w:t xml:space="preserve"> </w:t>
      </w:r>
      <w:r w:rsidR="00C52D5B" w:rsidRPr="00C52D5B">
        <w:rPr>
          <w:rFonts w:hint="cs"/>
          <w:sz w:val="28"/>
          <w:rtl/>
        </w:rPr>
        <w:t>קציניו</w:t>
      </w:r>
      <w:r w:rsidR="00C52D5B" w:rsidRPr="00C52D5B">
        <w:rPr>
          <w:sz w:val="28"/>
          <w:rtl/>
        </w:rPr>
        <w:t xml:space="preserve"> </w:t>
      </w:r>
      <w:r w:rsidR="00C52D5B" w:rsidRPr="00C52D5B">
        <w:rPr>
          <w:rFonts w:hint="cs"/>
          <w:sz w:val="28"/>
          <w:rtl/>
        </w:rPr>
        <w:t>ובמיוחד</w:t>
      </w:r>
      <w:r w:rsidR="00C52D5B" w:rsidRPr="00C52D5B">
        <w:rPr>
          <w:sz w:val="28"/>
          <w:rtl/>
        </w:rPr>
        <w:t xml:space="preserve"> </w:t>
      </w:r>
      <w:r w:rsidR="00C52D5B" w:rsidRPr="00C52D5B">
        <w:rPr>
          <w:rFonts w:hint="cs"/>
          <w:sz w:val="28"/>
          <w:rtl/>
        </w:rPr>
        <w:t>אלו</w:t>
      </w:r>
      <w:r w:rsidR="00C52D5B" w:rsidRPr="00C52D5B">
        <w:rPr>
          <w:sz w:val="28"/>
          <w:rtl/>
        </w:rPr>
        <w:t xml:space="preserve"> </w:t>
      </w:r>
      <w:r w:rsidR="00C52D5B" w:rsidRPr="00C52D5B">
        <w:rPr>
          <w:rFonts w:hint="cs"/>
          <w:sz w:val="28"/>
          <w:rtl/>
        </w:rPr>
        <w:t>העומדים</w:t>
      </w:r>
      <w:r w:rsidR="00C52D5B" w:rsidRPr="00C52D5B">
        <w:rPr>
          <w:sz w:val="28"/>
          <w:rtl/>
        </w:rPr>
        <w:t xml:space="preserve"> </w:t>
      </w:r>
      <w:r w:rsidR="00C52D5B" w:rsidRPr="00C52D5B">
        <w:rPr>
          <w:rFonts w:hint="cs"/>
          <w:sz w:val="28"/>
          <w:rtl/>
        </w:rPr>
        <w:t>בראש</w:t>
      </w:r>
      <w:r w:rsidR="00C52D5B" w:rsidRPr="00C52D5B">
        <w:rPr>
          <w:sz w:val="28"/>
          <w:rtl/>
        </w:rPr>
        <w:t xml:space="preserve"> </w:t>
      </w:r>
      <w:r w:rsidR="00C52D5B" w:rsidRPr="00C52D5B">
        <w:rPr>
          <w:rFonts w:hint="cs"/>
          <w:sz w:val="28"/>
          <w:rtl/>
        </w:rPr>
        <w:t>הפירמידה</w:t>
      </w:r>
      <w:r w:rsidR="00C52D5B" w:rsidRPr="00C52D5B">
        <w:rPr>
          <w:sz w:val="28"/>
          <w:rtl/>
        </w:rPr>
        <w:t xml:space="preserve">. </w:t>
      </w:r>
      <w:r w:rsidR="00C52D5B" w:rsidRPr="00C52D5B">
        <w:rPr>
          <w:rFonts w:hint="cs"/>
          <w:sz w:val="28"/>
          <w:rtl/>
        </w:rPr>
        <w:t>מאלו</w:t>
      </w:r>
      <w:r w:rsidR="00C52D5B" w:rsidRPr="00C52D5B">
        <w:rPr>
          <w:sz w:val="28"/>
          <w:rtl/>
        </w:rPr>
        <w:t xml:space="preserve"> </w:t>
      </w:r>
      <w:r w:rsidR="00C52D5B" w:rsidRPr="00C52D5B">
        <w:rPr>
          <w:rFonts w:hint="cs"/>
          <w:sz w:val="28"/>
          <w:rtl/>
        </w:rPr>
        <w:t>יש</w:t>
      </w:r>
      <w:r w:rsidR="00C52D5B" w:rsidRPr="00C52D5B">
        <w:rPr>
          <w:sz w:val="28"/>
          <w:rtl/>
        </w:rPr>
        <w:t xml:space="preserve"> </w:t>
      </w:r>
      <w:r w:rsidR="00C52D5B" w:rsidRPr="00C52D5B">
        <w:rPr>
          <w:rFonts w:hint="cs"/>
          <w:sz w:val="28"/>
          <w:rtl/>
        </w:rPr>
        <w:t>לצפות</w:t>
      </w:r>
      <w:r w:rsidR="00C52D5B" w:rsidRPr="00C52D5B">
        <w:rPr>
          <w:sz w:val="28"/>
          <w:rtl/>
        </w:rPr>
        <w:t xml:space="preserve"> </w:t>
      </w:r>
      <w:r w:rsidR="00C52D5B" w:rsidRPr="00C52D5B">
        <w:rPr>
          <w:rFonts w:hint="cs"/>
          <w:sz w:val="28"/>
          <w:rtl/>
        </w:rPr>
        <w:t>להקרין</w:t>
      </w:r>
      <w:r w:rsidR="00C52D5B" w:rsidRPr="00C52D5B">
        <w:rPr>
          <w:sz w:val="28"/>
          <w:rtl/>
        </w:rPr>
        <w:t xml:space="preserve"> </w:t>
      </w:r>
      <w:r w:rsidR="00C52D5B" w:rsidRPr="00C52D5B">
        <w:rPr>
          <w:rFonts w:hint="cs"/>
          <w:sz w:val="28"/>
          <w:rtl/>
        </w:rPr>
        <w:t>דוגמא</w:t>
      </w:r>
      <w:r w:rsidR="00C52D5B">
        <w:rPr>
          <w:rFonts w:hint="cs"/>
          <w:sz w:val="28"/>
          <w:rtl/>
        </w:rPr>
        <w:t xml:space="preserve"> </w:t>
      </w:r>
      <w:r w:rsidR="00C52D5B" w:rsidRPr="00C52D5B">
        <w:rPr>
          <w:rFonts w:hint="cs"/>
          <w:sz w:val="28"/>
          <w:rtl/>
        </w:rPr>
        <w:t>אישית</w:t>
      </w:r>
      <w:r w:rsidR="00C52D5B" w:rsidRPr="00C52D5B">
        <w:rPr>
          <w:sz w:val="28"/>
          <w:rtl/>
        </w:rPr>
        <w:t xml:space="preserve">. </w:t>
      </w:r>
      <w:r w:rsidR="00C52D5B" w:rsidRPr="00C52D5B">
        <w:rPr>
          <w:rFonts w:hint="cs"/>
          <w:sz w:val="28"/>
          <w:rtl/>
        </w:rPr>
        <w:t>עם</w:t>
      </w:r>
      <w:r w:rsidR="00C52D5B" w:rsidRPr="00C52D5B">
        <w:rPr>
          <w:sz w:val="28"/>
          <w:rtl/>
        </w:rPr>
        <w:t xml:space="preserve"> </w:t>
      </w:r>
      <w:r w:rsidR="00C52D5B" w:rsidRPr="00C52D5B">
        <w:rPr>
          <w:rFonts w:hint="cs"/>
          <w:sz w:val="28"/>
          <w:rtl/>
        </w:rPr>
        <w:t>אלה</w:t>
      </w:r>
      <w:r w:rsidR="00C52D5B" w:rsidRPr="00C52D5B">
        <w:rPr>
          <w:sz w:val="28"/>
          <w:rtl/>
        </w:rPr>
        <w:t xml:space="preserve"> </w:t>
      </w:r>
      <w:r w:rsidR="00C52D5B" w:rsidRPr="00C52D5B">
        <w:rPr>
          <w:rFonts w:hint="cs"/>
          <w:sz w:val="28"/>
          <w:rtl/>
        </w:rPr>
        <w:t>יש</w:t>
      </w:r>
      <w:r w:rsidR="00C52D5B" w:rsidRPr="00C52D5B">
        <w:rPr>
          <w:sz w:val="28"/>
          <w:rtl/>
        </w:rPr>
        <w:t xml:space="preserve"> </w:t>
      </w:r>
      <w:r w:rsidR="00C52D5B" w:rsidRPr="00C52D5B">
        <w:rPr>
          <w:rFonts w:hint="cs"/>
          <w:sz w:val="28"/>
          <w:rtl/>
        </w:rPr>
        <w:t>להקפיד</w:t>
      </w:r>
      <w:r w:rsidR="00C52D5B" w:rsidRPr="00C52D5B">
        <w:rPr>
          <w:sz w:val="28"/>
          <w:rtl/>
        </w:rPr>
        <w:t xml:space="preserve"> </w:t>
      </w:r>
      <w:r w:rsidR="00C52D5B" w:rsidRPr="00C52D5B">
        <w:rPr>
          <w:rFonts w:hint="cs"/>
          <w:sz w:val="28"/>
          <w:rtl/>
        </w:rPr>
        <w:t>ולדקדק</w:t>
      </w:r>
      <w:r w:rsidR="00C52D5B" w:rsidRPr="00C52D5B">
        <w:rPr>
          <w:sz w:val="28"/>
          <w:rtl/>
        </w:rPr>
        <w:t xml:space="preserve"> </w:t>
      </w:r>
      <w:r w:rsidR="00C52D5B" w:rsidRPr="00C52D5B">
        <w:rPr>
          <w:rFonts w:hint="cs"/>
          <w:sz w:val="28"/>
          <w:rtl/>
        </w:rPr>
        <w:t>כחוט</w:t>
      </w:r>
      <w:r w:rsidR="00C52D5B" w:rsidRPr="00C52D5B">
        <w:rPr>
          <w:sz w:val="28"/>
          <w:rtl/>
        </w:rPr>
        <w:t xml:space="preserve"> </w:t>
      </w:r>
      <w:r w:rsidR="00C52D5B" w:rsidRPr="00C52D5B">
        <w:rPr>
          <w:rFonts w:hint="cs"/>
          <w:sz w:val="28"/>
          <w:rtl/>
        </w:rPr>
        <w:t>השערה</w:t>
      </w:r>
      <w:r>
        <w:rPr>
          <w:rFonts w:hint="cs"/>
          <w:sz w:val="28"/>
          <w:rtl/>
        </w:rPr>
        <w:t xml:space="preserve">". אמירה זאת, שהייתה נכונה לתא"ל ניר גליל, קל וחומר נכונה כלפי מי שעתיד לעמוד בראש הצבא. </w:t>
      </w:r>
    </w:p>
    <w:p w:rsidR="00E35D42" w:rsidRDefault="008E494F" w:rsidP="00C52D5B">
      <w:pPr>
        <w:ind w:left="360"/>
        <w:rPr>
          <w:sz w:val="28"/>
          <w:rtl/>
        </w:rPr>
      </w:pPr>
      <w:r>
        <w:rPr>
          <w:rFonts w:hint="cs"/>
          <w:sz w:val="28"/>
          <w:rtl/>
        </w:rPr>
        <w:t>בעקבות העתירה, נדרש היועץ המשפטי לממשלה לספק חוות דעת נוספת לגבי סבירות הותרת החלטת המינוי על כנו. כ</w:t>
      </w:r>
      <w:r w:rsidR="00D911EC">
        <w:rPr>
          <w:rFonts w:hint="cs"/>
          <w:sz w:val="28"/>
          <w:rtl/>
        </w:rPr>
        <w:t>אמור</w:t>
      </w:r>
      <w:r>
        <w:rPr>
          <w:rFonts w:hint="cs"/>
          <w:sz w:val="28"/>
          <w:rtl/>
        </w:rPr>
        <w:t xml:space="preserve">, היועץ העלה קושי משמעותי </w:t>
      </w:r>
      <w:r w:rsidR="003A69E3">
        <w:rPr>
          <w:rFonts w:hint="cs"/>
          <w:sz w:val="28"/>
          <w:rtl/>
        </w:rPr>
        <w:t xml:space="preserve">להגן על סבירותה ואף העלה ספקות באשר </w:t>
      </w:r>
      <w:proofErr w:type="spellStart"/>
      <w:r w:rsidR="003A69E3">
        <w:rPr>
          <w:rFonts w:hint="cs"/>
          <w:sz w:val="28"/>
          <w:rtl/>
        </w:rPr>
        <w:t>לערכיותה</w:t>
      </w:r>
      <w:proofErr w:type="spellEnd"/>
      <w:r w:rsidR="003A69E3">
        <w:rPr>
          <w:rFonts w:hint="cs"/>
          <w:sz w:val="28"/>
          <w:rtl/>
        </w:rPr>
        <w:t>. לאור חוות דעת זאת החליטה הממשלה לבטל את המינוי.</w:t>
      </w:r>
    </w:p>
    <w:p w:rsidR="003A69E3" w:rsidRPr="00833352" w:rsidRDefault="003A69E3" w:rsidP="003A69E3">
      <w:pPr>
        <w:rPr>
          <w:b/>
          <w:bCs/>
          <w:sz w:val="28"/>
          <w:rtl/>
        </w:rPr>
      </w:pPr>
      <w:r w:rsidRPr="00833352">
        <w:rPr>
          <w:rFonts w:hint="cs"/>
          <w:b/>
          <w:bCs/>
          <w:sz w:val="28"/>
          <w:rtl/>
        </w:rPr>
        <w:t>המקרה ה</w:t>
      </w:r>
      <w:r>
        <w:rPr>
          <w:rFonts w:hint="cs"/>
          <w:b/>
          <w:bCs/>
          <w:sz w:val="28"/>
          <w:rtl/>
        </w:rPr>
        <w:t>שני</w:t>
      </w:r>
      <w:r w:rsidR="00E35D42">
        <w:rPr>
          <w:rFonts w:hint="cs"/>
          <w:b/>
          <w:bCs/>
          <w:sz w:val="28"/>
          <w:rtl/>
        </w:rPr>
        <w:t xml:space="preserve">: </w:t>
      </w:r>
      <w:r>
        <w:rPr>
          <w:rFonts w:hint="cs"/>
          <w:b/>
          <w:bCs/>
          <w:sz w:val="28"/>
          <w:rtl/>
        </w:rPr>
        <w:t xml:space="preserve">אישור מינויו של האלוף (במיל') </w:t>
      </w:r>
      <w:proofErr w:type="spellStart"/>
      <w:r>
        <w:rPr>
          <w:rFonts w:hint="cs"/>
          <w:b/>
          <w:bCs/>
          <w:sz w:val="28"/>
          <w:rtl/>
        </w:rPr>
        <w:t>גלנט</w:t>
      </w:r>
      <w:proofErr w:type="spellEnd"/>
      <w:r>
        <w:rPr>
          <w:rFonts w:hint="cs"/>
          <w:b/>
          <w:bCs/>
          <w:sz w:val="28"/>
          <w:rtl/>
        </w:rPr>
        <w:t xml:space="preserve"> לתפקיד שר השיכון והבינוי</w:t>
      </w:r>
    </w:p>
    <w:p w:rsidR="003A69E3" w:rsidRDefault="003A69E3" w:rsidP="003A69E3">
      <w:pPr>
        <w:rPr>
          <w:sz w:val="28"/>
          <w:rtl/>
        </w:rPr>
      </w:pPr>
      <w:r>
        <w:rPr>
          <w:rFonts w:hint="cs"/>
          <w:sz w:val="28"/>
          <w:rtl/>
        </w:rPr>
        <w:t xml:space="preserve">כארבע שנים לאחר פרשת ביטול מינויו לראש המטה הכללי ולאחר תקופה קצרה במגזר העסקי, נבחר האלוף (במיל') </w:t>
      </w:r>
      <w:proofErr w:type="spellStart"/>
      <w:r>
        <w:rPr>
          <w:rFonts w:hint="cs"/>
          <w:sz w:val="28"/>
          <w:rtl/>
        </w:rPr>
        <w:t>גלנט</w:t>
      </w:r>
      <w:proofErr w:type="spellEnd"/>
      <w:r>
        <w:rPr>
          <w:rFonts w:hint="cs"/>
          <w:sz w:val="28"/>
          <w:rtl/>
        </w:rPr>
        <w:t xml:space="preserve"> לכנסת </w:t>
      </w:r>
      <w:r w:rsidR="00D911EC">
        <w:rPr>
          <w:rFonts w:hint="cs"/>
          <w:sz w:val="28"/>
          <w:rtl/>
        </w:rPr>
        <w:t xml:space="preserve">העשרים מטעם </w:t>
      </w:r>
      <w:r>
        <w:rPr>
          <w:rFonts w:hint="cs"/>
          <w:sz w:val="28"/>
          <w:rtl/>
        </w:rPr>
        <w:t>תנועת כולנו ומונה על ידי ראש הממשלה לתפקיד שר הבינוי והשיכון בממשלת ישראל.</w:t>
      </w:r>
    </w:p>
    <w:p w:rsidR="003A69E3" w:rsidRDefault="003A69E3" w:rsidP="00A44F0F">
      <w:pPr>
        <w:rPr>
          <w:sz w:val="28"/>
          <w:rtl/>
        </w:rPr>
      </w:pPr>
      <w:r>
        <w:rPr>
          <w:rFonts w:hint="cs"/>
          <w:sz w:val="28"/>
          <w:rtl/>
        </w:rPr>
        <w:t xml:space="preserve">מינוי </w:t>
      </w:r>
      <w:r w:rsidR="00357981">
        <w:rPr>
          <w:rFonts w:hint="cs"/>
          <w:sz w:val="28"/>
          <w:rtl/>
        </w:rPr>
        <w:t xml:space="preserve">זה </w:t>
      </w:r>
      <w:r>
        <w:rPr>
          <w:rFonts w:hint="cs"/>
          <w:sz w:val="28"/>
          <w:rtl/>
        </w:rPr>
        <w:t xml:space="preserve">הוביל </w:t>
      </w:r>
      <w:r w:rsidR="00F91B37">
        <w:rPr>
          <w:rFonts w:hint="cs"/>
          <w:sz w:val="28"/>
          <w:rtl/>
        </w:rPr>
        <w:t>לעתירה</w:t>
      </w:r>
      <w:r>
        <w:rPr>
          <w:rFonts w:hint="cs"/>
          <w:sz w:val="28"/>
          <w:rtl/>
        </w:rPr>
        <w:t xml:space="preserve"> לבית המשפט העליון בדרישה לבטל</w:t>
      </w:r>
      <w:r w:rsidR="00357981">
        <w:rPr>
          <w:rFonts w:hint="cs"/>
          <w:sz w:val="28"/>
          <w:rtl/>
        </w:rPr>
        <w:t>ו</w:t>
      </w:r>
      <w:r w:rsidR="00F00BC4">
        <w:rPr>
          <w:rFonts w:hint="cs"/>
          <w:sz w:val="28"/>
          <w:rtl/>
        </w:rPr>
        <w:t xml:space="preserve"> (</w:t>
      </w:r>
      <w:r w:rsidR="00F91B37">
        <w:rPr>
          <w:rFonts w:hint="cs"/>
          <w:sz w:val="28"/>
          <w:rtl/>
        </w:rPr>
        <w:t>בג"צ 3059/15</w:t>
      </w:r>
      <w:r w:rsidR="00F91B37" w:rsidRPr="00494638">
        <w:rPr>
          <w:rFonts w:hint="cs"/>
          <w:sz w:val="28"/>
          <w:rtl/>
        </w:rPr>
        <w:t>, 2015</w:t>
      </w:r>
      <w:r w:rsidR="00A44F0F">
        <w:rPr>
          <w:rFonts w:hint="cs"/>
          <w:sz w:val="28"/>
          <w:rtl/>
        </w:rPr>
        <w:t>, 2</w:t>
      </w:r>
      <w:r w:rsidR="00F00BC4">
        <w:rPr>
          <w:rFonts w:hint="cs"/>
          <w:sz w:val="28"/>
          <w:rtl/>
        </w:rPr>
        <w:t>)</w:t>
      </w:r>
      <w:r>
        <w:rPr>
          <w:rFonts w:hint="cs"/>
          <w:sz w:val="28"/>
          <w:rtl/>
        </w:rPr>
        <w:t>. גם במקרה זה לכל הצדדים היה ברור כי המינוי עומד בכל תנאי הכשירות הקבועים בחוק יסוד</w:t>
      </w:r>
      <w:r w:rsidR="00BE31A5">
        <w:rPr>
          <w:rFonts w:hint="cs"/>
          <w:sz w:val="28"/>
          <w:rtl/>
        </w:rPr>
        <w:t xml:space="preserve"> </w:t>
      </w:r>
      <w:r>
        <w:rPr>
          <w:rFonts w:hint="cs"/>
          <w:sz w:val="28"/>
          <w:rtl/>
        </w:rPr>
        <w:t>הממשלה וכן בתנאי הכשירות הסטטוטוריים. השאלה אפוא הייתה האם ההחלטה על המינוי אינה סבירה באופן קיצוני</w:t>
      </w:r>
      <w:r w:rsidR="00F00BC4">
        <w:rPr>
          <w:rFonts w:hint="cs"/>
          <w:sz w:val="28"/>
          <w:rtl/>
        </w:rPr>
        <w:t>,</w:t>
      </w:r>
      <w:r>
        <w:rPr>
          <w:rFonts w:hint="cs"/>
          <w:sz w:val="28"/>
          <w:rtl/>
        </w:rPr>
        <w:t xml:space="preserve"> ודורשת התערבות של בית המשפט העליון בשיקול הדעת הרחב שמקנה החוק לראש הממשלה. </w:t>
      </w:r>
    </w:p>
    <w:p w:rsidR="006D4E8C" w:rsidRDefault="00F00BC4" w:rsidP="00F91B37">
      <w:pPr>
        <w:rPr>
          <w:sz w:val="28"/>
          <w:rtl/>
        </w:rPr>
      </w:pPr>
      <w:r>
        <w:rPr>
          <w:rFonts w:hint="cs"/>
          <w:sz w:val="28"/>
          <w:rtl/>
        </w:rPr>
        <w:t>העתי</w:t>
      </w:r>
      <w:r w:rsidR="00F91B37">
        <w:rPr>
          <w:rFonts w:hint="cs"/>
          <w:sz w:val="28"/>
          <w:rtl/>
        </w:rPr>
        <w:t>רה</w:t>
      </w:r>
      <w:r w:rsidR="00A44F0F">
        <w:rPr>
          <w:rFonts w:hint="cs"/>
          <w:sz w:val="28"/>
          <w:rtl/>
        </w:rPr>
        <w:t xml:space="preserve"> </w:t>
      </w:r>
      <w:r w:rsidR="006D4E8C">
        <w:rPr>
          <w:rFonts w:hint="cs"/>
          <w:sz w:val="28"/>
          <w:rtl/>
        </w:rPr>
        <w:t xml:space="preserve">לא </w:t>
      </w:r>
      <w:r w:rsidR="00D85506">
        <w:rPr>
          <w:rFonts w:hint="cs"/>
          <w:sz w:val="28"/>
          <w:rtl/>
        </w:rPr>
        <w:t>התבסס</w:t>
      </w:r>
      <w:r w:rsidR="00F91B37">
        <w:rPr>
          <w:rFonts w:hint="cs"/>
          <w:sz w:val="28"/>
          <w:rtl/>
        </w:rPr>
        <w:t xml:space="preserve">ה </w:t>
      </w:r>
      <w:r w:rsidR="006D4E8C">
        <w:rPr>
          <w:rFonts w:hint="cs"/>
          <w:sz w:val="28"/>
          <w:rtl/>
        </w:rPr>
        <w:t>על נתונים חדשים או טיעונים חדשים</w:t>
      </w:r>
      <w:r>
        <w:rPr>
          <w:rFonts w:hint="cs"/>
          <w:sz w:val="28"/>
          <w:rtl/>
        </w:rPr>
        <w:t xml:space="preserve">. </w:t>
      </w:r>
      <w:r w:rsidR="006D4E8C">
        <w:rPr>
          <w:rFonts w:hint="cs"/>
          <w:sz w:val="28"/>
          <w:rtl/>
        </w:rPr>
        <w:t>הה</w:t>
      </w:r>
      <w:r w:rsidR="00BE31A5">
        <w:rPr>
          <w:rFonts w:hint="cs"/>
          <w:sz w:val="28"/>
          <w:rtl/>
        </w:rPr>
        <w:t>י</w:t>
      </w:r>
      <w:r w:rsidR="006D4E8C">
        <w:rPr>
          <w:rFonts w:hint="cs"/>
          <w:sz w:val="28"/>
          <w:rtl/>
        </w:rPr>
        <w:t xml:space="preserve">גיון שעמד </w:t>
      </w:r>
      <w:r w:rsidR="00D85506">
        <w:rPr>
          <w:rFonts w:hint="cs"/>
          <w:sz w:val="28"/>
          <w:rtl/>
        </w:rPr>
        <w:t>בבסיס</w:t>
      </w:r>
      <w:r w:rsidR="00F91B37">
        <w:rPr>
          <w:rFonts w:hint="cs"/>
          <w:sz w:val="28"/>
          <w:rtl/>
        </w:rPr>
        <w:t>ה</w:t>
      </w:r>
      <w:r w:rsidR="00A44F0F">
        <w:rPr>
          <w:rFonts w:hint="cs"/>
          <w:sz w:val="28"/>
          <w:rtl/>
        </w:rPr>
        <w:t xml:space="preserve"> </w:t>
      </w:r>
      <w:r w:rsidR="00F91B37">
        <w:rPr>
          <w:rFonts w:hint="cs"/>
          <w:sz w:val="28"/>
          <w:rtl/>
        </w:rPr>
        <w:t>הוא</w:t>
      </w:r>
      <w:r w:rsidR="00D85506">
        <w:rPr>
          <w:rFonts w:hint="cs"/>
          <w:sz w:val="28"/>
          <w:rtl/>
        </w:rPr>
        <w:t xml:space="preserve"> </w:t>
      </w:r>
      <w:r w:rsidR="006D4E8C">
        <w:rPr>
          <w:rFonts w:hint="cs"/>
          <w:sz w:val="28"/>
          <w:rtl/>
        </w:rPr>
        <w:t xml:space="preserve">כי העילות שהובילו לביטול מינויו של האלוף </w:t>
      </w:r>
      <w:proofErr w:type="spellStart"/>
      <w:r w:rsidR="006D4E8C">
        <w:rPr>
          <w:rFonts w:hint="cs"/>
          <w:sz w:val="28"/>
          <w:rtl/>
        </w:rPr>
        <w:t>גלנט</w:t>
      </w:r>
      <w:proofErr w:type="spellEnd"/>
      <w:r w:rsidR="006D4E8C">
        <w:rPr>
          <w:rFonts w:hint="cs"/>
          <w:sz w:val="28"/>
          <w:rtl/>
        </w:rPr>
        <w:t xml:space="preserve"> לראש המטה הכללי שרירות וקיימות</w:t>
      </w:r>
      <w:r w:rsidR="00D85506">
        <w:rPr>
          <w:rFonts w:hint="cs"/>
          <w:sz w:val="28"/>
          <w:rtl/>
        </w:rPr>
        <w:t>,</w:t>
      </w:r>
      <w:r w:rsidR="006D4E8C">
        <w:rPr>
          <w:rFonts w:hint="cs"/>
          <w:sz w:val="28"/>
          <w:rtl/>
        </w:rPr>
        <w:t xml:space="preserve"> ולפיכך צריכות להוביל גם לביטול מינויו לתפקיד שר השיכון. </w:t>
      </w:r>
    </w:p>
    <w:p w:rsidR="006D4E8C" w:rsidRDefault="006D4E8C" w:rsidP="00F91B37">
      <w:pPr>
        <w:rPr>
          <w:sz w:val="28"/>
          <w:rtl/>
        </w:rPr>
      </w:pPr>
      <w:r>
        <w:rPr>
          <w:rFonts w:hint="cs"/>
          <w:sz w:val="28"/>
          <w:rtl/>
        </w:rPr>
        <w:t xml:space="preserve">למרות זאת, בית המשפט העליון, החליט כי החלטת ראש הממשלה למנות את חבר הכנסת </w:t>
      </w:r>
      <w:proofErr w:type="spellStart"/>
      <w:r>
        <w:rPr>
          <w:rFonts w:hint="cs"/>
          <w:sz w:val="28"/>
          <w:rtl/>
        </w:rPr>
        <w:t>גלנט</w:t>
      </w:r>
      <w:proofErr w:type="spellEnd"/>
      <w:r>
        <w:rPr>
          <w:rFonts w:hint="cs"/>
          <w:sz w:val="28"/>
          <w:rtl/>
        </w:rPr>
        <w:t xml:space="preserve"> לתפקיד מצויה בתוך מתחם הסבירות ולפיכך </w:t>
      </w:r>
      <w:r w:rsidR="00D85506">
        <w:rPr>
          <w:rFonts w:hint="cs"/>
          <w:sz w:val="28"/>
          <w:rtl/>
        </w:rPr>
        <w:t xml:space="preserve">אין </w:t>
      </w:r>
      <w:r>
        <w:rPr>
          <w:rFonts w:hint="cs"/>
          <w:sz w:val="28"/>
          <w:rtl/>
        </w:rPr>
        <w:t>עילה לביטולה</w:t>
      </w:r>
      <w:r w:rsidR="00A44F0F">
        <w:rPr>
          <w:rFonts w:hint="cs"/>
          <w:sz w:val="28"/>
          <w:rtl/>
        </w:rPr>
        <w:t xml:space="preserve"> (שם, 1)</w:t>
      </w:r>
      <w:r>
        <w:rPr>
          <w:rFonts w:hint="cs"/>
          <w:sz w:val="28"/>
          <w:rtl/>
        </w:rPr>
        <w:t xml:space="preserve">. החלטה זאת של בית המשפט מעלה מיד שאלה מהותית </w:t>
      </w:r>
      <w:r>
        <w:rPr>
          <w:sz w:val="28"/>
          <w:rtl/>
        </w:rPr>
        <w:t>–</w:t>
      </w:r>
      <w:r>
        <w:rPr>
          <w:rFonts w:hint="cs"/>
          <w:sz w:val="28"/>
          <w:rtl/>
        </w:rPr>
        <w:t xml:space="preserve"> </w:t>
      </w:r>
      <w:r w:rsidRPr="00BE31A5">
        <w:rPr>
          <w:rFonts w:hint="cs"/>
          <w:b/>
          <w:bCs/>
          <w:sz w:val="28"/>
          <w:rtl/>
        </w:rPr>
        <w:t>במה מותר מינוי שר בממשלה ממינוי ראש המטה הכללי?</w:t>
      </w:r>
      <w:r>
        <w:rPr>
          <w:rFonts w:hint="cs"/>
          <w:sz w:val="28"/>
          <w:rtl/>
        </w:rPr>
        <w:t xml:space="preserve"> בהחלטתו מספק בית המשפט שורה של </w:t>
      </w:r>
      <w:r>
        <w:rPr>
          <w:rFonts w:hint="cs"/>
          <w:sz w:val="28"/>
          <w:rtl/>
        </w:rPr>
        <w:lastRenderedPageBreak/>
        <w:t>טיעונים שהנחו אותו בפסיקתו</w:t>
      </w:r>
      <w:r w:rsidR="00F91B37">
        <w:rPr>
          <w:rFonts w:hint="cs"/>
          <w:sz w:val="28"/>
          <w:rtl/>
        </w:rPr>
        <w:t xml:space="preserve">. </w:t>
      </w:r>
      <w:r>
        <w:rPr>
          <w:rFonts w:hint="cs"/>
          <w:sz w:val="28"/>
          <w:rtl/>
        </w:rPr>
        <w:t xml:space="preserve">מתוכם חשוב לעמוד על </w:t>
      </w:r>
      <w:r w:rsidR="00251AD9">
        <w:rPr>
          <w:rFonts w:hint="cs"/>
          <w:sz w:val="28"/>
          <w:rtl/>
        </w:rPr>
        <w:t>שני</w:t>
      </w:r>
      <w:r>
        <w:rPr>
          <w:rFonts w:hint="cs"/>
          <w:sz w:val="28"/>
          <w:rtl/>
        </w:rPr>
        <w:t xml:space="preserve"> טיעונים עקרוניים שמצביעים על ההבחנה בין מינוי לתפקיד שר לבין מינוי עובד ציבור בכיר:</w:t>
      </w:r>
    </w:p>
    <w:p w:rsidR="006D4E8C" w:rsidRDefault="006D4E8C" w:rsidP="005C2030">
      <w:pPr>
        <w:pStyle w:val="a3"/>
        <w:numPr>
          <w:ilvl w:val="0"/>
          <w:numId w:val="32"/>
        </w:numPr>
        <w:rPr>
          <w:sz w:val="28"/>
        </w:rPr>
      </w:pPr>
      <w:r w:rsidRPr="00BE31A5">
        <w:rPr>
          <w:rFonts w:hint="cs"/>
          <w:b/>
          <w:bCs/>
          <w:sz w:val="28"/>
          <w:rtl/>
        </w:rPr>
        <w:t xml:space="preserve">השיקולים המנחים את המינוי </w:t>
      </w:r>
      <w:r w:rsidRPr="00BE31A5">
        <w:rPr>
          <w:b/>
          <w:bCs/>
          <w:sz w:val="28"/>
          <w:rtl/>
        </w:rPr>
        <w:t>–</w:t>
      </w:r>
      <w:r w:rsidR="00251AD9">
        <w:rPr>
          <w:rFonts w:hint="cs"/>
          <w:sz w:val="28"/>
          <w:rtl/>
        </w:rPr>
        <w:t xml:space="preserve"> בעוד שמינוי עובדי ציבור צריך להיבחן בשיקולים של מקצועיות והתאמה לתפקיד (בג"צ 1993/03, פסקה 31)</w:t>
      </w:r>
      <w:r w:rsidR="00FB689B">
        <w:rPr>
          <w:rFonts w:hint="cs"/>
          <w:sz w:val="28"/>
          <w:rtl/>
        </w:rPr>
        <w:t>,</w:t>
      </w:r>
      <w:r w:rsidR="005C2030">
        <w:rPr>
          <w:rFonts w:hint="cs"/>
          <w:sz w:val="28"/>
          <w:rtl/>
        </w:rPr>
        <w:t xml:space="preserve"> הרי שמינוי</w:t>
      </w:r>
      <w:r w:rsidR="00251AD9">
        <w:rPr>
          <w:rFonts w:hint="cs"/>
          <w:sz w:val="28"/>
          <w:rtl/>
        </w:rPr>
        <w:t xml:space="preserve"> של שרים אינו מתבסס רק </w:t>
      </w:r>
      <w:r w:rsidR="005C2030">
        <w:rPr>
          <w:rFonts w:hint="cs"/>
          <w:sz w:val="28"/>
          <w:rtl/>
        </w:rPr>
        <w:t>על יכולותיהם וסגולותיהם אלא גם על</w:t>
      </w:r>
      <w:r w:rsidR="00251AD9">
        <w:rPr>
          <w:rFonts w:hint="cs"/>
          <w:sz w:val="28"/>
          <w:rtl/>
        </w:rPr>
        <w:t xml:space="preserve"> אינטרסים מפלגתיים וקואליציוניים. לאור זאת, </w:t>
      </w:r>
      <w:r w:rsidR="00251AD9" w:rsidRPr="00BE31A5">
        <w:rPr>
          <w:rFonts w:hint="cs"/>
          <w:b/>
          <w:bCs/>
          <w:sz w:val="28"/>
          <w:rtl/>
        </w:rPr>
        <w:t>מרחב שיקול הדעת שניתן לראש הממשלה בבואו למנות שר הוא רחב יותר ממרחב שיקול הדעת במינוי עובד ציבור</w:t>
      </w:r>
      <w:r w:rsidR="00251AD9">
        <w:rPr>
          <w:rFonts w:hint="cs"/>
          <w:sz w:val="28"/>
          <w:rtl/>
        </w:rPr>
        <w:t xml:space="preserve"> וכפועל יוצא מרחב ההתערבות של בית המשפט בהחלטה מצומצם יותר.</w:t>
      </w:r>
    </w:p>
    <w:p w:rsidR="00251AD9" w:rsidRDefault="001F2AA1" w:rsidP="006D4E8C">
      <w:pPr>
        <w:pStyle w:val="a3"/>
        <w:numPr>
          <w:ilvl w:val="0"/>
          <w:numId w:val="32"/>
        </w:numPr>
        <w:rPr>
          <w:sz w:val="28"/>
        </w:rPr>
      </w:pPr>
      <w:r w:rsidRPr="00BE31A5">
        <w:rPr>
          <w:rFonts w:hint="cs"/>
          <w:b/>
          <w:bCs/>
          <w:sz w:val="28"/>
          <w:rtl/>
        </w:rPr>
        <w:t>ההבדל בין עובד ציבור לנבחר ציבור</w:t>
      </w:r>
      <w:r w:rsidR="00251AD9" w:rsidRPr="00BE31A5">
        <w:rPr>
          <w:rFonts w:hint="cs"/>
          <w:b/>
          <w:bCs/>
          <w:sz w:val="28"/>
          <w:rtl/>
        </w:rPr>
        <w:t xml:space="preserve">  -</w:t>
      </w:r>
      <w:r w:rsidR="00251AD9">
        <w:rPr>
          <w:rFonts w:hint="cs"/>
          <w:sz w:val="28"/>
          <w:rtl/>
        </w:rPr>
        <w:t xml:space="preserve"> בניגוד לעובד ציבור, הרי ששר הוא נבחר ציבור. בית המשפט מתייחס לכך שאחרי ביטול מינויו</w:t>
      </w:r>
      <w:r w:rsidR="00FB689B">
        <w:rPr>
          <w:rFonts w:hint="cs"/>
          <w:sz w:val="28"/>
          <w:rtl/>
        </w:rPr>
        <w:t>,</w:t>
      </w:r>
      <w:r w:rsidR="00251AD9">
        <w:rPr>
          <w:rFonts w:hint="cs"/>
          <w:sz w:val="28"/>
          <w:rtl/>
        </w:rPr>
        <w:t xml:space="preserve"> האלוף (במיל') </w:t>
      </w:r>
      <w:proofErr w:type="spellStart"/>
      <w:r w:rsidR="00251AD9">
        <w:rPr>
          <w:rFonts w:hint="cs"/>
          <w:sz w:val="28"/>
          <w:rtl/>
        </w:rPr>
        <w:t>גלנט</w:t>
      </w:r>
      <w:proofErr w:type="spellEnd"/>
      <w:r w:rsidR="00251AD9">
        <w:rPr>
          <w:rFonts w:hint="cs"/>
          <w:sz w:val="28"/>
          <w:rtl/>
        </w:rPr>
        <w:t>, שלא הוגש נגדו כל כתב אישום בפרשת הקרקעות, עמד פעמיים למבחן הציבור: בחירתו לכנסת</w:t>
      </w:r>
      <w:r w:rsidR="00FB689B">
        <w:rPr>
          <w:rFonts w:hint="cs"/>
          <w:sz w:val="28"/>
          <w:rtl/>
        </w:rPr>
        <w:t>,</w:t>
      </w:r>
      <w:r w:rsidR="00251AD9">
        <w:rPr>
          <w:rFonts w:hint="cs"/>
          <w:sz w:val="28"/>
          <w:rtl/>
        </w:rPr>
        <w:t xml:space="preserve"> ובאישור הכנסת בחירתו לשר. לאור זאת, לטענת בית המשפט, נדרשות נסיבות קיצוניות </w:t>
      </w:r>
      <w:r>
        <w:rPr>
          <w:rFonts w:hint="cs"/>
          <w:sz w:val="28"/>
          <w:rtl/>
        </w:rPr>
        <w:t>כדי להצדיק התערבות בשיקול דעתו של ראש הממשלה, נסיבות שלדידו אינן מתקיימות בתיק זה.</w:t>
      </w:r>
    </w:p>
    <w:p w:rsidR="00E35D42" w:rsidRDefault="001F2AA1" w:rsidP="00F91B37">
      <w:pPr>
        <w:ind w:left="360"/>
        <w:rPr>
          <w:sz w:val="28"/>
          <w:rtl/>
        </w:rPr>
      </w:pPr>
      <w:r>
        <w:rPr>
          <w:rFonts w:hint="cs"/>
          <w:sz w:val="28"/>
          <w:rtl/>
        </w:rPr>
        <w:t>לצד טיעונים כלליים אלו, הציג בית המשפט שורה של טיעונים פרטניים שתומכים בהחלטתו לאשר את המינוי</w:t>
      </w:r>
      <w:r w:rsidR="00FB689B">
        <w:rPr>
          <w:rFonts w:hint="cs"/>
          <w:sz w:val="28"/>
          <w:rtl/>
        </w:rPr>
        <w:t>,</w:t>
      </w:r>
      <w:r>
        <w:rPr>
          <w:rFonts w:hint="cs"/>
          <w:sz w:val="28"/>
          <w:rtl/>
        </w:rPr>
        <w:t xml:space="preserve"> ובהם הזמן שעבר מאז העבירה, העובדה שחבר הכנסת </w:t>
      </w:r>
      <w:proofErr w:type="spellStart"/>
      <w:r>
        <w:rPr>
          <w:rFonts w:hint="cs"/>
          <w:sz w:val="28"/>
          <w:rtl/>
        </w:rPr>
        <w:t>גלנט</w:t>
      </w:r>
      <w:proofErr w:type="spellEnd"/>
      <w:r>
        <w:rPr>
          <w:rFonts w:hint="cs"/>
          <w:sz w:val="28"/>
          <w:rtl/>
        </w:rPr>
        <w:t xml:space="preserve"> התנצל ותיקן את הליקויים שנתגלו, העובדה שחבר הכנסת </w:t>
      </w:r>
      <w:proofErr w:type="spellStart"/>
      <w:r>
        <w:rPr>
          <w:rFonts w:hint="cs"/>
          <w:sz w:val="28"/>
          <w:rtl/>
        </w:rPr>
        <w:t>גלנט</w:t>
      </w:r>
      <w:proofErr w:type="spellEnd"/>
      <w:r>
        <w:rPr>
          <w:rFonts w:hint="cs"/>
          <w:sz w:val="28"/>
          <w:rtl/>
        </w:rPr>
        <w:t xml:space="preserve"> כבר "נענש" על העבירות כשבוטל מינויו לראש המטה הכללי</w:t>
      </w:r>
      <w:r w:rsidR="00FB689B">
        <w:rPr>
          <w:rFonts w:hint="cs"/>
          <w:sz w:val="28"/>
          <w:rtl/>
        </w:rPr>
        <w:t>,</w:t>
      </w:r>
      <w:r>
        <w:rPr>
          <w:rFonts w:hint="cs"/>
          <w:sz w:val="28"/>
          <w:rtl/>
        </w:rPr>
        <w:t xml:space="preserve"> וההתחשבות בתרומתו ארוכת השנים ל</w:t>
      </w:r>
      <w:r w:rsidR="00FB689B">
        <w:rPr>
          <w:rFonts w:hint="cs"/>
          <w:sz w:val="28"/>
          <w:rtl/>
        </w:rPr>
        <w:t>מען</w:t>
      </w:r>
      <w:r>
        <w:rPr>
          <w:rFonts w:hint="cs"/>
          <w:sz w:val="28"/>
          <w:rtl/>
        </w:rPr>
        <w:t xml:space="preserve"> מדינת ישראל</w:t>
      </w:r>
      <w:r w:rsidR="00FB689B">
        <w:rPr>
          <w:rFonts w:hint="cs"/>
          <w:sz w:val="28"/>
          <w:rtl/>
        </w:rPr>
        <w:t xml:space="preserve"> (</w:t>
      </w:r>
      <w:r w:rsidR="00F91B37">
        <w:rPr>
          <w:rFonts w:hint="cs"/>
          <w:sz w:val="28"/>
          <w:rtl/>
        </w:rPr>
        <w:t>בג"צ 3059/15</w:t>
      </w:r>
      <w:r w:rsidR="00F91B37" w:rsidRPr="00494638">
        <w:rPr>
          <w:rFonts w:hint="cs"/>
          <w:sz w:val="28"/>
          <w:rtl/>
        </w:rPr>
        <w:t xml:space="preserve">, </w:t>
      </w:r>
      <w:r w:rsidR="00F91B37" w:rsidRPr="00494638">
        <w:rPr>
          <w:rFonts w:hint="cs"/>
          <w:sz w:val="28"/>
          <w:rtl/>
        </w:rPr>
        <w:t>34-38,</w:t>
      </w:r>
      <w:r w:rsidR="00F91B37" w:rsidRPr="00494638">
        <w:rPr>
          <w:rFonts w:hint="cs"/>
          <w:sz w:val="28"/>
          <w:rtl/>
        </w:rPr>
        <w:t>2015</w:t>
      </w:r>
      <w:r w:rsidR="00F91B37">
        <w:rPr>
          <w:rFonts w:hint="cs"/>
          <w:sz w:val="28"/>
          <w:rtl/>
        </w:rPr>
        <w:t xml:space="preserve">). </w:t>
      </w:r>
      <w:r>
        <w:rPr>
          <w:rFonts w:hint="cs"/>
          <w:sz w:val="28"/>
          <w:rtl/>
        </w:rPr>
        <w:t xml:space="preserve"> </w:t>
      </w:r>
    </w:p>
    <w:p w:rsidR="001F2AA1" w:rsidRDefault="001F2AA1" w:rsidP="001F2AA1">
      <w:pPr>
        <w:ind w:left="360"/>
        <w:rPr>
          <w:b/>
          <w:bCs/>
          <w:sz w:val="28"/>
          <w:rtl/>
        </w:rPr>
      </w:pPr>
      <w:r w:rsidRPr="001F2AA1">
        <w:rPr>
          <w:rFonts w:hint="cs"/>
          <w:b/>
          <w:bCs/>
          <w:sz w:val="28"/>
          <w:rtl/>
        </w:rPr>
        <w:t>סיכום ומסקנות</w:t>
      </w:r>
    </w:p>
    <w:p w:rsidR="001F2AA1" w:rsidRDefault="001F2AA1" w:rsidP="001F2AA1">
      <w:pPr>
        <w:ind w:left="360"/>
        <w:rPr>
          <w:sz w:val="28"/>
          <w:rtl/>
        </w:rPr>
      </w:pPr>
      <w:r w:rsidRPr="001F2AA1">
        <w:rPr>
          <w:rFonts w:hint="cs"/>
          <w:sz w:val="28"/>
          <w:rtl/>
        </w:rPr>
        <w:t xml:space="preserve">שתי </w:t>
      </w:r>
      <w:r>
        <w:rPr>
          <w:rFonts w:hint="cs"/>
          <w:sz w:val="28"/>
          <w:rtl/>
        </w:rPr>
        <w:t>"</w:t>
      </w:r>
      <w:r w:rsidRPr="001F2AA1">
        <w:rPr>
          <w:rFonts w:hint="cs"/>
          <w:sz w:val="28"/>
          <w:rtl/>
        </w:rPr>
        <w:t xml:space="preserve">פרשיות </w:t>
      </w:r>
      <w:proofErr w:type="spellStart"/>
      <w:r>
        <w:rPr>
          <w:rFonts w:hint="cs"/>
          <w:sz w:val="28"/>
          <w:rtl/>
        </w:rPr>
        <w:t>גלנט</w:t>
      </w:r>
      <w:proofErr w:type="spellEnd"/>
      <w:r>
        <w:rPr>
          <w:rFonts w:hint="cs"/>
          <w:sz w:val="28"/>
          <w:rtl/>
        </w:rPr>
        <w:t xml:space="preserve">" מייצרות הזמנות יוצאת דופן לעמוד על ההבחנה שעושה בית המשפט העליון בין המצופה מעובד ציבור בכיר, בדגש על קצין בכיר בצבא,  לבין המצופה מנבחר ציבור. </w:t>
      </w:r>
    </w:p>
    <w:p w:rsidR="002C371B" w:rsidRDefault="002C371B" w:rsidP="002C371B">
      <w:pPr>
        <w:ind w:left="360"/>
        <w:rPr>
          <w:sz w:val="28"/>
          <w:rtl/>
        </w:rPr>
      </w:pPr>
      <w:r>
        <w:rPr>
          <w:rFonts w:hint="cs"/>
          <w:sz w:val="28"/>
          <w:rtl/>
        </w:rPr>
        <w:t xml:space="preserve">השורה התחתונה ברורה ואם לנסחה במילים בוטות הרי </w:t>
      </w:r>
      <w:r w:rsidRPr="0064766D">
        <w:rPr>
          <w:rFonts w:hint="cs"/>
          <w:b/>
          <w:bCs/>
          <w:sz w:val="28"/>
          <w:rtl/>
        </w:rPr>
        <w:t>שרף הציפיות מהקצין הבכיר גבוה מזה של השר.</w:t>
      </w:r>
      <w:r>
        <w:rPr>
          <w:rFonts w:hint="cs"/>
          <w:sz w:val="28"/>
          <w:rtl/>
        </w:rPr>
        <w:t xml:space="preserve"> </w:t>
      </w:r>
      <w:r w:rsidR="0064766D">
        <w:rPr>
          <w:rFonts w:hint="cs"/>
          <w:sz w:val="28"/>
          <w:rtl/>
        </w:rPr>
        <w:t xml:space="preserve">כך, </w:t>
      </w:r>
      <w:r>
        <w:rPr>
          <w:rFonts w:hint="cs"/>
          <w:sz w:val="28"/>
          <w:rtl/>
        </w:rPr>
        <w:t>על אותו בסיס עובדתי ובהתאם לאותו מסד טיעונים, אותו אדם נפסל לכהן כראש המטה הכללי ואושר לכהן כשר בממשלת ישראל.</w:t>
      </w:r>
    </w:p>
    <w:p w:rsidR="00BE31A5" w:rsidRDefault="002C371B" w:rsidP="002C371B">
      <w:pPr>
        <w:ind w:left="360"/>
        <w:rPr>
          <w:sz w:val="28"/>
          <w:rtl/>
        </w:rPr>
      </w:pPr>
      <w:r>
        <w:rPr>
          <w:rFonts w:hint="cs"/>
          <w:sz w:val="28"/>
          <w:rtl/>
        </w:rPr>
        <w:t xml:space="preserve">בית המשפט אינו מתעלם מפער זה ומספק לו הסברים הטמונים באופיין השונה של המערכות. בעוד הצבא הוא מערכת מקצועית ממונה, הממשלה היא מערכת </w:t>
      </w:r>
      <w:r>
        <w:rPr>
          <w:rFonts w:hint="cs"/>
          <w:sz w:val="28"/>
          <w:rtl/>
        </w:rPr>
        <w:lastRenderedPageBreak/>
        <w:t>נבחרת. כפועל יוצא מנעד השיקולים שנבחנים סביב מינוי שר הוא רחב יותר מאשר השיקול המקצועי והערכי גרידא</w:t>
      </w:r>
      <w:r w:rsidR="00542BDA">
        <w:rPr>
          <w:rFonts w:hint="cs"/>
          <w:sz w:val="28"/>
          <w:rtl/>
        </w:rPr>
        <w:t>,</w:t>
      </w:r>
      <w:r>
        <w:rPr>
          <w:rFonts w:hint="cs"/>
          <w:sz w:val="28"/>
          <w:rtl/>
        </w:rPr>
        <w:t xml:space="preserve"> ומעורבים בו שיקולים פוליטיים שונים.</w:t>
      </w:r>
    </w:p>
    <w:p w:rsidR="00BE31A5" w:rsidRDefault="002C371B" w:rsidP="005C2030">
      <w:pPr>
        <w:ind w:left="360"/>
        <w:rPr>
          <w:sz w:val="28"/>
          <w:rtl/>
        </w:rPr>
      </w:pPr>
      <w:r>
        <w:rPr>
          <w:rFonts w:hint="cs"/>
          <w:sz w:val="28"/>
          <w:rtl/>
        </w:rPr>
        <w:t>במילים אחרות</w:t>
      </w:r>
      <w:r w:rsidR="00542BDA">
        <w:rPr>
          <w:rFonts w:hint="cs"/>
          <w:sz w:val="28"/>
          <w:rtl/>
        </w:rPr>
        <w:t>,</w:t>
      </w:r>
      <w:r>
        <w:rPr>
          <w:rFonts w:hint="cs"/>
          <w:sz w:val="28"/>
          <w:rtl/>
        </w:rPr>
        <w:t xml:space="preserve"> </w:t>
      </w:r>
      <w:r w:rsidRPr="0064766D">
        <w:rPr>
          <w:rFonts w:hint="cs"/>
          <w:b/>
          <w:bCs/>
          <w:sz w:val="28"/>
          <w:rtl/>
        </w:rPr>
        <w:t xml:space="preserve">במערכת הפוליטית הנבחרת, במתכונת הנוכחית, טבועה פשרה מסוימת בין רכיבים של </w:t>
      </w:r>
      <w:r w:rsidR="005C2030">
        <w:rPr>
          <w:rFonts w:hint="cs"/>
          <w:b/>
          <w:bCs/>
          <w:sz w:val="28"/>
          <w:rtl/>
        </w:rPr>
        <w:t>ערכיות,</w:t>
      </w:r>
      <w:bookmarkStart w:id="0" w:name="_GoBack"/>
      <w:bookmarkEnd w:id="0"/>
      <w:r w:rsidR="005C2030">
        <w:rPr>
          <w:rFonts w:hint="cs"/>
          <w:b/>
          <w:bCs/>
          <w:sz w:val="28"/>
          <w:rtl/>
        </w:rPr>
        <w:t xml:space="preserve"> ולעיתים מקצועיות,</w:t>
      </w:r>
      <w:r w:rsidRPr="0064766D">
        <w:rPr>
          <w:rFonts w:hint="cs"/>
          <w:b/>
          <w:bCs/>
          <w:sz w:val="28"/>
          <w:rtl/>
        </w:rPr>
        <w:t xml:space="preserve"> לבין שיקולים פוליטיים</w:t>
      </w:r>
      <w:r>
        <w:rPr>
          <w:rFonts w:hint="cs"/>
          <w:sz w:val="28"/>
          <w:rtl/>
        </w:rPr>
        <w:t xml:space="preserve">. המרחב הזה הוא לא בלתי מוגבל, ובמקרים של חוסר סבירות קיצוני בית המשפט יכול להתערב, אך רף ההתערבות הוא גבוה. </w:t>
      </w:r>
    </w:p>
    <w:p w:rsidR="002C371B" w:rsidRDefault="002C371B" w:rsidP="002C371B">
      <w:pPr>
        <w:ind w:left="360"/>
        <w:rPr>
          <w:sz w:val="28"/>
          <w:rtl/>
        </w:rPr>
      </w:pPr>
      <w:r>
        <w:rPr>
          <w:rFonts w:hint="cs"/>
          <w:sz w:val="28"/>
          <w:rtl/>
        </w:rPr>
        <w:t xml:space="preserve">בנוסף, במערכת הפוליטית קיים מדד עוצמתי נוסף שמאזן את השיקול המקצועי והערכי והוא רצון הציבור. אם הציבור בחר אדם מסוים, למרות ליקויים או ספקות באשר לדמותו הערכית, הרי שמרחב השיקול להתערבות של בית המשפט מצטמצם עוד יותר ומתכנס למקרים של חוסר סבירות קיצוני. </w:t>
      </w:r>
    </w:p>
    <w:p w:rsidR="002C371B" w:rsidRDefault="002C371B" w:rsidP="00F91B37">
      <w:pPr>
        <w:ind w:left="360"/>
        <w:rPr>
          <w:sz w:val="28"/>
          <w:rtl/>
        </w:rPr>
      </w:pPr>
      <w:r>
        <w:rPr>
          <w:rFonts w:hint="cs"/>
          <w:sz w:val="28"/>
          <w:rtl/>
        </w:rPr>
        <w:t xml:space="preserve">לצד טיעונים מנומקים אלו, נראה שביסוד הפער בין היחס לקצין בכיר לבין נבחר ציבור עומדת סוגיה נוספת שבית המשפט העליון רומז לה בהחלטתו </w:t>
      </w:r>
      <w:r w:rsidR="00FD1447">
        <w:rPr>
          <w:rFonts w:hint="cs"/>
          <w:sz w:val="28"/>
          <w:rtl/>
        </w:rPr>
        <w:t xml:space="preserve">לאשר את מינוי חבר הכנסת </w:t>
      </w:r>
      <w:proofErr w:type="spellStart"/>
      <w:r w:rsidR="00FD1447">
        <w:rPr>
          <w:rFonts w:hint="cs"/>
          <w:sz w:val="28"/>
          <w:rtl/>
        </w:rPr>
        <w:t>גלנט</w:t>
      </w:r>
      <w:proofErr w:type="spellEnd"/>
      <w:r w:rsidR="00FD1447">
        <w:rPr>
          <w:rFonts w:hint="cs"/>
          <w:sz w:val="28"/>
          <w:rtl/>
        </w:rPr>
        <w:t xml:space="preserve"> לשר והיא </w:t>
      </w:r>
      <w:r w:rsidR="00FD1447" w:rsidRPr="0064766D">
        <w:rPr>
          <w:rFonts w:hint="cs"/>
          <w:b/>
          <w:bCs/>
          <w:sz w:val="28"/>
          <w:rtl/>
        </w:rPr>
        <w:t>שאלת האתיקה</w:t>
      </w:r>
      <w:r w:rsidR="00FD1447">
        <w:rPr>
          <w:rFonts w:hint="cs"/>
          <w:sz w:val="28"/>
          <w:rtl/>
        </w:rPr>
        <w:t>. בפסקה 28 לפסק הדין מעיר השופט מלצר</w:t>
      </w:r>
      <w:r w:rsidR="00257460">
        <w:rPr>
          <w:rFonts w:hint="cs"/>
          <w:sz w:val="28"/>
          <w:rtl/>
        </w:rPr>
        <w:t>,</w:t>
      </w:r>
      <w:r w:rsidR="00FD1447">
        <w:rPr>
          <w:rFonts w:hint="cs"/>
          <w:sz w:val="28"/>
          <w:rtl/>
        </w:rPr>
        <w:t xml:space="preserve"> כי עד כה לא הותקן קוד אתי לחברי הממשלה, חרף </w:t>
      </w:r>
      <w:r w:rsidR="00542BDA">
        <w:rPr>
          <w:rFonts w:hint="cs"/>
          <w:sz w:val="28"/>
          <w:rtl/>
        </w:rPr>
        <w:t xml:space="preserve">פעילותה </w:t>
      </w:r>
      <w:r w:rsidR="00FD1447">
        <w:rPr>
          <w:rFonts w:hint="cs"/>
          <w:sz w:val="28"/>
          <w:rtl/>
        </w:rPr>
        <w:t>של ועדה ציבורית וועדת שרים בנושא</w:t>
      </w:r>
      <w:r w:rsidR="00A44F0F">
        <w:rPr>
          <w:rFonts w:hint="cs"/>
          <w:sz w:val="28"/>
          <w:rtl/>
        </w:rPr>
        <w:t xml:space="preserve"> </w:t>
      </w:r>
      <w:r w:rsidR="00F91B37">
        <w:rPr>
          <w:rFonts w:hint="cs"/>
          <w:sz w:val="28"/>
          <w:rtl/>
        </w:rPr>
        <w:t>(בג"צ 3059/15</w:t>
      </w:r>
      <w:r w:rsidR="00F91B37" w:rsidRPr="00494638">
        <w:rPr>
          <w:rFonts w:hint="cs"/>
          <w:sz w:val="28"/>
          <w:rtl/>
        </w:rPr>
        <w:t>, 2015</w:t>
      </w:r>
      <w:r w:rsidR="00F91B37">
        <w:rPr>
          <w:rFonts w:hint="cs"/>
          <w:sz w:val="28"/>
          <w:rtl/>
        </w:rPr>
        <w:t>, 33</w:t>
      </w:r>
      <w:r w:rsidR="00F91B37">
        <w:rPr>
          <w:rFonts w:hint="cs"/>
          <w:sz w:val="28"/>
          <w:rtl/>
        </w:rPr>
        <w:t>)</w:t>
      </w:r>
      <w:r w:rsidR="00FD1447">
        <w:rPr>
          <w:rFonts w:hint="cs"/>
          <w:sz w:val="28"/>
          <w:rtl/>
        </w:rPr>
        <w:t>. בראיית בית המשפט אם היה קוד אתי כזה, שמתייחס לציפיות הערכיות מהשרים</w:t>
      </w:r>
      <w:r w:rsidR="00363DAB">
        <w:rPr>
          <w:rFonts w:hint="cs"/>
          <w:sz w:val="28"/>
          <w:rtl/>
        </w:rPr>
        <w:t>,</w:t>
      </w:r>
      <w:r w:rsidR="00FD1447">
        <w:rPr>
          <w:rFonts w:hint="cs"/>
          <w:sz w:val="28"/>
          <w:rtl/>
        </w:rPr>
        <w:t xml:space="preserve"> הם היו יכולים לשמש כ"אמת מ</w:t>
      </w:r>
      <w:r w:rsidR="00A44F0F">
        <w:rPr>
          <w:rFonts w:hint="cs"/>
          <w:sz w:val="28"/>
          <w:rtl/>
        </w:rPr>
        <w:t xml:space="preserve">ידה נוספת" בידי ראש הממשלה בשאלה האם המינוי </w:t>
      </w:r>
      <w:r w:rsidR="00FD1447">
        <w:rPr>
          <w:rFonts w:hint="cs"/>
          <w:sz w:val="28"/>
          <w:rtl/>
        </w:rPr>
        <w:t>ראוי</w:t>
      </w:r>
      <w:r w:rsidR="00A44F0F">
        <w:rPr>
          <w:rFonts w:hint="cs"/>
          <w:sz w:val="28"/>
          <w:rtl/>
        </w:rPr>
        <w:t>?</w:t>
      </w:r>
      <w:r w:rsidR="00FD1447">
        <w:rPr>
          <w:rFonts w:hint="cs"/>
          <w:sz w:val="28"/>
          <w:rtl/>
        </w:rPr>
        <w:t xml:space="preserve"> (להבדיל מה</w:t>
      </w:r>
      <w:r w:rsidR="00A44F0F">
        <w:rPr>
          <w:rFonts w:hint="cs"/>
          <w:sz w:val="28"/>
          <w:rtl/>
        </w:rPr>
        <w:t>שאלה האם ה</w:t>
      </w:r>
      <w:r w:rsidR="00FD1447">
        <w:rPr>
          <w:rFonts w:hint="cs"/>
          <w:sz w:val="28"/>
          <w:rtl/>
        </w:rPr>
        <w:t xml:space="preserve">מינוי החוקי). </w:t>
      </w:r>
    </w:p>
    <w:p w:rsidR="00A86B8E" w:rsidRDefault="00FD1447" w:rsidP="00A86B8E">
      <w:pPr>
        <w:ind w:left="360"/>
        <w:rPr>
          <w:sz w:val="28"/>
          <w:rtl/>
        </w:rPr>
      </w:pPr>
      <w:r>
        <w:rPr>
          <w:rFonts w:hint="cs"/>
          <w:sz w:val="28"/>
          <w:rtl/>
        </w:rPr>
        <w:t>אמירה זאת של בית המשפט מכוונת ל</w:t>
      </w:r>
      <w:r w:rsidR="00A26657">
        <w:rPr>
          <w:rFonts w:hint="cs"/>
          <w:sz w:val="28"/>
          <w:rtl/>
        </w:rPr>
        <w:t>תופעה שנראה</w:t>
      </w:r>
      <w:r w:rsidR="00363DAB">
        <w:rPr>
          <w:rFonts w:hint="cs"/>
          <w:sz w:val="28"/>
          <w:rtl/>
        </w:rPr>
        <w:t>,</w:t>
      </w:r>
      <w:r w:rsidR="00A26657">
        <w:rPr>
          <w:rFonts w:hint="cs"/>
          <w:sz w:val="28"/>
          <w:rtl/>
        </w:rPr>
        <w:t xml:space="preserve"> שמתגברת בשנים האחרונות</w:t>
      </w:r>
      <w:r w:rsidR="00363DAB">
        <w:rPr>
          <w:rFonts w:hint="cs"/>
          <w:sz w:val="28"/>
          <w:rtl/>
        </w:rPr>
        <w:t>,</w:t>
      </w:r>
      <w:r w:rsidR="00A26657">
        <w:rPr>
          <w:rFonts w:hint="cs"/>
          <w:sz w:val="28"/>
          <w:rtl/>
        </w:rPr>
        <w:t xml:space="preserve"> של פער הולך ומתרחב </w:t>
      </w:r>
      <w:r w:rsidR="00A26657" w:rsidRPr="0064766D">
        <w:rPr>
          <w:rFonts w:hint="cs"/>
          <w:b/>
          <w:bCs/>
          <w:sz w:val="28"/>
          <w:rtl/>
        </w:rPr>
        <w:t>בין הדרישות של הצבא</w:t>
      </w:r>
      <w:r w:rsidR="00A26657">
        <w:rPr>
          <w:rFonts w:hint="cs"/>
          <w:sz w:val="28"/>
          <w:rtl/>
        </w:rPr>
        <w:t xml:space="preserve"> (כמו גם המשטרה וגופים ציבוריים אחרים) </w:t>
      </w:r>
      <w:r w:rsidR="00A26657" w:rsidRPr="0064766D">
        <w:rPr>
          <w:rFonts w:hint="cs"/>
          <w:b/>
          <w:bCs/>
          <w:sz w:val="28"/>
          <w:rtl/>
        </w:rPr>
        <w:t>ממפקדיו</w:t>
      </w:r>
      <w:r w:rsidR="00363DAB">
        <w:rPr>
          <w:rFonts w:hint="cs"/>
          <w:b/>
          <w:bCs/>
          <w:sz w:val="28"/>
          <w:rtl/>
        </w:rPr>
        <w:t>,</w:t>
      </w:r>
      <w:r w:rsidR="00A26657" w:rsidRPr="0064766D">
        <w:rPr>
          <w:rFonts w:hint="cs"/>
          <w:b/>
          <w:bCs/>
          <w:sz w:val="28"/>
          <w:rtl/>
        </w:rPr>
        <w:t xml:space="preserve"> לבין דרישות הדרג הנבחר משריו.</w:t>
      </w:r>
      <w:r w:rsidR="00A26657">
        <w:rPr>
          <w:rFonts w:hint="cs"/>
          <w:sz w:val="28"/>
          <w:rtl/>
        </w:rPr>
        <w:t xml:space="preserve"> </w:t>
      </w:r>
    </w:p>
    <w:p w:rsidR="00257460" w:rsidRDefault="00A26657" w:rsidP="007539AB">
      <w:pPr>
        <w:ind w:left="360"/>
        <w:rPr>
          <w:sz w:val="28"/>
          <w:rtl/>
        </w:rPr>
      </w:pPr>
      <w:r>
        <w:rPr>
          <w:rFonts w:hint="cs"/>
          <w:sz w:val="28"/>
          <w:rtl/>
        </w:rPr>
        <w:t xml:space="preserve">בעוד שבית הדין הצבאי, בשורה של פסיקות </w:t>
      </w:r>
      <w:r w:rsidR="00A86B8E">
        <w:rPr>
          <w:rFonts w:hint="cs"/>
          <w:sz w:val="28"/>
          <w:rtl/>
        </w:rPr>
        <w:t xml:space="preserve">(פרשת </w:t>
      </w:r>
      <w:proofErr w:type="spellStart"/>
      <w:r w:rsidR="00A86B8E">
        <w:rPr>
          <w:rFonts w:hint="cs"/>
          <w:sz w:val="28"/>
          <w:rtl/>
        </w:rPr>
        <w:t>צ'יקו</w:t>
      </w:r>
      <w:proofErr w:type="spellEnd"/>
      <w:r w:rsidR="00A86B8E">
        <w:rPr>
          <w:rFonts w:hint="cs"/>
          <w:sz w:val="28"/>
          <w:rtl/>
        </w:rPr>
        <w:t xml:space="preserve"> תמיר, פרשת </w:t>
      </w:r>
      <w:proofErr w:type="spellStart"/>
      <w:r w:rsidR="00A86B8E">
        <w:rPr>
          <w:rFonts w:hint="cs"/>
          <w:sz w:val="28"/>
          <w:rtl/>
        </w:rPr>
        <w:t>עמאד</w:t>
      </w:r>
      <w:proofErr w:type="spellEnd"/>
      <w:r w:rsidR="00A86B8E">
        <w:rPr>
          <w:rFonts w:hint="cs"/>
          <w:sz w:val="28"/>
          <w:rtl/>
        </w:rPr>
        <w:t xml:space="preserve"> </w:t>
      </w:r>
      <w:proofErr w:type="spellStart"/>
      <w:r w:rsidR="00A86B8E">
        <w:rPr>
          <w:rFonts w:hint="cs"/>
          <w:sz w:val="28"/>
          <w:rtl/>
        </w:rPr>
        <w:t>פארס</w:t>
      </w:r>
      <w:proofErr w:type="spellEnd"/>
      <w:r w:rsidR="00363DAB">
        <w:rPr>
          <w:rFonts w:hint="cs"/>
          <w:sz w:val="28"/>
          <w:rtl/>
        </w:rPr>
        <w:t>,</w:t>
      </w:r>
      <w:r w:rsidR="00A86B8E">
        <w:rPr>
          <w:rFonts w:hint="cs"/>
          <w:sz w:val="28"/>
          <w:rtl/>
        </w:rPr>
        <w:t xml:space="preserve"> ואפילו החלטתו של האלוף </w:t>
      </w:r>
      <w:proofErr w:type="spellStart"/>
      <w:r w:rsidR="00A86B8E">
        <w:rPr>
          <w:rFonts w:hint="cs"/>
          <w:sz w:val="28"/>
          <w:rtl/>
        </w:rPr>
        <w:t>טופלנסקי</w:t>
      </w:r>
      <w:proofErr w:type="spellEnd"/>
      <w:r w:rsidR="00A86B8E">
        <w:rPr>
          <w:rFonts w:hint="cs"/>
          <w:sz w:val="28"/>
          <w:rtl/>
        </w:rPr>
        <w:t xml:space="preserve"> לסיים את תפקידו לאור עבירה של אובדן מחשב צבאי</w:t>
      </w:r>
      <w:r w:rsidR="00257460">
        <w:rPr>
          <w:rFonts w:hint="cs"/>
          <w:sz w:val="28"/>
          <w:rtl/>
        </w:rPr>
        <w:t xml:space="preserve"> שהתקבלה ובטרם </w:t>
      </w:r>
      <w:r w:rsidR="00A86B8E">
        <w:rPr>
          <w:rFonts w:hint="cs"/>
          <w:sz w:val="28"/>
          <w:rtl/>
        </w:rPr>
        <w:t>חל כל הליך משפטי בעניינו</w:t>
      </w:r>
      <w:r w:rsidR="007539AB">
        <w:rPr>
          <w:rStyle w:val="a6"/>
          <w:sz w:val="28"/>
          <w:rtl/>
        </w:rPr>
        <w:footnoteReference w:id="3"/>
      </w:r>
      <w:r w:rsidR="00A86B8E">
        <w:rPr>
          <w:rFonts w:hint="cs"/>
          <w:sz w:val="28"/>
          <w:rtl/>
        </w:rPr>
        <w:t>) הציב רף גבוה מאד לקצינים הבכירים, הרי שבשורה של תיקים שהגיעו לבית המשפט העליון סביב מינוי שרים נראית מגמה הפוכה</w:t>
      </w:r>
      <w:r w:rsidR="007539AB">
        <w:rPr>
          <w:rFonts w:hint="cs"/>
          <w:sz w:val="28"/>
          <w:rtl/>
        </w:rPr>
        <w:t>.</w:t>
      </w:r>
    </w:p>
    <w:p w:rsidR="00A86B8E" w:rsidRPr="0064766D" w:rsidRDefault="00A86B8E" w:rsidP="00257460">
      <w:pPr>
        <w:ind w:left="360"/>
        <w:rPr>
          <w:b/>
          <w:bCs/>
          <w:sz w:val="28"/>
          <w:rtl/>
        </w:rPr>
      </w:pPr>
      <w:r>
        <w:rPr>
          <w:rFonts w:hint="cs"/>
          <w:sz w:val="28"/>
          <w:rtl/>
        </w:rPr>
        <w:t xml:space="preserve">כך, החלטת בית המשפט לאשר את מינוי השר </w:t>
      </w:r>
      <w:proofErr w:type="spellStart"/>
      <w:r>
        <w:rPr>
          <w:rFonts w:hint="cs"/>
          <w:sz w:val="28"/>
          <w:rtl/>
        </w:rPr>
        <w:t>גלנט</w:t>
      </w:r>
      <w:proofErr w:type="spellEnd"/>
      <w:r>
        <w:rPr>
          <w:rFonts w:hint="cs"/>
          <w:sz w:val="28"/>
          <w:rtl/>
        </w:rPr>
        <w:t xml:space="preserve">, החלטתו לאפשר לראש הממשלה למנות את השר דרעי, עבריין מורשע, לכהן כשר במשרד שבו עבר את </w:t>
      </w:r>
      <w:r>
        <w:rPr>
          <w:rFonts w:hint="cs"/>
          <w:sz w:val="28"/>
          <w:rtl/>
        </w:rPr>
        <w:lastRenderedPageBreak/>
        <w:t>עברותיו</w:t>
      </w:r>
      <w:r w:rsidR="00663AAA">
        <w:rPr>
          <w:rFonts w:hint="cs"/>
          <w:sz w:val="28"/>
          <w:rtl/>
        </w:rPr>
        <w:t>,</w:t>
      </w:r>
      <w:r>
        <w:rPr>
          <w:rFonts w:hint="cs"/>
          <w:sz w:val="28"/>
          <w:rtl/>
        </w:rPr>
        <w:t xml:space="preserve"> והחלטתו לאפשר לשר הנגבי להמשיך בתפקידו למרות כוונה להגיש נגדו כתב אישום</w:t>
      </w:r>
      <w:r w:rsidRPr="0064766D">
        <w:rPr>
          <w:rFonts w:hint="cs"/>
          <w:b/>
          <w:bCs/>
          <w:sz w:val="28"/>
          <w:rtl/>
        </w:rPr>
        <w:t>, כולן מצביעות על הצבת הרף הערכי קרוב מאד (עד חופף) לרף הפלילי.</w:t>
      </w:r>
    </w:p>
    <w:p w:rsidR="00FD1447" w:rsidRDefault="00A86B8E" w:rsidP="00F91B37">
      <w:pPr>
        <w:ind w:left="360"/>
        <w:rPr>
          <w:sz w:val="28"/>
          <w:rtl/>
        </w:rPr>
      </w:pPr>
      <w:r>
        <w:rPr>
          <w:rFonts w:hint="cs"/>
          <w:sz w:val="28"/>
          <w:rtl/>
        </w:rPr>
        <w:t>במילים אחרות</w:t>
      </w:r>
      <w:r w:rsidR="009A043F">
        <w:rPr>
          <w:rFonts w:hint="cs"/>
          <w:sz w:val="28"/>
          <w:rtl/>
        </w:rPr>
        <w:t>,</w:t>
      </w:r>
      <w:r>
        <w:rPr>
          <w:rFonts w:hint="cs"/>
          <w:sz w:val="28"/>
          <w:rtl/>
        </w:rPr>
        <w:t xml:space="preserve"> בעוד הצבא </w:t>
      </w:r>
      <w:r w:rsidR="00A44F0F">
        <w:rPr>
          <w:rFonts w:hint="cs"/>
          <w:sz w:val="28"/>
          <w:rtl/>
        </w:rPr>
        <w:t xml:space="preserve">מכוון </w:t>
      </w:r>
      <w:r w:rsidRPr="0064766D">
        <w:rPr>
          <w:rFonts w:hint="cs"/>
          <w:b/>
          <w:bCs/>
          <w:sz w:val="28"/>
          <w:rtl/>
        </w:rPr>
        <w:t>למקסימום האפשרי</w:t>
      </w:r>
      <w:r>
        <w:rPr>
          <w:rFonts w:hint="cs"/>
          <w:sz w:val="28"/>
          <w:rtl/>
        </w:rPr>
        <w:t xml:space="preserve"> בדרישה הערכית </w:t>
      </w:r>
      <w:proofErr w:type="spellStart"/>
      <w:r w:rsidR="009A043F">
        <w:rPr>
          <w:rFonts w:hint="cs"/>
          <w:sz w:val="28"/>
          <w:rtl/>
        </w:rPr>
        <w:t>מבכירי</w:t>
      </w:r>
      <w:r w:rsidR="00F91B37">
        <w:rPr>
          <w:rFonts w:hint="cs"/>
          <w:sz w:val="28"/>
          <w:rtl/>
        </w:rPr>
        <w:t>ו</w:t>
      </w:r>
      <w:proofErr w:type="spellEnd"/>
      <w:r>
        <w:rPr>
          <w:rFonts w:hint="cs"/>
          <w:sz w:val="28"/>
          <w:rtl/>
        </w:rPr>
        <w:t xml:space="preserve">, הרי שהמערכת הפוליטית מכוונת </w:t>
      </w:r>
      <w:r w:rsidRPr="0064766D">
        <w:rPr>
          <w:rFonts w:hint="cs"/>
          <w:b/>
          <w:bCs/>
          <w:sz w:val="28"/>
          <w:rtl/>
        </w:rPr>
        <w:t>למינימום הנדרש</w:t>
      </w:r>
      <w:r>
        <w:rPr>
          <w:rFonts w:hint="cs"/>
          <w:sz w:val="28"/>
          <w:rtl/>
        </w:rPr>
        <w:t xml:space="preserve">. בהיעדר קוד אתי, או עמדה מנהיגותית שמחליטה לייצר מרחב ברור בין הסף לרף, הרי שמגמה זאת </w:t>
      </w:r>
      <w:r w:rsidR="0064766D">
        <w:rPr>
          <w:rFonts w:hint="cs"/>
          <w:sz w:val="28"/>
          <w:rtl/>
        </w:rPr>
        <w:t>אולי תעמוד במבחן החוקתי</w:t>
      </w:r>
      <w:r w:rsidR="00784005">
        <w:rPr>
          <w:rFonts w:hint="cs"/>
          <w:sz w:val="28"/>
          <w:rtl/>
        </w:rPr>
        <w:t>, אך עלולה לפגוע בערך המרכזי שעמד לנגד עיני בית המשפט העליון מרגע שהחל לעסוק בסוגיית המינויים</w:t>
      </w:r>
      <w:r w:rsidR="006C015A">
        <w:rPr>
          <w:rFonts w:hint="cs"/>
          <w:sz w:val="28"/>
          <w:rtl/>
        </w:rPr>
        <w:t>:</w:t>
      </w:r>
      <w:r w:rsidR="00784005">
        <w:rPr>
          <w:rFonts w:hint="cs"/>
          <w:sz w:val="28"/>
          <w:rtl/>
        </w:rPr>
        <w:t xml:space="preserve"> אמון הציבור במערכות השלטוניות. </w:t>
      </w:r>
    </w:p>
    <w:p w:rsidR="00165EA9" w:rsidRDefault="00165EA9">
      <w:pPr>
        <w:bidi w:val="0"/>
        <w:spacing w:line="259" w:lineRule="auto"/>
        <w:jc w:val="left"/>
        <w:rPr>
          <w:b/>
          <w:bCs/>
          <w:sz w:val="32"/>
          <w:szCs w:val="32"/>
        </w:rPr>
      </w:pPr>
      <w:r>
        <w:rPr>
          <w:b/>
          <w:bCs/>
          <w:sz w:val="32"/>
          <w:szCs w:val="32"/>
          <w:rtl/>
        </w:rPr>
        <w:br w:type="page"/>
      </w:r>
    </w:p>
    <w:p w:rsidR="004E5A72" w:rsidRDefault="00E35D42" w:rsidP="004F6E7D">
      <w:pPr>
        <w:rPr>
          <w:b/>
          <w:bCs/>
          <w:sz w:val="28"/>
          <w:rtl/>
        </w:rPr>
      </w:pPr>
      <w:r w:rsidRPr="00494638">
        <w:rPr>
          <w:rFonts w:hint="cs"/>
          <w:b/>
          <w:bCs/>
          <w:sz w:val="28"/>
          <w:rtl/>
        </w:rPr>
        <w:lastRenderedPageBreak/>
        <w:t>ביבליוגרפיה</w:t>
      </w:r>
    </w:p>
    <w:p w:rsidR="00F91B37" w:rsidRPr="00D25EBF" w:rsidRDefault="00F91B37" w:rsidP="00F91B37">
      <w:pPr>
        <w:ind w:left="360"/>
        <w:rPr>
          <w:sz w:val="28"/>
          <w:rtl/>
        </w:rPr>
      </w:pPr>
      <w:r>
        <w:rPr>
          <w:rtl/>
        </w:rPr>
        <w:t>בג״צ 93/4267</w:t>
      </w:r>
      <w:r>
        <w:rPr>
          <w:rFonts w:hint="cs"/>
          <w:rtl/>
        </w:rPr>
        <w:t>,</w:t>
      </w:r>
      <w:r>
        <w:rPr>
          <w:rtl/>
        </w:rPr>
        <w:t xml:space="preserve"> </w:t>
      </w:r>
      <w:proofErr w:type="spellStart"/>
      <w:r w:rsidRPr="00700869">
        <w:rPr>
          <w:b/>
          <w:bCs/>
          <w:rtl/>
        </w:rPr>
        <w:t>אמיתי</w:t>
      </w:r>
      <w:proofErr w:type="spellEnd"/>
      <w:r w:rsidRPr="00700869">
        <w:rPr>
          <w:b/>
          <w:bCs/>
          <w:rtl/>
        </w:rPr>
        <w:t xml:space="preserve"> נ׳ ראש ממשלת ישראל</w:t>
      </w:r>
      <w:r>
        <w:rPr>
          <w:rtl/>
        </w:rPr>
        <w:t xml:space="preserve">, פ״ד </w:t>
      </w:r>
      <w:proofErr w:type="spellStart"/>
      <w:r>
        <w:rPr>
          <w:rFonts w:hint="cs"/>
          <w:rtl/>
        </w:rPr>
        <w:t>מז</w:t>
      </w:r>
      <w:proofErr w:type="spellEnd"/>
      <w:r>
        <w:rPr>
          <w:rFonts w:hint="cs"/>
          <w:rtl/>
        </w:rPr>
        <w:t>(5)</w:t>
      </w:r>
      <w:r>
        <w:rPr>
          <w:rtl/>
        </w:rPr>
        <w:t xml:space="preserve"> </w:t>
      </w:r>
      <w:r>
        <w:rPr>
          <w:rFonts w:hint="cs"/>
          <w:rtl/>
        </w:rPr>
        <w:t>441</w:t>
      </w:r>
    </w:p>
    <w:p w:rsidR="00F91B37" w:rsidRDefault="00F91B37" w:rsidP="00F91B37">
      <w:pPr>
        <w:ind w:left="360"/>
        <w:rPr>
          <w:sz w:val="28"/>
          <w:rtl/>
        </w:rPr>
      </w:pPr>
      <w:r>
        <w:rPr>
          <w:rtl/>
        </w:rPr>
        <w:t xml:space="preserve">בג״צ </w:t>
      </w:r>
      <w:r>
        <w:rPr>
          <w:rFonts w:hint="cs"/>
          <w:rtl/>
        </w:rPr>
        <w:t>,</w:t>
      </w:r>
      <w:r>
        <w:rPr>
          <w:rtl/>
        </w:rPr>
        <w:t xml:space="preserve">92/6163 </w:t>
      </w:r>
      <w:r w:rsidRPr="00700869">
        <w:rPr>
          <w:b/>
          <w:bCs/>
          <w:rtl/>
        </w:rPr>
        <w:t>אייזנברג נ׳ שר הבינוי והשיכון</w:t>
      </w:r>
      <w:r>
        <w:rPr>
          <w:rtl/>
        </w:rPr>
        <w:t xml:space="preserve">, פ״ד </w:t>
      </w:r>
      <w:proofErr w:type="spellStart"/>
      <w:r>
        <w:rPr>
          <w:rFonts w:hint="cs"/>
          <w:rtl/>
        </w:rPr>
        <w:t>מז</w:t>
      </w:r>
      <w:proofErr w:type="spellEnd"/>
      <w:r>
        <w:rPr>
          <w:rFonts w:hint="cs"/>
          <w:rtl/>
        </w:rPr>
        <w:t xml:space="preserve"> (2)</w:t>
      </w:r>
      <w:r>
        <w:rPr>
          <w:rtl/>
        </w:rPr>
        <w:t xml:space="preserve"> </w:t>
      </w:r>
      <w:r>
        <w:rPr>
          <w:rFonts w:hint="cs"/>
          <w:rtl/>
        </w:rPr>
        <w:t>229</w:t>
      </w:r>
    </w:p>
    <w:p w:rsidR="00F91B37" w:rsidRPr="00700869" w:rsidRDefault="00F91B37" w:rsidP="007539AB">
      <w:pPr>
        <w:ind w:left="360"/>
        <w:rPr>
          <w:sz w:val="28"/>
          <w:rtl/>
        </w:rPr>
      </w:pPr>
      <w:r w:rsidRPr="00700869">
        <w:rPr>
          <w:rFonts w:hint="cs"/>
          <w:sz w:val="28"/>
          <w:rtl/>
        </w:rPr>
        <w:t>בג״צ</w:t>
      </w:r>
      <w:r w:rsidRPr="00700869">
        <w:rPr>
          <w:sz w:val="28"/>
          <w:rtl/>
        </w:rPr>
        <w:t xml:space="preserve"> 93/1843 </w:t>
      </w:r>
      <w:r w:rsidRPr="00700869">
        <w:rPr>
          <w:rFonts w:hint="cs"/>
          <w:b/>
          <w:bCs/>
          <w:sz w:val="28"/>
          <w:rtl/>
        </w:rPr>
        <w:t>פנחסי</w:t>
      </w:r>
      <w:r w:rsidRPr="00700869">
        <w:rPr>
          <w:b/>
          <w:bCs/>
          <w:sz w:val="28"/>
          <w:rtl/>
        </w:rPr>
        <w:t xml:space="preserve"> </w:t>
      </w:r>
      <w:r w:rsidRPr="00700869">
        <w:rPr>
          <w:rFonts w:hint="cs"/>
          <w:b/>
          <w:bCs/>
          <w:sz w:val="28"/>
          <w:rtl/>
        </w:rPr>
        <w:t>נ</w:t>
      </w:r>
      <w:r w:rsidR="007539AB">
        <w:rPr>
          <w:rFonts w:hint="cs"/>
          <w:b/>
          <w:bCs/>
          <w:sz w:val="28"/>
          <w:rtl/>
        </w:rPr>
        <w:t>'</w:t>
      </w:r>
      <w:r w:rsidRPr="00700869">
        <w:rPr>
          <w:b/>
          <w:bCs/>
          <w:sz w:val="28"/>
          <w:rtl/>
        </w:rPr>
        <w:t xml:space="preserve"> </w:t>
      </w:r>
      <w:r w:rsidRPr="00700869">
        <w:rPr>
          <w:rFonts w:hint="cs"/>
          <w:b/>
          <w:bCs/>
          <w:sz w:val="28"/>
          <w:rtl/>
        </w:rPr>
        <w:t>כנסת</w:t>
      </w:r>
      <w:r w:rsidRPr="00700869">
        <w:rPr>
          <w:b/>
          <w:bCs/>
          <w:sz w:val="28"/>
          <w:rtl/>
        </w:rPr>
        <w:t xml:space="preserve"> </w:t>
      </w:r>
      <w:r w:rsidRPr="00700869">
        <w:rPr>
          <w:rFonts w:hint="cs"/>
          <w:b/>
          <w:bCs/>
          <w:sz w:val="28"/>
          <w:rtl/>
        </w:rPr>
        <w:t>ישראל</w:t>
      </w:r>
      <w:r w:rsidRPr="00700869">
        <w:rPr>
          <w:sz w:val="28"/>
          <w:rtl/>
        </w:rPr>
        <w:t xml:space="preserve">, </w:t>
      </w:r>
      <w:r w:rsidRPr="00700869">
        <w:rPr>
          <w:rFonts w:hint="cs"/>
          <w:sz w:val="28"/>
          <w:rtl/>
        </w:rPr>
        <w:t>פ״ד</w:t>
      </w:r>
      <w:r w:rsidRPr="00700869">
        <w:rPr>
          <w:sz w:val="28"/>
          <w:rtl/>
        </w:rPr>
        <w:t xml:space="preserve"> </w:t>
      </w:r>
      <w:r w:rsidRPr="00700869">
        <w:rPr>
          <w:rFonts w:hint="cs"/>
          <w:sz w:val="28"/>
          <w:rtl/>
        </w:rPr>
        <w:t>מח</w:t>
      </w:r>
      <w:r>
        <w:rPr>
          <w:rFonts w:hint="cs"/>
          <w:sz w:val="28"/>
          <w:rtl/>
        </w:rPr>
        <w:t>(4)</w:t>
      </w:r>
      <w:r w:rsidRPr="00700869">
        <w:rPr>
          <w:sz w:val="28"/>
          <w:rtl/>
        </w:rPr>
        <w:t xml:space="preserve"> </w:t>
      </w:r>
      <w:r>
        <w:rPr>
          <w:rFonts w:hint="cs"/>
          <w:sz w:val="28"/>
          <w:rtl/>
        </w:rPr>
        <w:t>492</w:t>
      </w:r>
      <w:r w:rsidRPr="00700869">
        <w:rPr>
          <w:sz w:val="28"/>
          <w:rtl/>
        </w:rPr>
        <w:t>.</w:t>
      </w:r>
    </w:p>
    <w:p w:rsidR="00F91B37" w:rsidRPr="00D25EBF" w:rsidRDefault="00F91B37" w:rsidP="00F91B37">
      <w:pPr>
        <w:ind w:left="360"/>
        <w:rPr>
          <w:rFonts w:hint="cs"/>
          <w:b/>
          <w:bCs/>
          <w:sz w:val="28"/>
          <w:rtl/>
        </w:rPr>
      </w:pPr>
      <w:r>
        <w:rPr>
          <w:rFonts w:hint="cs"/>
          <w:sz w:val="28"/>
          <w:rtl/>
        </w:rPr>
        <w:t xml:space="preserve">בג"צ 1284/99, </w:t>
      </w:r>
      <w:r>
        <w:rPr>
          <w:rFonts w:hint="cs"/>
          <w:b/>
          <w:bCs/>
          <w:sz w:val="28"/>
          <w:rtl/>
        </w:rPr>
        <w:t>פלונית נ' ראש המטה הכללי</w:t>
      </w:r>
      <w:r w:rsidR="007539AB">
        <w:rPr>
          <w:rFonts w:hint="cs"/>
          <w:b/>
          <w:bCs/>
          <w:sz w:val="28"/>
          <w:rtl/>
        </w:rPr>
        <w:t xml:space="preserve">, </w:t>
      </w:r>
      <w:r w:rsidR="007539AB" w:rsidRPr="00494638">
        <w:rPr>
          <w:rFonts w:hint="cs"/>
          <w:sz w:val="28"/>
          <w:rtl/>
        </w:rPr>
        <w:t xml:space="preserve">פ"ד </w:t>
      </w:r>
      <w:proofErr w:type="spellStart"/>
      <w:r w:rsidR="007539AB" w:rsidRPr="00494638">
        <w:rPr>
          <w:rFonts w:hint="cs"/>
          <w:sz w:val="28"/>
          <w:rtl/>
        </w:rPr>
        <w:t>נג</w:t>
      </w:r>
      <w:proofErr w:type="spellEnd"/>
      <w:r w:rsidR="007539AB" w:rsidRPr="00494638">
        <w:rPr>
          <w:rFonts w:hint="cs"/>
          <w:sz w:val="28"/>
          <w:rtl/>
        </w:rPr>
        <w:t xml:space="preserve"> (2) 62</w:t>
      </w:r>
      <w:r w:rsidRPr="00494638">
        <w:rPr>
          <w:rFonts w:hint="cs"/>
          <w:sz w:val="28"/>
          <w:rtl/>
        </w:rPr>
        <w:t xml:space="preserve">. </w:t>
      </w:r>
    </w:p>
    <w:p w:rsidR="00F91B37" w:rsidRDefault="00F91B37" w:rsidP="00F91B37">
      <w:pPr>
        <w:ind w:left="360"/>
        <w:rPr>
          <w:b/>
          <w:bCs/>
          <w:sz w:val="28"/>
          <w:rtl/>
        </w:rPr>
      </w:pPr>
      <w:r w:rsidRPr="00D25EBF">
        <w:rPr>
          <w:rFonts w:hint="cs"/>
          <w:sz w:val="28"/>
          <w:rtl/>
        </w:rPr>
        <w:t>בג"צ</w:t>
      </w:r>
      <w:r>
        <w:rPr>
          <w:rFonts w:hint="cs"/>
          <w:sz w:val="28"/>
          <w:rtl/>
        </w:rPr>
        <w:t xml:space="preserve"> 6770/10, </w:t>
      </w:r>
      <w:r>
        <w:rPr>
          <w:rFonts w:hint="cs"/>
          <w:b/>
          <w:bCs/>
          <w:sz w:val="28"/>
          <w:rtl/>
        </w:rPr>
        <w:t xml:space="preserve">מפלגת התנועה הירוקה נ' ממשלת ישראל. </w:t>
      </w:r>
    </w:p>
    <w:p w:rsidR="00F91B37" w:rsidRDefault="00F91B37" w:rsidP="00F91B37">
      <w:pPr>
        <w:ind w:left="360"/>
        <w:rPr>
          <w:sz w:val="28"/>
          <w:rtl/>
        </w:rPr>
      </w:pPr>
      <w:r>
        <w:rPr>
          <w:rFonts w:hint="cs"/>
          <w:sz w:val="28"/>
          <w:rtl/>
        </w:rPr>
        <w:t>בג"</w:t>
      </w:r>
      <w:r w:rsidR="007539AB">
        <w:rPr>
          <w:rFonts w:hint="cs"/>
          <w:sz w:val="28"/>
          <w:rtl/>
        </w:rPr>
        <w:t xml:space="preserve">צ </w:t>
      </w:r>
      <w:r>
        <w:rPr>
          <w:rFonts w:hint="cs"/>
          <w:sz w:val="28"/>
          <w:rtl/>
        </w:rPr>
        <w:t xml:space="preserve">823/10, </w:t>
      </w:r>
      <w:r>
        <w:rPr>
          <w:rFonts w:hint="cs"/>
          <w:b/>
          <w:bCs/>
          <w:sz w:val="28"/>
          <w:rtl/>
        </w:rPr>
        <w:t>תנועת יש גבול נ' הועדה המייעצת למינויים לתפקידים בכירים.</w:t>
      </w:r>
      <w:r w:rsidRPr="00D25EBF">
        <w:rPr>
          <w:rFonts w:hint="cs"/>
          <w:sz w:val="28"/>
          <w:rtl/>
        </w:rPr>
        <w:t xml:space="preserve"> </w:t>
      </w:r>
    </w:p>
    <w:p w:rsidR="00D303ED" w:rsidRDefault="00D303ED" w:rsidP="007539AB">
      <w:pPr>
        <w:ind w:left="360"/>
        <w:rPr>
          <w:b/>
          <w:bCs/>
          <w:sz w:val="28"/>
          <w:rtl/>
        </w:rPr>
      </w:pPr>
      <w:r>
        <w:rPr>
          <w:rtl/>
        </w:rPr>
        <w:t>בג"ץ 15/3059</w:t>
      </w:r>
      <w:r>
        <w:rPr>
          <w:rFonts w:hint="cs"/>
          <w:rtl/>
        </w:rPr>
        <w:t>,</w:t>
      </w:r>
      <w:r>
        <w:rPr>
          <w:rtl/>
        </w:rPr>
        <w:t xml:space="preserve"> </w:t>
      </w:r>
      <w:r w:rsidRPr="00494638">
        <w:rPr>
          <w:b/>
          <w:bCs/>
          <w:rtl/>
        </w:rPr>
        <w:t>התנועה למען איכות השלטון בישראל נ' ראש ממשלת ישראל</w:t>
      </w:r>
      <w:r>
        <w:rPr>
          <w:rFonts w:hint="cs"/>
          <w:rtl/>
        </w:rPr>
        <w:t xml:space="preserve"> </w:t>
      </w:r>
      <w:r w:rsidR="007539AB">
        <w:rPr>
          <w:rFonts w:hint="cs"/>
          <w:rtl/>
        </w:rPr>
        <w:t>(</w:t>
      </w:r>
      <w:r>
        <w:rPr>
          <w:rtl/>
        </w:rPr>
        <w:t>פורסם בנב</w:t>
      </w:r>
      <w:r w:rsidR="007539AB">
        <w:rPr>
          <w:rFonts w:hint="cs"/>
          <w:rtl/>
        </w:rPr>
        <w:t xml:space="preserve">ו 10.11.15). </w:t>
      </w:r>
    </w:p>
    <w:p w:rsidR="00F91B37" w:rsidRPr="00F045F7" w:rsidRDefault="00F91B37" w:rsidP="00F91B37">
      <w:pPr>
        <w:ind w:left="360"/>
        <w:rPr>
          <w:rFonts w:hint="cs"/>
          <w:rtl/>
        </w:rPr>
      </w:pPr>
      <w:r>
        <w:rPr>
          <w:rFonts w:hint="cs"/>
          <w:rtl/>
        </w:rPr>
        <w:t xml:space="preserve">זמיר יצחק (1996), </w:t>
      </w:r>
      <w:r>
        <w:rPr>
          <w:rFonts w:hint="cs"/>
          <w:b/>
          <w:bCs/>
          <w:rtl/>
        </w:rPr>
        <w:t xml:space="preserve">הסמכות המנהלית, </w:t>
      </w:r>
      <w:r>
        <w:rPr>
          <w:rFonts w:hint="cs"/>
          <w:rtl/>
        </w:rPr>
        <w:t xml:space="preserve">הוצאת נבו, תל אביב. </w:t>
      </w:r>
    </w:p>
    <w:p w:rsidR="00F91B37" w:rsidRDefault="00F91B37" w:rsidP="00F91B37">
      <w:pPr>
        <w:ind w:left="360"/>
        <w:rPr>
          <w:rFonts w:hint="cs"/>
          <w:sz w:val="28"/>
          <w:rtl/>
        </w:rPr>
      </w:pPr>
      <w:r>
        <w:rPr>
          <w:rtl/>
        </w:rPr>
        <w:t xml:space="preserve">ח׳ ה׳ כהן </w:t>
      </w:r>
      <w:r w:rsidRPr="007723F5">
        <w:rPr>
          <w:b/>
          <w:bCs/>
          <w:rtl/>
        </w:rPr>
        <w:t>״כשרותם של משרתי ציבור״ משפט וממשל ב</w:t>
      </w:r>
      <w:r>
        <w:rPr>
          <w:rtl/>
        </w:rPr>
        <w:t xml:space="preserve"> (תשנ״ד) 265</w:t>
      </w:r>
    </w:p>
    <w:p w:rsidR="00EB4527" w:rsidRDefault="00EB4527" w:rsidP="00EB4527">
      <w:pPr>
        <w:ind w:left="360"/>
        <w:rPr>
          <w:b/>
          <w:bCs/>
          <w:sz w:val="28"/>
          <w:rtl/>
        </w:rPr>
      </w:pPr>
      <w:r w:rsidRPr="00EB4527">
        <w:rPr>
          <w:rFonts w:hint="cs"/>
          <w:sz w:val="28"/>
          <w:rtl/>
        </w:rPr>
        <w:t>רז שלמה,</w:t>
      </w:r>
      <w:r>
        <w:rPr>
          <w:rFonts w:hint="cs"/>
          <w:b/>
          <w:bCs/>
          <w:sz w:val="28"/>
          <w:rtl/>
        </w:rPr>
        <w:t xml:space="preserve"> עיקרי ממצאי המבקר דברי דובר מבקר המדינה בעניין דו"ח המבקר בפרשת </w:t>
      </w:r>
      <w:proofErr w:type="spellStart"/>
      <w:r>
        <w:rPr>
          <w:rFonts w:hint="cs"/>
          <w:b/>
          <w:bCs/>
          <w:sz w:val="28"/>
          <w:rtl/>
        </w:rPr>
        <w:t>גלנט</w:t>
      </w:r>
      <w:proofErr w:type="spellEnd"/>
      <w:r>
        <w:rPr>
          <w:rFonts w:hint="cs"/>
          <w:b/>
          <w:bCs/>
          <w:sz w:val="28"/>
          <w:rtl/>
        </w:rPr>
        <w:t>, 27 בינואר 2011</w:t>
      </w:r>
      <w:r>
        <w:rPr>
          <w:b/>
          <w:bCs/>
          <w:sz w:val="28"/>
        </w:rPr>
        <w:t xml:space="preserve">                            </w:t>
      </w:r>
      <w:r w:rsidRPr="00EB4527">
        <w:rPr>
          <w:b/>
          <w:bCs/>
          <w:sz w:val="26"/>
          <w:szCs w:val="26"/>
        </w:rPr>
        <w:t>https://www.haaretz.co.il/hasite/images/daily/D270111/galant.pdf</w:t>
      </w:r>
    </w:p>
    <w:p w:rsidR="00F91B37" w:rsidRDefault="00F91B37" w:rsidP="00F91B37">
      <w:pPr>
        <w:ind w:left="360"/>
        <w:rPr>
          <w:b/>
          <w:bCs/>
          <w:sz w:val="28"/>
          <w:rtl/>
        </w:rPr>
      </w:pPr>
    </w:p>
    <w:p w:rsidR="006A1598" w:rsidRPr="00494638" w:rsidRDefault="006A1598" w:rsidP="004F6E7D">
      <w:pPr>
        <w:rPr>
          <w:b/>
          <w:bCs/>
          <w:sz w:val="28"/>
          <w:rtl/>
        </w:rPr>
      </w:pPr>
    </w:p>
    <w:sectPr w:rsidR="006A1598" w:rsidRPr="00494638" w:rsidSect="00EE05E7">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854" w:rsidRDefault="00E23854" w:rsidP="00A66F0C">
      <w:pPr>
        <w:spacing w:after="0" w:line="240" w:lineRule="auto"/>
      </w:pPr>
      <w:r>
        <w:separator/>
      </w:r>
    </w:p>
  </w:endnote>
  <w:endnote w:type="continuationSeparator" w:id="0">
    <w:p w:rsidR="00E23854" w:rsidRDefault="00E23854" w:rsidP="00A6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20963546"/>
      <w:docPartObj>
        <w:docPartGallery w:val="Page Numbers (Bottom of Page)"/>
        <w:docPartUnique/>
      </w:docPartObj>
    </w:sdtPr>
    <w:sdtEndPr>
      <w:rPr>
        <w:cs/>
      </w:rPr>
    </w:sdtEndPr>
    <w:sdtContent>
      <w:p w:rsidR="00D40CD2" w:rsidRDefault="00D40CD2">
        <w:pPr>
          <w:pStyle w:val="ac"/>
          <w:jc w:val="center"/>
          <w:rPr>
            <w:rtl/>
            <w:cs/>
          </w:rPr>
        </w:pPr>
        <w:r>
          <w:fldChar w:fldCharType="begin"/>
        </w:r>
        <w:r>
          <w:rPr>
            <w:rtl/>
            <w:cs/>
          </w:rPr>
          <w:instrText>PAGE   \* MERGEFORMAT</w:instrText>
        </w:r>
        <w:r>
          <w:fldChar w:fldCharType="separate"/>
        </w:r>
        <w:r w:rsidR="005C2030" w:rsidRPr="005C2030">
          <w:rPr>
            <w:noProof/>
            <w:rtl/>
            <w:lang w:val="he-IL"/>
          </w:rPr>
          <w:t>9</w:t>
        </w:r>
        <w:r>
          <w:fldChar w:fldCharType="end"/>
        </w:r>
      </w:p>
    </w:sdtContent>
  </w:sdt>
  <w:p w:rsidR="00D40CD2" w:rsidRDefault="00D40CD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854" w:rsidRDefault="00E23854" w:rsidP="00A66F0C">
      <w:pPr>
        <w:spacing w:after="0" w:line="240" w:lineRule="auto"/>
      </w:pPr>
      <w:r>
        <w:separator/>
      </w:r>
    </w:p>
  </w:footnote>
  <w:footnote w:type="continuationSeparator" w:id="0">
    <w:p w:rsidR="00E23854" w:rsidRDefault="00E23854" w:rsidP="00A66F0C">
      <w:pPr>
        <w:spacing w:after="0" w:line="240" w:lineRule="auto"/>
      </w:pPr>
      <w:r>
        <w:continuationSeparator/>
      </w:r>
    </w:p>
  </w:footnote>
  <w:footnote w:id="1">
    <w:p w:rsidR="00535029" w:rsidRDefault="00535029" w:rsidP="00535029">
      <w:pPr>
        <w:pStyle w:val="a4"/>
      </w:pPr>
      <w:r>
        <w:rPr>
          <w:rStyle w:val="a6"/>
        </w:rPr>
        <w:footnoteRef/>
      </w:r>
      <w:r>
        <w:rPr>
          <w:rtl/>
        </w:rPr>
        <w:t xml:space="preserve"> </w:t>
      </w:r>
      <w:r>
        <w:rPr>
          <w:rFonts w:hint="cs"/>
          <w:rtl/>
        </w:rPr>
        <w:t xml:space="preserve">השופט אגרנט קבע </w:t>
      </w:r>
      <w:proofErr w:type="spellStart"/>
      <w:r>
        <w:rPr>
          <w:rFonts w:hint="cs"/>
          <w:rtl/>
        </w:rPr>
        <w:t>בבג"צ</w:t>
      </w:r>
      <w:proofErr w:type="spellEnd"/>
      <w:r>
        <w:rPr>
          <w:rFonts w:hint="cs"/>
          <w:rtl/>
        </w:rPr>
        <w:t xml:space="preserve"> 71/442 </w:t>
      </w:r>
      <w:proofErr w:type="spellStart"/>
      <w:r>
        <w:rPr>
          <w:rFonts w:hint="cs"/>
          <w:rtl/>
        </w:rPr>
        <w:t>לנסקי</w:t>
      </w:r>
      <w:proofErr w:type="spellEnd"/>
      <w:r>
        <w:rPr>
          <w:rFonts w:hint="cs"/>
          <w:rtl/>
        </w:rPr>
        <w:t xml:space="preserve"> נ' שר הפנים כי ראיה מנהלית היא כזו אשר "כל אדם סביר היה רואה אותה כבעל ערך הוכחתי והיה סומך עליה", עמ' 357.</w:t>
      </w:r>
    </w:p>
    <w:p w:rsidR="00535029" w:rsidRPr="00535029" w:rsidRDefault="00535029">
      <w:pPr>
        <w:pStyle w:val="a4"/>
        <w:rPr>
          <w:rFonts w:hint="cs"/>
          <w:rtl/>
        </w:rPr>
      </w:pPr>
    </w:p>
  </w:footnote>
  <w:footnote w:id="2">
    <w:p w:rsidR="006E4702" w:rsidRPr="006E4702" w:rsidRDefault="006E4702" w:rsidP="006E4702">
      <w:pPr>
        <w:pStyle w:val="a4"/>
        <w:rPr>
          <w:rFonts w:hint="cs"/>
        </w:rPr>
      </w:pPr>
      <w:r>
        <w:rPr>
          <w:rStyle w:val="a6"/>
        </w:rPr>
        <w:footnoteRef/>
      </w:r>
      <w:r>
        <w:rPr>
          <w:rtl/>
        </w:rPr>
        <w:t xml:space="preserve"> </w:t>
      </w:r>
      <w:r>
        <w:rPr>
          <w:rFonts w:hint="cs"/>
          <w:rtl/>
        </w:rPr>
        <w:t xml:space="preserve">העיתונאי קלמן </w:t>
      </w:r>
      <w:proofErr w:type="spellStart"/>
      <w:r>
        <w:rPr>
          <w:rFonts w:hint="cs"/>
          <w:rtl/>
        </w:rPr>
        <w:t>ליבסקינד</w:t>
      </w:r>
      <w:proofErr w:type="spellEnd"/>
      <w:r>
        <w:rPr>
          <w:rFonts w:hint="cs"/>
          <w:rtl/>
        </w:rPr>
        <w:t xml:space="preserve"> פרסם החל משנת 2008 סדרת כתבות על פרשיית </w:t>
      </w:r>
      <w:proofErr w:type="spellStart"/>
      <w:r>
        <w:rPr>
          <w:rFonts w:hint="cs"/>
          <w:rtl/>
        </w:rPr>
        <w:t>גלנט</w:t>
      </w:r>
      <w:proofErr w:type="spellEnd"/>
      <w:r>
        <w:rPr>
          <w:rFonts w:hint="cs"/>
          <w:rtl/>
        </w:rPr>
        <w:t xml:space="preserve">. התחקיר הראשון, </w:t>
      </w:r>
      <w:r>
        <w:rPr>
          <w:rFonts w:hint="cs"/>
          <w:rtl/>
        </w:rPr>
        <w:t>"כך</w:t>
      </w:r>
      <w:r>
        <w:rPr>
          <w:rtl/>
        </w:rPr>
        <w:t xml:space="preserve"> </w:t>
      </w:r>
      <w:r>
        <w:rPr>
          <w:rFonts w:hint="cs"/>
          <w:rtl/>
        </w:rPr>
        <w:t>פלש</w:t>
      </w:r>
      <w:r>
        <w:rPr>
          <w:rtl/>
        </w:rPr>
        <w:t xml:space="preserve"> </w:t>
      </w:r>
      <w:r>
        <w:rPr>
          <w:rFonts w:hint="cs"/>
          <w:rtl/>
        </w:rPr>
        <w:t>האלוף</w:t>
      </w:r>
      <w:r>
        <w:rPr>
          <w:rtl/>
        </w:rPr>
        <w:t xml:space="preserve"> </w:t>
      </w:r>
      <w:r>
        <w:rPr>
          <w:rFonts w:hint="cs"/>
          <w:rtl/>
        </w:rPr>
        <w:t>יואב</w:t>
      </w:r>
      <w:r>
        <w:rPr>
          <w:rtl/>
        </w:rPr>
        <w:t xml:space="preserve"> </w:t>
      </w:r>
      <w:proofErr w:type="spellStart"/>
      <w:r>
        <w:rPr>
          <w:rFonts w:hint="cs"/>
          <w:rtl/>
        </w:rPr>
        <w:t>גלנט</w:t>
      </w:r>
      <w:proofErr w:type="spellEnd"/>
      <w:r>
        <w:rPr>
          <w:rtl/>
        </w:rPr>
        <w:t xml:space="preserve"> </w:t>
      </w:r>
      <w:r>
        <w:rPr>
          <w:rFonts w:hint="cs"/>
          <w:rtl/>
        </w:rPr>
        <w:t>לשטח</w:t>
      </w:r>
      <w:r>
        <w:rPr>
          <w:rtl/>
        </w:rPr>
        <w:t xml:space="preserve"> </w:t>
      </w:r>
      <w:r>
        <w:rPr>
          <w:rFonts w:hint="cs"/>
          <w:rtl/>
        </w:rPr>
        <w:t>שכניו</w:t>
      </w:r>
      <w:r>
        <w:rPr>
          <w:rFonts w:hint="cs"/>
          <w:rtl/>
        </w:rPr>
        <w:t xml:space="preserve">, פורסם ב-7 בדצמבר 2008 במעריב ותחקיר מקיף נוסף, </w:t>
      </w:r>
      <w:r>
        <w:rPr>
          <w:rFonts w:hint="cs"/>
          <w:rtl/>
        </w:rPr>
        <w:t>לא</w:t>
      </w:r>
      <w:r>
        <w:rPr>
          <w:rtl/>
        </w:rPr>
        <w:t xml:space="preserve"> </w:t>
      </w:r>
      <w:r>
        <w:rPr>
          <w:rFonts w:hint="cs"/>
          <w:rtl/>
        </w:rPr>
        <w:t>יוצא</w:t>
      </w:r>
      <w:r>
        <w:rPr>
          <w:rtl/>
        </w:rPr>
        <w:t xml:space="preserve"> </w:t>
      </w:r>
      <w:r>
        <w:rPr>
          <w:rFonts w:hint="cs"/>
          <w:rtl/>
        </w:rPr>
        <w:t>מהשטחים</w:t>
      </w:r>
      <w:r>
        <w:rPr>
          <w:rtl/>
        </w:rPr>
        <w:t xml:space="preserve">: </w:t>
      </w:r>
      <w:proofErr w:type="spellStart"/>
      <w:r>
        <w:rPr>
          <w:rFonts w:hint="cs"/>
          <w:rtl/>
        </w:rPr>
        <w:t>גלנט</w:t>
      </w:r>
      <w:proofErr w:type="spellEnd"/>
      <w:r>
        <w:rPr>
          <w:rtl/>
        </w:rPr>
        <w:t xml:space="preserve"> </w:t>
      </w:r>
      <w:r>
        <w:rPr>
          <w:rFonts w:hint="cs"/>
          <w:rtl/>
        </w:rPr>
        <w:t>משתלט</w:t>
      </w:r>
      <w:r>
        <w:rPr>
          <w:rtl/>
        </w:rPr>
        <w:t xml:space="preserve"> </w:t>
      </w:r>
      <w:r>
        <w:rPr>
          <w:rFonts w:hint="cs"/>
          <w:rtl/>
        </w:rPr>
        <w:t>על</w:t>
      </w:r>
      <w:r>
        <w:rPr>
          <w:rtl/>
        </w:rPr>
        <w:t xml:space="preserve"> </w:t>
      </w:r>
      <w:r>
        <w:rPr>
          <w:rFonts w:hint="cs"/>
          <w:rtl/>
        </w:rPr>
        <w:t>עמיקם</w:t>
      </w:r>
      <w:r>
        <w:rPr>
          <w:rtl/>
        </w:rPr>
        <w:t>,</w:t>
      </w:r>
      <w:r>
        <w:rPr>
          <w:rFonts w:hint="cs"/>
          <w:rtl/>
        </w:rPr>
        <w:t xml:space="preserve"> פורסם ב-</w:t>
      </w:r>
      <w:r>
        <w:rPr>
          <w:rtl/>
        </w:rPr>
        <w:t xml:space="preserve"> </w:t>
      </w:r>
      <w:proofErr w:type="spellStart"/>
      <w:r>
        <w:t>nrg</w:t>
      </w:r>
      <w:proofErr w:type="spellEnd"/>
      <w:r>
        <w:rPr>
          <w:rtl/>
        </w:rPr>
        <w:t xml:space="preserve"> </w:t>
      </w:r>
      <w:r>
        <w:rPr>
          <w:rFonts w:hint="cs"/>
          <w:rtl/>
        </w:rPr>
        <w:t>מעריב</w:t>
      </w:r>
      <w:r>
        <w:rPr>
          <w:rtl/>
        </w:rPr>
        <w:t xml:space="preserve"> </w:t>
      </w:r>
      <w:r>
        <w:rPr>
          <w:rFonts w:hint="cs"/>
          <w:rtl/>
        </w:rPr>
        <w:t>ב-</w:t>
      </w:r>
      <w:r>
        <w:rPr>
          <w:rtl/>
        </w:rPr>
        <w:t xml:space="preserve">14 </w:t>
      </w:r>
      <w:r>
        <w:rPr>
          <w:rFonts w:hint="cs"/>
          <w:rtl/>
        </w:rPr>
        <w:t>באוגוסט</w:t>
      </w:r>
      <w:r>
        <w:rPr>
          <w:rtl/>
        </w:rPr>
        <w:t xml:space="preserve"> 2010</w:t>
      </w:r>
      <w:r>
        <w:rPr>
          <w:rFonts w:hint="cs"/>
          <w:rtl/>
        </w:rPr>
        <w:t>.</w:t>
      </w:r>
    </w:p>
  </w:footnote>
  <w:footnote w:id="3">
    <w:p w:rsidR="007539AB" w:rsidRPr="007539AB" w:rsidRDefault="007539AB" w:rsidP="00700B50">
      <w:pPr>
        <w:pStyle w:val="a4"/>
        <w:rPr>
          <w:rFonts w:hint="cs"/>
          <w:rtl/>
        </w:rPr>
      </w:pPr>
      <w:r>
        <w:rPr>
          <w:rStyle w:val="a6"/>
        </w:rPr>
        <w:footnoteRef/>
      </w:r>
      <w:r>
        <w:rPr>
          <w:rtl/>
        </w:rPr>
        <w:t xml:space="preserve"> </w:t>
      </w:r>
      <w:r>
        <w:rPr>
          <w:rFonts w:hint="cs"/>
          <w:rtl/>
        </w:rPr>
        <w:t xml:space="preserve">על פרשת תמיר ראה: </w:t>
      </w:r>
      <w:r>
        <w:rPr>
          <w:rFonts w:ascii="Arial" w:hAnsi="Arial" w:cs="Arial" w:hint="cs"/>
          <w:color w:val="222222"/>
          <w:sz w:val="19"/>
          <w:szCs w:val="19"/>
          <w:shd w:val="clear" w:color="auto" w:fill="FFFFFF"/>
          <w:rtl/>
        </w:rPr>
        <w:t>ע</w:t>
      </w:r>
      <w:r>
        <w:rPr>
          <w:rFonts w:ascii="Arial" w:hAnsi="Arial" w:cs="Arial"/>
          <w:color w:val="222222"/>
          <w:sz w:val="19"/>
          <w:szCs w:val="19"/>
          <w:shd w:val="clear" w:color="auto" w:fill="FFFFFF"/>
          <w:rtl/>
        </w:rPr>
        <w:t>מוס הראל</w:t>
      </w:r>
      <w:r>
        <w:rPr>
          <w:rFonts w:ascii="Arial" w:hAnsi="Arial" w:cs="Arial"/>
          <w:color w:val="222222"/>
          <w:sz w:val="19"/>
          <w:szCs w:val="19"/>
          <w:shd w:val="clear" w:color="auto" w:fill="FFFFFF"/>
        </w:rPr>
        <w:t>, </w:t>
      </w:r>
      <w:hyperlink r:id="rId1" w:history="1">
        <w:r>
          <w:rPr>
            <w:rStyle w:val="Hyperlink"/>
            <w:rFonts w:ascii="Arial" w:hAnsi="Arial" w:cs="Arial"/>
            <w:color w:val="663366"/>
            <w:sz w:val="19"/>
            <w:szCs w:val="19"/>
            <w:shd w:val="clear" w:color="auto" w:fill="FFFFFF"/>
            <w:rtl/>
          </w:rPr>
          <w:t xml:space="preserve">הרמטכ"ל הדיח את תא"ל </w:t>
        </w:r>
        <w:proofErr w:type="spellStart"/>
        <w:r>
          <w:rPr>
            <w:rStyle w:val="Hyperlink"/>
            <w:rFonts w:ascii="Arial" w:hAnsi="Arial" w:cs="Arial"/>
            <w:color w:val="663366"/>
            <w:sz w:val="19"/>
            <w:szCs w:val="19"/>
            <w:shd w:val="clear" w:color="auto" w:fill="FFFFFF"/>
            <w:rtl/>
          </w:rPr>
          <w:t>צ'יקו</w:t>
        </w:r>
        <w:proofErr w:type="spellEnd"/>
        <w:r>
          <w:rPr>
            <w:rStyle w:val="Hyperlink"/>
            <w:rFonts w:ascii="Arial" w:hAnsi="Arial" w:cs="Arial"/>
            <w:color w:val="663366"/>
            <w:sz w:val="19"/>
            <w:szCs w:val="19"/>
            <w:shd w:val="clear" w:color="auto" w:fill="FFFFFF"/>
            <w:rtl/>
          </w:rPr>
          <w:t xml:space="preserve"> תמיר משירות בצה"ל</w:t>
        </w:r>
      </w:hyperlink>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tl/>
        </w:rPr>
        <w:t>באתר </w:t>
      </w:r>
      <w:hyperlink r:id="rId2" w:tooltip="הארץ" w:history="1">
        <w:r>
          <w:rPr>
            <w:rStyle w:val="Hyperlink"/>
            <w:rFonts w:ascii="Arial" w:hAnsi="Arial" w:cs="Arial"/>
            <w:color w:val="5A3696"/>
            <w:sz w:val="19"/>
            <w:szCs w:val="19"/>
            <w:shd w:val="clear" w:color="auto" w:fill="FFFFFF"/>
            <w:rtl/>
          </w:rPr>
          <w:t>הארץ</w:t>
        </w:r>
      </w:hyperlink>
      <w:r>
        <w:rPr>
          <w:rFonts w:ascii="Arial" w:hAnsi="Arial" w:cs="Arial"/>
          <w:color w:val="222222"/>
          <w:sz w:val="19"/>
          <w:szCs w:val="19"/>
          <w:shd w:val="clear" w:color="auto" w:fill="FFFFFF"/>
        </w:rPr>
        <w:t>;</w:t>
      </w:r>
      <w:r>
        <w:rPr>
          <w:rFonts w:ascii="Arial" w:hAnsi="Arial" w:cs="Arial"/>
          <w:color w:val="222222"/>
          <w:sz w:val="19"/>
          <w:szCs w:val="19"/>
          <w:shd w:val="clear" w:color="auto" w:fill="FFFFFF"/>
        </w:rPr>
        <w:t>, 01/03/10</w:t>
      </w:r>
      <w:r>
        <w:rPr>
          <w:rFonts w:ascii="Arial" w:hAnsi="Arial" w:cs="Arial"/>
          <w:color w:val="222222"/>
          <w:sz w:val="19"/>
          <w:szCs w:val="19"/>
          <w:shd w:val="clear" w:color="auto" w:fill="FFFFFF"/>
        </w:rPr>
        <w:t xml:space="preserve"> </w:t>
      </w:r>
      <w:r>
        <w:rPr>
          <w:rFonts w:ascii="Arial" w:hAnsi="Arial" w:cs="Arial" w:hint="cs"/>
          <w:color w:val="222222"/>
          <w:sz w:val="19"/>
          <w:szCs w:val="19"/>
          <w:shd w:val="clear" w:color="auto" w:fill="FFFFFF"/>
          <w:rtl/>
        </w:rPr>
        <w:t xml:space="preserve">על פרשת </w:t>
      </w:r>
      <w:proofErr w:type="spellStart"/>
      <w:r>
        <w:rPr>
          <w:rFonts w:ascii="Arial" w:hAnsi="Arial" w:cs="Arial" w:hint="cs"/>
          <w:color w:val="222222"/>
          <w:sz w:val="19"/>
          <w:szCs w:val="19"/>
          <w:shd w:val="clear" w:color="auto" w:fill="FFFFFF"/>
          <w:rtl/>
        </w:rPr>
        <w:t>עמאד</w:t>
      </w:r>
      <w:proofErr w:type="spellEnd"/>
      <w:r>
        <w:rPr>
          <w:rFonts w:ascii="Arial" w:hAnsi="Arial" w:cs="Arial" w:hint="cs"/>
          <w:color w:val="222222"/>
          <w:sz w:val="19"/>
          <w:szCs w:val="19"/>
          <w:shd w:val="clear" w:color="auto" w:fill="FFFFFF"/>
          <w:rtl/>
        </w:rPr>
        <w:t xml:space="preserve"> </w:t>
      </w:r>
      <w:proofErr w:type="spellStart"/>
      <w:r>
        <w:rPr>
          <w:rFonts w:ascii="Arial" w:hAnsi="Arial" w:cs="Arial" w:hint="cs"/>
          <w:color w:val="222222"/>
          <w:sz w:val="19"/>
          <w:szCs w:val="19"/>
          <w:shd w:val="clear" w:color="auto" w:fill="FFFFFF"/>
          <w:rtl/>
        </w:rPr>
        <w:t>פארס</w:t>
      </w:r>
      <w:proofErr w:type="spellEnd"/>
      <w:r>
        <w:rPr>
          <w:rFonts w:ascii="Arial" w:hAnsi="Arial" w:cs="Arial" w:hint="cs"/>
          <w:color w:val="222222"/>
          <w:sz w:val="19"/>
          <w:szCs w:val="19"/>
          <w:shd w:val="clear" w:color="auto" w:fill="FFFFFF"/>
          <w:rtl/>
        </w:rPr>
        <w:t xml:space="preserve"> ראה ע</w:t>
      </w:r>
      <w:r>
        <w:rPr>
          <w:rFonts w:ascii="Arial" w:hAnsi="Arial" w:cs="Arial"/>
          <w:color w:val="222222"/>
          <w:sz w:val="19"/>
          <w:szCs w:val="19"/>
          <w:shd w:val="clear" w:color="auto" w:fill="FFFFFF"/>
          <w:rtl/>
        </w:rPr>
        <w:t>פרה אידלמן</w:t>
      </w:r>
      <w:r>
        <w:rPr>
          <w:rFonts w:ascii="Arial" w:hAnsi="Arial" w:cs="Arial"/>
          <w:color w:val="222222"/>
          <w:sz w:val="19"/>
          <w:szCs w:val="19"/>
          <w:shd w:val="clear" w:color="auto" w:fill="FFFFFF"/>
        </w:rPr>
        <w:t>, </w:t>
      </w:r>
      <w:hyperlink r:id="rId3" w:history="1">
        <w:r>
          <w:rPr>
            <w:rStyle w:val="Hyperlink"/>
            <w:rFonts w:ascii="Arial" w:hAnsi="Arial" w:cs="Arial"/>
            <w:color w:val="663366"/>
            <w:sz w:val="19"/>
            <w:szCs w:val="19"/>
            <w:shd w:val="clear" w:color="auto" w:fill="FFFFFF"/>
            <w:rtl/>
          </w:rPr>
          <w:t xml:space="preserve">תא"ל </w:t>
        </w:r>
        <w:proofErr w:type="spellStart"/>
        <w:r>
          <w:rPr>
            <w:rStyle w:val="Hyperlink"/>
            <w:rFonts w:ascii="Arial" w:hAnsi="Arial" w:cs="Arial"/>
            <w:color w:val="663366"/>
            <w:sz w:val="19"/>
            <w:szCs w:val="19"/>
            <w:shd w:val="clear" w:color="auto" w:fill="FFFFFF"/>
            <w:rtl/>
          </w:rPr>
          <w:t>עימאד</w:t>
        </w:r>
        <w:proofErr w:type="spellEnd"/>
        <w:r>
          <w:rPr>
            <w:rStyle w:val="Hyperlink"/>
            <w:rFonts w:ascii="Arial" w:hAnsi="Arial" w:cs="Arial"/>
            <w:color w:val="663366"/>
            <w:sz w:val="19"/>
            <w:szCs w:val="19"/>
            <w:shd w:val="clear" w:color="auto" w:fill="FFFFFF"/>
            <w:rtl/>
          </w:rPr>
          <w:t xml:space="preserve"> </w:t>
        </w:r>
        <w:proofErr w:type="spellStart"/>
        <w:r>
          <w:rPr>
            <w:rStyle w:val="Hyperlink"/>
            <w:rFonts w:ascii="Arial" w:hAnsi="Arial" w:cs="Arial"/>
            <w:color w:val="663366"/>
            <w:sz w:val="19"/>
            <w:szCs w:val="19"/>
            <w:shd w:val="clear" w:color="auto" w:fill="FFFFFF"/>
            <w:rtl/>
          </w:rPr>
          <w:t>פארס</w:t>
        </w:r>
        <w:proofErr w:type="spellEnd"/>
        <w:r>
          <w:rPr>
            <w:rStyle w:val="Hyperlink"/>
            <w:rFonts w:ascii="Arial" w:hAnsi="Arial" w:cs="Arial"/>
            <w:color w:val="663366"/>
            <w:sz w:val="19"/>
            <w:szCs w:val="19"/>
            <w:shd w:val="clear" w:color="auto" w:fill="FFFFFF"/>
            <w:rtl/>
          </w:rPr>
          <w:t xml:space="preserve"> עתר נגד ההחלטה להדיח אותו</w:t>
        </w:r>
      </w:hyperlink>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tl/>
        </w:rPr>
        <w:t>באתר </w:t>
      </w:r>
      <w:hyperlink r:id="rId4" w:tooltip="הארץ" w:history="1">
        <w:r>
          <w:rPr>
            <w:rStyle w:val="Hyperlink"/>
            <w:rFonts w:ascii="Arial" w:hAnsi="Arial" w:cs="Arial"/>
            <w:color w:val="5A3696"/>
            <w:sz w:val="19"/>
            <w:szCs w:val="19"/>
            <w:shd w:val="clear" w:color="auto" w:fill="FFFFFF"/>
            <w:rtl/>
          </w:rPr>
          <w:t>הארץ</w:t>
        </w:r>
      </w:hyperlink>
      <w:r>
        <w:rPr>
          <w:rFonts w:ascii="Arial" w:hAnsi="Arial" w:cs="Arial"/>
          <w:color w:val="222222"/>
          <w:sz w:val="19"/>
          <w:szCs w:val="19"/>
          <w:shd w:val="clear" w:color="auto" w:fill="FFFFFF"/>
        </w:rPr>
        <w:t xml:space="preserve">, 21 </w:t>
      </w:r>
      <w:r>
        <w:rPr>
          <w:rFonts w:ascii="Arial" w:hAnsi="Arial" w:cs="Arial"/>
          <w:color w:val="222222"/>
          <w:sz w:val="19"/>
          <w:szCs w:val="19"/>
          <w:shd w:val="clear" w:color="auto" w:fill="FFFFFF"/>
          <w:rtl/>
        </w:rPr>
        <w:t>בנובמבר 2010</w:t>
      </w:r>
      <w:r>
        <w:rPr>
          <w:rFonts w:hint="cs"/>
          <w:rtl/>
        </w:rPr>
        <w:t xml:space="preserve">; על פרשת </w:t>
      </w:r>
      <w:proofErr w:type="spellStart"/>
      <w:r>
        <w:rPr>
          <w:rFonts w:hint="cs"/>
          <w:rtl/>
        </w:rPr>
        <w:t>טופולנסקי</w:t>
      </w:r>
      <w:proofErr w:type="spellEnd"/>
      <w:r>
        <w:rPr>
          <w:rFonts w:hint="cs"/>
          <w:rtl/>
        </w:rPr>
        <w:t xml:space="preserve"> ראה </w:t>
      </w:r>
      <w:r w:rsidR="00700B50">
        <w:rPr>
          <w:rFonts w:hint="cs"/>
          <w:rtl/>
        </w:rPr>
        <w:t>י</w:t>
      </w:r>
      <w:r>
        <w:rPr>
          <w:rFonts w:ascii="Arial" w:hAnsi="Arial" w:cs="Arial"/>
          <w:color w:val="222222"/>
          <w:sz w:val="19"/>
          <w:szCs w:val="19"/>
          <w:shd w:val="clear" w:color="auto" w:fill="EAF3FF"/>
          <w:rtl/>
        </w:rPr>
        <w:t>ואב זיתון</w:t>
      </w:r>
      <w:r>
        <w:rPr>
          <w:rFonts w:ascii="Arial" w:hAnsi="Arial" w:cs="Arial"/>
          <w:color w:val="222222"/>
          <w:sz w:val="19"/>
          <w:szCs w:val="19"/>
          <w:shd w:val="clear" w:color="auto" w:fill="EAF3FF"/>
        </w:rPr>
        <w:t>, </w:t>
      </w:r>
      <w:hyperlink r:id="rId5" w:history="1">
        <w:r>
          <w:rPr>
            <w:rStyle w:val="Hyperlink"/>
            <w:rFonts w:ascii="Arial" w:hAnsi="Arial" w:cs="Arial"/>
            <w:color w:val="663366"/>
            <w:sz w:val="19"/>
            <w:szCs w:val="19"/>
            <w:shd w:val="clear" w:color="auto" w:fill="EAF3FF"/>
            <w:rtl/>
          </w:rPr>
          <w:t>טלטלה בצה"ל: ראש אכ"א פורש בעקבות גניבת מחשבו הצבאי</w:t>
        </w:r>
      </w:hyperlink>
      <w:r>
        <w:rPr>
          <w:rFonts w:ascii="Arial" w:hAnsi="Arial" w:cs="Arial"/>
          <w:color w:val="222222"/>
          <w:sz w:val="19"/>
          <w:szCs w:val="19"/>
          <w:shd w:val="clear" w:color="auto" w:fill="EAF3FF"/>
        </w:rPr>
        <w:t xml:space="preserve">, </w:t>
      </w:r>
      <w:r>
        <w:rPr>
          <w:rFonts w:ascii="Arial" w:hAnsi="Arial" w:cs="Arial"/>
          <w:color w:val="222222"/>
          <w:sz w:val="19"/>
          <w:szCs w:val="19"/>
          <w:shd w:val="clear" w:color="auto" w:fill="EAF3FF"/>
          <w:rtl/>
        </w:rPr>
        <w:t>באתר </w:t>
      </w:r>
      <w:proofErr w:type="spellStart"/>
      <w:r w:rsidRPr="00494638">
        <w:rPr>
          <w:rFonts w:ascii="Arial" w:hAnsi="Arial" w:cs="Arial"/>
          <w:color w:val="222222"/>
          <w:sz w:val="19"/>
          <w:szCs w:val="19"/>
          <w:shd w:val="clear" w:color="auto" w:fill="EAF3FF"/>
        </w:rPr>
        <w:t>ynet</w:t>
      </w:r>
      <w:proofErr w:type="spellEnd"/>
      <w:r>
        <w:rPr>
          <w:rFonts w:ascii="Arial" w:hAnsi="Arial" w:cs="Arial"/>
          <w:color w:val="222222"/>
          <w:sz w:val="19"/>
          <w:szCs w:val="19"/>
          <w:shd w:val="clear" w:color="auto" w:fill="EAF3FF"/>
        </w:rPr>
        <w:t xml:space="preserve"> </w:t>
      </w:r>
      <w:r w:rsidR="00700B50">
        <w:rPr>
          <w:rFonts w:ascii="Arial" w:hAnsi="Arial" w:cs="Arial" w:hint="cs"/>
          <w:color w:val="222222"/>
          <w:sz w:val="19"/>
          <w:szCs w:val="19"/>
          <w:shd w:val="clear" w:color="auto" w:fill="EAF3FF"/>
          <w:rtl/>
        </w:rPr>
        <w:t xml:space="preserve"> 14 </w:t>
      </w:r>
      <w:r>
        <w:rPr>
          <w:rFonts w:ascii="Arial" w:hAnsi="Arial" w:cs="Arial"/>
          <w:color w:val="222222"/>
          <w:sz w:val="19"/>
          <w:szCs w:val="19"/>
          <w:shd w:val="clear" w:color="auto" w:fill="EAF3FF"/>
          <w:rtl/>
        </w:rPr>
        <w:t>בדצמבר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EAB"/>
    <w:multiLevelType w:val="hybridMultilevel"/>
    <w:tmpl w:val="054C7176"/>
    <w:lvl w:ilvl="0" w:tplc="241469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56824"/>
    <w:multiLevelType w:val="hybridMultilevel"/>
    <w:tmpl w:val="884A0BC4"/>
    <w:lvl w:ilvl="0" w:tplc="63147D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C3C38"/>
    <w:multiLevelType w:val="hybridMultilevel"/>
    <w:tmpl w:val="210C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32D6C"/>
    <w:multiLevelType w:val="hybridMultilevel"/>
    <w:tmpl w:val="A086CD48"/>
    <w:lvl w:ilvl="0" w:tplc="E19A65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0BC0"/>
    <w:multiLevelType w:val="hybridMultilevel"/>
    <w:tmpl w:val="5F140DB6"/>
    <w:lvl w:ilvl="0" w:tplc="0FD004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06FAB"/>
    <w:multiLevelType w:val="hybridMultilevel"/>
    <w:tmpl w:val="8D184BE4"/>
    <w:lvl w:ilvl="0" w:tplc="55F60FA4">
      <w:start w:val="1"/>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F69C1"/>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A07D87"/>
    <w:multiLevelType w:val="hybridMultilevel"/>
    <w:tmpl w:val="63066878"/>
    <w:lvl w:ilvl="0" w:tplc="408EDBAC">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1321B"/>
    <w:multiLevelType w:val="singleLevel"/>
    <w:tmpl w:val="037E555E"/>
    <w:lvl w:ilvl="0">
      <w:start w:val="1"/>
      <w:numFmt w:val="decimal"/>
      <w:lvlText w:val="%1."/>
      <w:lvlJc w:val="left"/>
      <w:pPr>
        <w:tabs>
          <w:tab w:val="num" w:pos="360"/>
        </w:tabs>
        <w:ind w:left="360" w:hanging="360"/>
      </w:pPr>
      <w:rPr>
        <w:rFonts w:hint="default"/>
        <w:sz w:val="24"/>
      </w:rPr>
    </w:lvl>
  </w:abstractNum>
  <w:abstractNum w:abstractNumId="9" w15:restartNumberingAfterBreak="0">
    <w:nsid w:val="34E20B99"/>
    <w:multiLevelType w:val="hybridMultilevel"/>
    <w:tmpl w:val="5C3CC046"/>
    <w:lvl w:ilvl="0" w:tplc="E210213C">
      <w:start w:val="4"/>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B46E9"/>
    <w:multiLevelType w:val="hybridMultilevel"/>
    <w:tmpl w:val="90348E4A"/>
    <w:lvl w:ilvl="0" w:tplc="87809C48">
      <w:start w:val="2"/>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530A9"/>
    <w:multiLevelType w:val="hybridMultilevel"/>
    <w:tmpl w:val="F24E55D4"/>
    <w:lvl w:ilvl="0" w:tplc="9B86FC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1D621F"/>
    <w:multiLevelType w:val="hybridMultilevel"/>
    <w:tmpl w:val="EC1A47D8"/>
    <w:lvl w:ilvl="0" w:tplc="F5F0ACDC">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35668"/>
    <w:multiLevelType w:val="hybridMultilevel"/>
    <w:tmpl w:val="5AB69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26E31"/>
    <w:multiLevelType w:val="hybridMultilevel"/>
    <w:tmpl w:val="AA0AE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E731B"/>
    <w:multiLevelType w:val="hybridMultilevel"/>
    <w:tmpl w:val="C83A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65B0C"/>
    <w:multiLevelType w:val="hybridMultilevel"/>
    <w:tmpl w:val="187CAEE4"/>
    <w:lvl w:ilvl="0" w:tplc="405C6012">
      <w:start w:val="1"/>
      <w:numFmt w:val="hebrew1"/>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03CE3"/>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009E0"/>
    <w:multiLevelType w:val="hybridMultilevel"/>
    <w:tmpl w:val="1C486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AD70E9"/>
    <w:multiLevelType w:val="hybridMultilevel"/>
    <w:tmpl w:val="EACAD4AA"/>
    <w:lvl w:ilvl="0" w:tplc="2C2604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883E8E"/>
    <w:multiLevelType w:val="hybridMultilevel"/>
    <w:tmpl w:val="4134B764"/>
    <w:lvl w:ilvl="0" w:tplc="02389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9E2559"/>
    <w:multiLevelType w:val="hybridMultilevel"/>
    <w:tmpl w:val="F602700C"/>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836CD0"/>
    <w:multiLevelType w:val="hybridMultilevel"/>
    <w:tmpl w:val="4D46FD52"/>
    <w:lvl w:ilvl="0" w:tplc="3AB47A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D817C6"/>
    <w:multiLevelType w:val="hybridMultilevel"/>
    <w:tmpl w:val="793C8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9F5D3F"/>
    <w:multiLevelType w:val="hybridMultilevel"/>
    <w:tmpl w:val="2FD0A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666B5A"/>
    <w:multiLevelType w:val="hybridMultilevel"/>
    <w:tmpl w:val="F2D44F82"/>
    <w:lvl w:ilvl="0" w:tplc="EED89E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E9020A"/>
    <w:multiLevelType w:val="hybridMultilevel"/>
    <w:tmpl w:val="EA9E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A36C2C"/>
    <w:multiLevelType w:val="hybridMultilevel"/>
    <w:tmpl w:val="65029A56"/>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AF2614"/>
    <w:multiLevelType w:val="hybridMultilevel"/>
    <w:tmpl w:val="95A8FD5E"/>
    <w:lvl w:ilvl="0" w:tplc="03B8FE9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DE6901"/>
    <w:multiLevelType w:val="hybridMultilevel"/>
    <w:tmpl w:val="B9569A08"/>
    <w:lvl w:ilvl="0" w:tplc="A7482632">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7D4B15"/>
    <w:multiLevelType w:val="hybridMultilevel"/>
    <w:tmpl w:val="3DB82F86"/>
    <w:lvl w:ilvl="0" w:tplc="69D6A3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3B51A3"/>
    <w:multiLevelType w:val="hybridMultilevel"/>
    <w:tmpl w:val="BA04DC5C"/>
    <w:lvl w:ilvl="0" w:tplc="4686E6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4"/>
  </w:num>
  <w:num w:numId="4">
    <w:abstractNumId w:val="22"/>
  </w:num>
  <w:num w:numId="5">
    <w:abstractNumId w:val="16"/>
  </w:num>
  <w:num w:numId="6">
    <w:abstractNumId w:val="15"/>
  </w:num>
  <w:num w:numId="7">
    <w:abstractNumId w:val="24"/>
  </w:num>
  <w:num w:numId="8">
    <w:abstractNumId w:val="0"/>
  </w:num>
  <w:num w:numId="9">
    <w:abstractNumId w:val="7"/>
  </w:num>
  <w:num w:numId="10">
    <w:abstractNumId w:val="8"/>
  </w:num>
  <w:num w:numId="11">
    <w:abstractNumId w:val="30"/>
  </w:num>
  <w:num w:numId="12">
    <w:abstractNumId w:val="23"/>
  </w:num>
  <w:num w:numId="13">
    <w:abstractNumId w:val="2"/>
  </w:num>
  <w:num w:numId="14">
    <w:abstractNumId w:val="25"/>
  </w:num>
  <w:num w:numId="15">
    <w:abstractNumId w:val="6"/>
  </w:num>
  <w:num w:numId="16">
    <w:abstractNumId w:val="26"/>
  </w:num>
  <w:num w:numId="17">
    <w:abstractNumId w:val="3"/>
  </w:num>
  <w:num w:numId="18">
    <w:abstractNumId w:val="10"/>
  </w:num>
  <w:num w:numId="19">
    <w:abstractNumId w:val="18"/>
  </w:num>
  <w:num w:numId="20">
    <w:abstractNumId w:val="27"/>
  </w:num>
  <w:num w:numId="21">
    <w:abstractNumId w:val="21"/>
  </w:num>
  <w:num w:numId="22">
    <w:abstractNumId w:val="13"/>
  </w:num>
  <w:num w:numId="23">
    <w:abstractNumId w:val="17"/>
  </w:num>
  <w:num w:numId="24">
    <w:abstractNumId w:val="5"/>
  </w:num>
  <w:num w:numId="25">
    <w:abstractNumId w:val="9"/>
  </w:num>
  <w:num w:numId="26">
    <w:abstractNumId w:val="28"/>
  </w:num>
  <w:num w:numId="27">
    <w:abstractNumId w:val="29"/>
  </w:num>
  <w:num w:numId="28">
    <w:abstractNumId w:val="12"/>
  </w:num>
  <w:num w:numId="29">
    <w:abstractNumId w:val="14"/>
  </w:num>
  <w:num w:numId="30">
    <w:abstractNumId w:val="11"/>
  </w:num>
  <w:num w:numId="31">
    <w:abstractNumId w:val="3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D9"/>
    <w:rsid w:val="0000748C"/>
    <w:rsid w:val="0001080A"/>
    <w:rsid w:val="00025ED7"/>
    <w:rsid w:val="00026A89"/>
    <w:rsid w:val="00042D74"/>
    <w:rsid w:val="0004611A"/>
    <w:rsid w:val="00051464"/>
    <w:rsid w:val="00051E24"/>
    <w:rsid w:val="000568E8"/>
    <w:rsid w:val="0006091F"/>
    <w:rsid w:val="00061A27"/>
    <w:rsid w:val="000667F8"/>
    <w:rsid w:val="00071FA9"/>
    <w:rsid w:val="0007219F"/>
    <w:rsid w:val="00076165"/>
    <w:rsid w:val="00084E05"/>
    <w:rsid w:val="0009229B"/>
    <w:rsid w:val="0009316D"/>
    <w:rsid w:val="00094C1C"/>
    <w:rsid w:val="000A5FED"/>
    <w:rsid w:val="000A7E15"/>
    <w:rsid w:val="000B2041"/>
    <w:rsid w:val="000B36AC"/>
    <w:rsid w:val="000B7404"/>
    <w:rsid w:val="000B7409"/>
    <w:rsid w:val="000C22A3"/>
    <w:rsid w:val="000C3A7C"/>
    <w:rsid w:val="000C5217"/>
    <w:rsid w:val="000D118C"/>
    <w:rsid w:val="000D5F11"/>
    <w:rsid w:val="000E1070"/>
    <w:rsid w:val="000E359A"/>
    <w:rsid w:val="000E3744"/>
    <w:rsid w:val="000F2517"/>
    <w:rsid w:val="000F75CA"/>
    <w:rsid w:val="00100C38"/>
    <w:rsid w:val="00105817"/>
    <w:rsid w:val="001060EA"/>
    <w:rsid w:val="00112CB8"/>
    <w:rsid w:val="00114837"/>
    <w:rsid w:val="00116318"/>
    <w:rsid w:val="0012111F"/>
    <w:rsid w:val="00126E1D"/>
    <w:rsid w:val="001330B4"/>
    <w:rsid w:val="00136A28"/>
    <w:rsid w:val="00143C15"/>
    <w:rsid w:val="001542C7"/>
    <w:rsid w:val="00165AEE"/>
    <w:rsid w:val="00165EA9"/>
    <w:rsid w:val="00167529"/>
    <w:rsid w:val="00167E9E"/>
    <w:rsid w:val="001712B0"/>
    <w:rsid w:val="001721BD"/>
    <w:rsid w:val="00172C6B"/>
    <w:rsid w:val="00180A10"/>
    <w:rsid w:val="001853E2"/>
    <w:rsid w:val="00190B2B"/>
    <w:rsid w:val="00195A97"/>
    <w:rsid w:val="00195EC3"/>
    <w:rsid w:val="00196BED"/>
    <w:rsid w:val="001A5B1A"/>
    <w:rsid w:val="001A67B9"/>
    <w:rsid w:val="001A7EAB"/>
    <w:rsid w:val="001B2BB6"/>
    <w:rsid w:val="001B4687"/>
    <w:rsid w:val="001C16C1"/>
    <w:rsid w:val="001D02AE"/>
    <w:rsid w:val="001D1797"/>
    <w:rsid w:val="001E48B3"/>
    <w:rsid w:val="001F2AA1"/>
    <w:rsid w:val="001F3E7B"/>
    <w:rsid w:val="001F4A8B"/>
    <w:rsid w:val="001F4CFA"/>
    <w:rsid w:val="001F540B"/>
    <w:rsid w:val="001F62FE"/>
    <w:rsid w:val="002004C8"/>
    <w:rsid w:val="00204C4B"/>
    <w:rsid w:val="00213292"/>
    <w:rsid w:val="00221221"/>
    <w:rsid w:val="00224604"/>
    <w:rsid w:val="00225892"/>
    <w:rsid w:val="0022614E"/>
    <w:rsid w:val="00232234"/>
    <w:rsid w:val="002354FF"/>
    <w:rsid w:val="00237F3C"/>
    <w:rsid w:val="0025037E"/>
    <w:rsid w:val="00251AD9"/>
    <w:rsid w:val="00252859"/>
    <w:rsid w:val="00252989"/>
    <w:rsid w:val="00257460"/>
    <w:rsid w:val="00257E5B"/>
    <w:rsid w:val="00264ADE"/>
    <w:rsid w:val="00280C67"/>
    <w:rsid w:val="00290699"/>
    <w:rsid w:val="002A4315"/>
    <w:rsid w:val="002B0933"/>
    <w:rsid w:val="002B0CF3"/>
    <w:rsid w:val="002B5F01"/>
    <w:rsid w:val="002C00A4"/>
    <w:rsid w:val="002C371B"/>
    <w:rsid w:val="002C42F3"/>
    <w:rsid w:val="002C4337"/>
    <w:rsid w:val="002C4E50"/>
    <w:rsid w:val="002D0412"/>
    <w:rsid w:val="002D1F77"/>
    <w:rsid w:val="002D2AD2"/>
    <w:rsid w:val="002D612E"/>
    <w:rsid w:val="002D7052"/>
    <w:rsid w:val="002E188A"/>
    <w:rsid w:val="002E2959"/>
    <w:rsid w:val="002F067F"/>
    <w:rsid w:val="002F1446"/>
    <w:rsid w:val="002F7058"/>
    <w:rsid w:val="00303FA3"/>
    <w:rsid w:val="00304F2A"/>
    <w:rsid w:val="00304FC0"/>
    <w:rsid w:val="003129BB"/>
    <w:rsid w:val="00313B93"/>
    <w:rsid w:val="00314A15"/>
    <w:rsid w:val="00315496"/>
    <w:rsid w:val="00317830"/>
    <w:rsid w:val="00322A2F"/>
    <w:rsid w:val="00326E4B"/>
    <w:rsid w:val="00331618"/>
    <w:rsid w:val="003316D2"/>
    <w:rsid w:val="00337854"/>
    <w:rsid w:val="003379FF"/>
    <w:rsid w:val="003507E8"/>
    <w:rsid w:val="00353DB1"/>
    <w:rsid w:val="00356960"/>
    <w:rsid w:val="00356E22"/>
    <w:rsid w:val="00357981"/>
    <w:rsid w:val="00361546"/>
    <w:rsid w:val="00363DAB"/>
    <w:rsid w:val="00372118"/>
    <w:rsid w:val="003728E8"/>
    <w:rsid w:val="00375C6F"/>
    <w:rsid w:val="00375D31"/>
    <w:rsid w:val="00377A94"/>
    <w:rsid w:val="00377F03"/>
    <w:rsid w:val="003804F6"/>
    <w:rsid w:val="003836C3"/>
    <w:rsid w:val="00384FE3"/>
    <w:rsid w:val="00385CFB"/>
    <w:rsid w:val="00386A7A"/>
    <w:rsid w:val="003A1A0F"/>
    <w:rsid w:val="003A38B9"/>
    <w:rsid w:val="003A658A"/>
    <w:rsid w:val="003A69E3"/>
    <w:rsid w:val="003B4211"/>
    <w:rsid w:val="003B4966"/>
    <w:rsid w:val="003B53C6"/>
    <w:rsid w:val="003B7EF1"/>
    <w:rsid w:val="003C44AC"/>
    <w:rsid w:val="003C6670"/>
    <w:rsid w:val="003D036B"/>
    <w:rsid w:val="003E5C15"/>
    <w:rsid w:val="003E65EF"/>
    <w:rsid w:val="003F03E4"/>
    <w:rsid w:val="003F2645"/>
    <w:rsid w:val="003F3BD6"/>
    <w:rsid w:val="003F5AE6"/>
    <w:rsid w:val="003F61DD"/>
    <w:rsid w:val="004057AD"/>
    <w:rsid w:val="00410D31"/>
    <w:rsid w:val="00410DD3"/>
    <w:rsid w:val="004141CB"/>
    <w:rsid w:val="004145EB"/>
    <w:rsid w:val="00421555"/>
    <w:rsid w:val="00425936"/>
    <w:rsid w:val="00430370"/>
    <w:rsid w:val="004321BD"/>
    <w:rsid w:val="004400B5"/>
    <w:rsid w:val="00445407"/>
    <w:rsid w:val="00453ED0"/>
    <w:rsid w:val="004560EF"/>
    <w:rsid w:val="004578FD"/>
    <w:rsid w:val="004639F8"/>
    <w:rsid w:val="00465C64"/>
    <w:rsid w:val="00466FD4"/>
    <w:rsid w:val="00472BAC"/>
    <w:rsid w:val="00473F3A"/>
    <w:rsid w:val="00477E44"/>
    <w:rsid w:val="00484CD2"/>
    <w:rsid w:val="004861F4"/>
    <w:rsid w:val="0049162B"/>
    <w:rsid w:val="00494638"/>
    <w:rsid w:val="00496F89"/>
    <w:rsid w:val="004A0D10"/>
    <w:rsid w:val="004C3F81"/>
    <w:rsid w:val="004C48DA"/>
    <w:rsid w:val="004D145D"/>
    <w:rsid w:val="004E0F10"/>
    <w:rsid w:val="004E2E5A"/>
    <w:rsid w:val="004E4D89"/>
    <w:rsid w:val="004E5A72"/>
    <w:rsid w:val="004F41CB"/>
    <w:rsid w:val="004F6AF8"/>
    <w:rsid w:val="004F6E7D"/>
    <w:rsid w:val="00503449"/>
    <w:rsid w:val="0050773B"/>
    <w:rsid w:val="00510848"/>
    <w:rsid w:val="0051302A"/>
    <w:rsid w:val="0051318A"/>
    <w:rsid w:val="00516A8D"/>
    <w:rsid w:val="0052147C"/>
    <w:rsid w:val="005316DF"/>
    <w:rsid w:val="00535029"/>
    <w:rsid w:val="00536898"/>
    <w:rsid w:val="00540DC2"/>
    <w:rsid w:val="00541A3D"/>
    <w:rsid w:val="00542BDA"/>
    <w:rsid w:val="00547D46"/>
    <w:rsid w:val="00553E16"/>
    <w:rsid w:val="00557E11"/>
    <w:rsid w:val="00561249"/>
    <w:rsid w:val="00561A54"/>
    <w:rsid w:val="00565D78"/>
    <w:rsid w:val="0057354A"/>
    <w:rsid w:val="005741C6"/>
    <w:rsid w:val="00581F92"/>
    <w:rsid w:val="005823C8"/>
    <w:rsid w:val="005829FC"/>
    <w:rsid w:val="00582D72"/>
    <w:rsid w:val="00591846"/>
    <w:rsid w:val="005A0BD7"/>
    <w:rsid w:val="005A4784"/>
    <w:rsid w:val="005A6FDC"/>
    <w:rsid w:val="005B0FAD"/>
    <w:rsid w:val="005B2B7C"/>
    <w:rsid w:val="005B3B1D"/>
    <w:rsid w:val="005B455E"/>
    <w:rsid w:val="005B5DAD"/>
    <w:rsid w:val="005B6162"/>
    <w:rsid w:val="005B759B"/>
    <w:rsid w:val="005C0E64"/>
    <w:rsid w:val="005C115A"/>
    <w:rsid w:val="005C2030"/>
    <w:rsid w:val="005D44F8"/>
    <w:rsid w:val="005D4D17"/>
    <w:rsid w:val="005D6D5C"/>
    <w:rsid w:val="005E058A"/>
    <w:rsid w:val="005E09C4"/>
    <w:rsid w:val="005E16EA"/>
    <w:rsid w:val="005E4EBA"/>
    <w:rsid w:val="005E7F58"/>
    <w:rsid w:val="005F172D"/>
    <w:rsid w:val="005F415C"/>
    <w:rsid w:val="005F7A95"/>
    <w:rsid w:val="00610D4F"/>
    <w:rsid w:val="006212C0"/>
    <w:rsid w:val="006234F8"/>
    <w:rsid w:val="006238B1"/>
    <w:rsid w:val="00625594"/>
    <w:rsid w:val="00625752"/>
    <w:rsid w:val="00644ABB"/>
    <w:rsid w:val="00645142"/>
    <w:rsid w:val="0064766D"/>
    <w:rsid w:val="006533FB"/>
    <w:rsid w:val="00653CD6"/>
    <w:rsid w:val="006566AB"/>
    <w:rsid w:val="00662E7A"/>
    <w:rsid w:val="00663AAA"/>
    <w:rsid w:val="00663C7F"/>
    <w:rsid w:val="0066690A"/>
    <w:rsid w:val="00667CA9"/>
    <w:rsid w:val="00670DBC"/>
    <w:rsid w:val="006742C2"/>
    <w:rsid w:val="00677D1C"/>
    <w:rsid w:val="00682B18"/>
    <w:rsid w:val="0068432B"/>
    <w:rsid w:val="00691CCA"/>
    <w:rsid w:val="00695A6A"/>
    <w:rsid w:val="006A1598"/>
    <w:rsid w:val="006A528F"/>
    <w:rsid w:val="006A532C"/>
    <w:rsid w:val="006A7037"/>
    <w:rsid w:val="006A760C"/>
    <w:rsid w:val="006B0F4C"/>
    <w:rsid w:val="006B106C"/>
    <w:rsid w:val="006C015A"/>
    <w:rsid w:val="006C2BEC"/>
    <w:rsid w:val="006C6EC7"/>
    <w:rsid w:val="006C7D1F"/>
    <w:rsid w:val="006D47A7"/>
    <w:rsid w:val="006D4E8C"/>
    <w:rsid w:val="006D695A"/>
    <w:rsid w:val="006E037A"/>
    <w:rsid w:val="006E1944"/>
    <w:rsid w:val="006E4702"/>
    <w:rsid w:val="006F0E4E"/>
    <w:rsid w:val="006F132F"/>
    <w:rsid w:val="006F2426"/>
    <w:rsid w:val="006F48EE"/>
    <w:rsid w:val="00700B50"/>
    <w:rsid w:val="00705647"/>
    <w:rsid w:val="00706D14"/>
    <w:rsid w:val="00722395"/>
    <w:rsid w:val="007232E3"/>
    <w:rsid w:val="00727758"/>
    <w:rsid w:val="00727B1C"/>
    <w:rsid w:val="00732E8A"/>
    <w:rsid w:val="00745BF5"/>
    <w:rsid w:val="00750995"/>
    <w:rsid w:val="007539AB"/>
    <w:rsid w:val="00755427"/>
    <w:rsid w:val="00771701"/>
    <w:rsid w:val="00775198"/>
    <w:rsid w:val="00780A01"/>
    <w:rsid w:val="00780AFA"/>
    <w:rsid w:val="00782429"/>
    <w:rsid w:val="00783B3B"/>
    <w:rsid w:val="00784005"/>
    <w:rsid w:val="00787CCD"/>
    <w:rsid w:val="00792D06"/>
    <w:rsid w:val="007944AE"/>
    <w:rsid w:val="007A0309"/>
    <w:rsid w:val="007A155B"/>
    <w:rsid w:val="007A2DA9"/>
    <w:rsid w:val="007A4B35"/>
    <w:rsid w:val="007A6C58"/>
    <w:rsid w:val="007A7118"/>
    <w:rsid w:val="007B1F44"/>
    <w:rsid w:val="007B31E5"/>
    <w:rsid w:val="007C2709"/>
    <w:rsid w:val="007C2A5D"/>
    <w:rsid w:val="007C45E1"/>
    <w:rsid w:val="007C676E"/>
    <w:rsid w:val="007C69BE"/>
    <w:rsid w:val="007C7449"/>
    <w:rsid w:val="007D1C72"/>
    <w:rsid w:val="007D21B1"/>
    <w:rsid w:val="007D35A3"/>
    <w:rsid w:val="007D53DB"/>
    <w:rsid w:val="007E00AE"/>
    <w:rsid w:val="007E4FC8"/>
    <w:rsid w:val="007E5A9A"/>
    <w:rsid w:val="007E71BA"/>
    <w:rsid w:val="007F1BBC"/>
    <w:rsid w:val="007F202A"/>
    <w:rsid w:val="007F39E2"/>
    <w:rsid w:val="007F490E"/>
    <w:rsid w:val="007F6C43"/>
    <w:rsid w:val="00810B71"/>
    <w:rsid w:val="00813D16"/>
    <w:rsid w:val="00823B79"/>
    <w:rsid w:val="00824DC1"/>
    <w:rsid w:val="00825025"/>
    <w:rsid w:val="00826D70"/>
    <w:rsid w:val="00827BED"/>
    <w:rsid w:val="00831E48"/>
    <w:rsid w:val="00833352"/>
    <w:rsid w:val="00834C80"/>
    <w:rsid w:val="00847EA0"/>
    <w:rsid w:val="00853F4F"/>
    <w:rsid w:val="00855D20"/>
    <w:rsid w:val="00856270"/>
    <w:rsid w:val="00860326"/>
    <w:rsid w:val="00860E33"/>
    <w:rsid w:val="00864F03"/>
    <w:rsid w:val="0086665C"/>
    <w:rsid w:val="00871877"/>
    <w:rsid w:val="0087254C"/>
    <w:rsid w:val="00872B1C"/>
    <w:rsid w:val="008733D1"/>
    <w:rsid w:val="00873BFC"/>
    <w:rsid w:val="008865B5"/>
    <w:rsid w:val="0089127B"/>
    <w:rsid w:val="008927DC"/>
    <w:rsid w:val="00893276"/>
    <w:rsid w:val="008A0E7C"/>
    <w:rsid w:val="008A2F9D"/>
    <w:rsid w:val="008A3A49"/>
    <w:rsid w:val="008A3F91"/>
    <w:rsid w:val="008B047D"/>
    <w:rsid w:val="008B31D1"/>
    <w:rsid w:val="008B6494"/>
    <w:rsid w:val="008D0AAF"/>
    <w:rsid w:val="008D1853"/>
    <w:rsid w:val="008D5B02"/>
    <w:rsid w:val="008E3EC1"/>
    <w:rsid w:val="008E494F"/>
    <w:rsid w:val="008E5F64"/>
    <w:rsid w:val="008F08E1"/>
    <w:rsid w:val="008F33BC"/>
    <w:rsid w:val="008F3F1C"/>
    <w:rsid w:val="008F51FC"/>
    <w:rsid w:val="009024FF"/>
    <w:rsid w:val="009025B3"/>
    <w:rsid w:val="009029E3"/>
    <w:rsid w:val="00907400"/>
    <w:rsid w:val="009106DF"/>
    <w:rsid w:val="00911999"/>
    <w:rsid w:val="00916B07"/>
    <w:rsid w:val="009235CA"/>
    <w:rsid w:val="00926373"/>
    <w:rsid w:val="009265BF"/>
    <w:rsid w:val="0093123C"/>
    <w:rsid w:val="0093529E"/>
    <w:rsid w:val="00936DF4"/>
    <w:rsid w:val="009420D0"/>
    <w:rsid w:val="00944172"/>
    <w:rsid w:val="00945FFD"/>
    <w:rsid w:val="00952F07"/>
    <w:rsid w:val="00955412"/>
    <w:rsid w:val="009557B9"/>
    <w:rsid w:val="00955D02"/>
    <w:rsid w:val="00966FB6"/>
    <w:rsid w:val="00972843"/>
    <w:rsid w:val="0098123D"/>
    <w:rsid w:val="009843C9"/>
    <w:rsid w:val="009859BC"/>
    <w:rsid w:val="00993735"/>
    <w:rsid w:val="00996340"/>
    <w:rsid w:val="009A043F"/>
    <w:rsid w:val="009A2259"/>
    <w:rsid w:val="009B4C5C"/>
    <w:rsid w:val="009B5B51"/>
    <w:rsid w:val="009C4B7A"/>
    <w:rsid w:val="009C5843"/>
    <w:rsid w:val="009D0107"/>
    <w:rsid w:val="009E2D4F"/>
    <w:rsid w:val="009E72F6"/>
    <w:rsid w:val="009F410E"/>
    <w:rsid w:val="009F4F76"/>
    <w:rsid w:val="00A07C88"/>
    <w:rsid w:val="00A21B58"/>
    <w:rsid w:val="00A26657"/>
    <w:rsid w:val="00A30210"/>
    <w:rsid w:val="00A30B43"/>
    <w:rsid w:val="00A33818"/>
    <w:rsid w:val="00A40954"/>
    <w:rsid w:val="00A40A31"/>
    <w:rsid w:val="00A41F55"/>
    <w:rsid w:val="00A44F0F"/>
    <w:rsid w:val="00A45AF6"/>
    <w:rsid w:val="00A50350"/>
    <w:rsid w:val="00A531CA"/>
    <w:rsid w:val="00A64FE9"/>
    <w:rsid w:val="00A65EF5"/>
    <w:rsid w:val="00A66F0C"/>
    <w:rsid w:val="00A707CE"/>
    <w:rsid w:val="00A7143C"/>
    <w:rsid w:val="00A735FB"/>
    <w:rsid w:val="00A74514"/>
    <w:rsid w:val="00A76E86"/>
    <w:rsid w:val="00A82528"/>
    <w:rsid w:val="00A834CE"/>
    <w:rsid w:val="00A86B8E"/>
    <w:rsid w:val="00A93AE3"/>
    <w:rsid w:val="00A942B6"/>
    <w:rsid w:val="00A94E6B"/>
    <w:rsid w:val="00A955B5"/>
    <w:rsid w:val="00AA048A"/>
    <w:rsid w:val="00AA2288"/>
    <w:rsid w:val="00AA4A1D"/>
    <w:rsid w:val="00AA639E"/>
    <w:rsid w:val="00AB04EB"/>
    <w:rsid w:val="00AB24E5"/>
    <w:rsid w:val="00AB3CE7"/>
    <w:rsid w:val="00AC0A74"/>
    <w:rsid w:val="00AC66C8"/>
    <w:rsid w:val="00AD2E18"/>
    <w:rsid w:val="00AD3440"/>
    <w:rsid w:val="00AE581E"/>
    <w:rsid w:val="00AE5CC2"/>
    <w:rsid w:val="00AF04F1"/>
    <w:rsid w:val="00AF139B"/>
    <w:rsid w:val="00AF4CB9"/>
    <w:rsid w:val="00AF4DA2"/>
    <w:rsid w:val="00AF53C9"/>
    <w:rsid w:val="00AF5BA4"/>
    <w:rsid w:val="00AF61E1"/>
    <w:rsid w:val="00AF6411"/>
    <w:rsid w:val="00B01C36"/>
    <w:rsid w:val="00B045E3"/>
    <w:rsid w:val="00B0487E"/>
    <w:rsid w:val="00B07928"/>
    <w:rsid w:val="00B12FDC"/>
    <w:rsid w:val="00B1762A"/>
    <w:rsid w:val="00B2545B"/>
    <w:rsid w:val="00B31E04"/>
    <w:rsid w:val="00B32D54"/>
    <w:rsid w:val="00B34628"/>
    <w:rsid w:val="00B36653"/>
    <w:rsid w:val="00B369ED"/>
    <w:rsid w:val="00B37153"/>
    <w:rsid w:val="00B406F6"/>
    <w:rsid w:val="00B40CB5"/>
    <w:rsid w:val="00B410D3"/>
    <w:rsid w:val="00B44FF3"/>
    <w:rsid w:val="00B4655D"/>
    <w:rsid w:val="00B4792D"/>
    <w:rsid w:val="00B5049B"/>
    <w:rsid w:val="00B52625"/>
    <w:rsid w:val="00B61EB1"/>
    <w:rsid w:val="00B6774E"/>
    <w:rsid w:val="00B717BB"/>
    <w:rsid w:val="00B719F6"/>
    <w:rsid w:val="00B74DF2"/>
    <w:rsid w:val="00B75398"/>
    <w:rsid w:val="00B806E9"/>
    <w:rsid w:val="00B8380F"/>
    <w:rsid w:val="00B86A90"/>
    <w:rsid w:val="00B87237"/>
    <w:rsid w:val="00B92E82"/>
    <w:rsid w:val="00BA04EF"/>
    <w:rsid w:val="00BA190B"/>
    <w:rsid w:val="00BA1B16"/>
    <w:rsid w:val="00BA1E51"/>
    <w:rsid w:val="00BA2693"/>
    <w:rsid w:val="00BA4974"/>
    <w:rsid w:val="00BB144C"/>
    <w:rsid w:val="00BB2026"/>
    <w:rsid w:val="00BB25B9"/>
    <w:rsid w:val="00BB41B3"/>
    <w:rsid w:val="00BC4E15"/>
    <w:rsid w:val="00BC51E0"/>
    <w:rsid w:val="00BC5FBA"/>
    <w:rsid w:val="00BD196F"/>
    <w:rsid w:val="00BD3F0E"/>
    <w:rsid w:val="00BD425F"/>
    <w:rsid w:val="00BD493D"/>
    <w:rsid w:val="00BD7589"/>
    <w:rsid w:val="00BE2145"/>
    <w:rsid w:val="00BE31A5"/>
    <w:rsid w:val="00BE3B9A"/>
    <w:rsid w:val="00BE43F3"/>
    <w:rsid w:val="00BE4429"/>
    <w:rsid w:val="00BF0A8E"/>
    <w:rsid w:val="00BF2092"/>
    <w:rsid w:val="00BF2158"/>
    <w:rsid w:val="00BF614F"/>
    <w:rsid w:val="00BF780B"/>
    <w:rsid w:val="00C050EE"/>
    <w:rsid w:val="00C1546D"/>
    <w:rsid w:val="00C16624"/>
    <w:rsid w:val="00C23E7F"/>
    <w:rsid w:val="00C26524"/>
    <w:rsid w:val="00C273C6"/>
    <w:rsid w:val="00C326BB"/>
    <w:rsid w:val="00C331B5"/>
    <w:rsid w:val="00C335B3"/>
    <w:rsid w:val="00C3397B"/>
    <w:rsid w:val="00C36B63"/>
    <w:rsid w:val="00C42025"/>
    <w:rsid w:val="00C42FCB"/>
    <w:rsid w:val="00C463A4"/>
    <w:rsid w:val="00C502FD"/>
    <w:rsid w:val="00C51CA1"/>
    <w:rsid w:val="00C52D5B"/>
    <w:rsid w:val="00C57D7C"/>
    <w:rsid w:val="00C57FE1"/>
    <w:rsid w:val="00C6022F"/>
    <w:rsid w:val="00C60FB9"/>
    <w:rsid w:val="00C66F18"/>
    <w:rsid w:val="00C71DF4"/>
    <w:rsid w:val="00C73618"/>
    <w:rsid w:val="00C76A9E"/>
    <w:rsid w:val="00C76EAE"/>
    <w:rsid w:val="00C81A64"/>
    <w:rsid w:val="00C821E1"/>
    <w:rsid w:val="00C83AE5"/>
    <w:rsid w:val="00C90EEF"/>
    <w:rsid w:val="00C93569"/>
    <w:rsid w:val="00CA17B5"/>
    <w:rsid w:val="00CA47EB"/>
    <w:rsid w:val="00CB131F"/>
    <w:rsid w:val="00CB3B0D"/>
    <w:rsid w:val="00CB409C"/>
    <w:rsid w:val="00CB612C"/>
    <w:rsid w:val="00CB6769"/>
    <w:rsid w:val="00CB6843"/>
    <w:rsid w:val="00CC1A3C"/>
    <w:rsid w:val="00CC3ECF"/>
    <w:rsid w:val="00CD496D"/>
    <w:rsid w:val="00CE0577"/>
    <w:rsid w:val="00CE6F41"/>
    <w:rsid w:val="00CF042D"/>
    <w:rsid w:val="00CF1B40"/>
    <w:rsid w:val="00CF1DFA"/>
    <w:rsid w:val="00CF31D9"/>
    <w:rsid w:val="00CF4C4A"/>
    <w:rsid w:val="00CF5FD1"/>
    <w:rsid w:val="00CF7A45"/>
    <w:rsid w:val="00CF7D3A"/>
    <w:rsid w:val="00D04642"/>
    <w:rsid w:val="00D07A0C"/>
    <w:rsid w:val="00D1659A"/>
    <w:rsid w:val="00D23AB3"/>
    <w:rsid w:val="00D25719"/>
    <w:rsid w:val="00D303ED"/>
    <w:rsid w:val="00D36DC5"/>
    <w:rsid w:val="00D40156"/>
    <w:rsid w:val="00D40CD2"/>
    <w:rsid w:val="00D503ED"/>
    <w:rsid w:val="00D54CC5"/>
    <w:rsid w:val="00D555DD"/>
    <w:rsid w:val="00D56523"/>
    <w:rsid w:val="00D631CC"/>
    <w:rsid w:val="00D63384"/>
    <w:rsid w:val="00D63C87"/>
    <w:rsid w:val="00D64B9E"/>
    <w:rsid w:val="00D64C91"/>
    <w:rsid w:val="00D67AE9"/>
    <w:rsid w:val="00D70385"/>
    <w:rsid w:val="00D7276A"/>
    <w:rsid w:val="00D75A55"/>
    <w:rsid w:val="00D7680E"/>
    <w:rsid w:val="00D83CA8"/>
    <w:rsid w:val="00D85506"/>
    <w:rsid w:val="00D911EC"/>
    <w:rsid w:val="00D91DBF"/>
    <w:rsid w:val="00D95D46"/>
    <w:rsid w:val="00DA43D7"/>
    <w:rsid w:val="00DA53B5"/>
    <w:rsid w:val="00DA7D0E"/>
    <w:rsid w:val="00DB33D1"/>
    <w:rsid w:val="00DB4303"/>
    <w:rsid w:val="00DC13D4"/>
    <w:rsid w:val="00DC6972"/>
    <w:rsid w:val="00DC6E58"/>
    <w:rsid w:val="00DD1813"/>
    <w:rsid w:val="00DD1CEB"/>
    <w:rsid w:val="00DD1D1B"/>
    <w:rsid w:val="00E019D4"/>
    <w:rsid w:val="00E03557"/>
    <w:rsid w:val="00E04B77"/>
    <w:rsid w:val="00E10AA9"/>
    <w:rsid w:val="00E17937"/>
    <w:rsid w:val="00E23854"/>
    <w:rsid w:val="00E25065"/>
    <w:rsid w:val="00E272FF"/>
    <w:rsid w:val="00E27D7C"/>
    <w:rsid w:val="00E35D42"/>
    <w:rsid w:val="00E35E7F"/>
    <w:rsid w:val="00E35FA9"/>
    <w:rsid w:val="00E4238A"/>
    <w:rsid w:val="00E46197"/>
    <w:rsid w:val="00E512E8"/>
    <w:rsid w:val="00E53642"/>
    <w:rsid w:val="00E61649"/>
    <w:rsid w:val="00E61BD3"/>
    <w:rsid w:val="00E61F02"/>
    <w:rsid w:val="00E76EBE"/>
    <w:rsid w:val="00E8055E"/>
    <w:rsid w:val="00E86A71"/>
    <w:rsid w:val="00E87FD9"/>
    <w:rsid w:val="00E921F5"/>
    <w:rsid w:val="00EA52E5"/>
    <w:rsid w:val="00EB4527"/>
    <w:rsid w:val="00EB5431"/>
    <w:rsid w:val="00EC157E"/>
    <w:rsid w:val="00EC4DC4"/>
    <w:rsid w:val="00ED65F4"/>
    <w:rsid w:val="00ED66AF"/>
    <w:rsid w:val="00ED680C"/>
    <w:rsid w:val="00ED68CB"/>
    <w:rsid w:val="00EE05E7"/>
    <w:rsid w:val="00EE2D16"/>
    <w:rsid w:val="00EE7D3A"/>
    <w:rsid w:val="00EF0F10"/>
    <w:rsid w:val="00EF2DF1"/>
    <w:rsid w:val="00EF5C93"/>
    <w:rsid w:val="00F00BC4"/>
    <w:rsid w:val="00F023CE"/>
    <w:rsid w:val="00F04081"/>
    <w:rsid w:val="00F04E54"/>
    <w:rsid w:val="00F064E6"/>
    <w:rsid w:val="00F06C8E"/>
    <w:rsid w:val="00F13BA5"/>
    <w:rsid w:val="00F14354"/>
    <w:rsid w:val="00F14E77"/>
    <w:rsid w:val="00F175B0"/>
    <w:rsid w:val="00F24839"/>
    <w:rsid w:val="00F24FC8"/>
    <w:rsid w:val="00F2501C"/>
    <w:rsid w:val="00F25456"/>
    <w:rsid w:val="00F26776"/>
    <w:rsid w:val="00F329BF"/>
    <w:rsid w:val="00F32A00"/>
    <w:rsid w:val="00F342D7"/>
    <w:rsid w:val="00F3687C"/>
    <w:rsid w:val="00F47EEA"/>
    <w:rsid w:val="00F647C1"/>
    <w:rsid w:val="00F64CBC"/>
    <w:rsid w:val="00F74D78"/>
    <w:rsid w:val="00F77247"/>
    <w:rsid w:val="00F91B37"/>
    <w:rsid w:val="00F9241E"/>
    <w:rsid w:val="00F92AFE"/>
    <w:rsid w:val="00F949E4"/>
    <w:rsid w:val="00F95A8B"/>
    <w:rsid w:val="00F97CBE"/>
    <w:rsid w:val="00FA0475"/>
    <w:rsid w:val="00FA0556"/>
    <w:rsid w:val="00FA2A0A"/>
    <w:rsid w:val="00FA480C"/>
    <w:rsid w:val="00FA6409"/>
    <w:rsid w:val="00FA75BE"/>
    <w:rsid w:val="00FB689B"/>
    <w:rsid w:val="00FB7195"/>
    <w:rsid w:val="00FC0BFE"/>
    <w:rsid w:val="00FC16C8"/>
    <w:rsid w:val="00FD1447"/>
    <w:rsid w:val="00FD3F40"/>
    <w:rsid w:val="00FE44E3"/>
    <w:rsid w:val="00FE74DE"/>
    <w:rsid w:val="00FF628D"/>
    <w:rsid w:val="00FF6FBD"/>
    <w:rsid w:val="00FF7F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97A361-EB30-4946-B4E4-9DA400FB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F91"/>
    <w:pPr>
      <w:bidi/>
      <w:spacing w:line="360" w:lineRule="auto"/>
      <w:jc w:val="both"/>
    </w:pPr>
    <w:rPr>
      <w:rFonts w:cs="David"/>
      <w:szCs w:val="28"/>
    </w:rPr>
  </w:style>
  <w:style w:type="paragraph" w:styleId="1">
    <w:name w:val="heading 1"/>
    <w:basedOn w:val="a"/>
    <w:next w:val="a"/>
    <w:link w:val="10"/>
    <w:uiPriority w:val="9"/>
    <w:qFormat/>
    <w:rsid w:val="004303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303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921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577"/>
    <w:pPr>
      <w:ind w:left="720"/>
      <w:contextualSpacing/>
    </w:pPr>
  </w:style>
  <w:style w:type="paragraph" w:styleId="a4">
    <w:name w:val="footnote text"/>
    <w:basedOn w:val="a"/>
    <w:link w:val="a5"/>
    <w:unhideWhenUsed/>
    <w:rsid w:val="00A66F0C"/>
    <w:pPr>
      <w:spacing w:after="0" w:line="240" w:lineRule="auto"/>
    </w:pPr>
    <w:rPr>
      <w:sz w:val="20"/>
      <w:szCs w:val="20"/>
    </w:rPr>
  </w:style>
  <w:style w:type="character" w:customStyle="1" w:styleId="a5">
    <w:name w:val="טקסט הערת שוליים תו"/>
    <w:basedOn w:val="a0"/>
    <w:link w:val="a4"/>
    <w:uiPriority w:val="99"/>
    <w:rsid w:val="00A66F0C"/>
    <w:rPr>
      <w:sz w:val="20"/>
      <w:szCs w:val="20"/>
    </w:rPr>
  </w:style>
  <w:style w:type="character" w:styleId="a6">
    <w:name w:val="footnote reference"/>
    <w:basedOn w:val="a0"/>
    <w:semiHidden/>
    <w:unhideWhenUsed/>
    <w:rsid w:val="00A66F0C"/>
    <w:rPr>
      <w:vertAlign w:val="superscript"/>
    </w:rPr>
  </w:style>
  <w:style w:type="character" w:customStyle="1" w:styleId="10">
    <w:name w:val="כותרת 1 תו"/>
    <w:basedOn w:val="a0"/>
    <w:link w:val="1"/>
    <w:uiPriority w:val="9"/>
    <w:rsid w:val="00430370"/>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430370"/>
    <w:pPr>
      <w:outlineLvl w:val="9"/>
    </w:pPr>
    <w:rPr>
      <w:rtl/>
      <w:cs/>
    </w:rPr>
  </w:style>
  <w:style w:type="paragraph" w:styleId="TOC1">
    <w:name w:val="toc 1"/>
    <w:basedOn w:val="a"/>
    <w:next w:val="a"/>
    <w:autoRedefine/>
    <w:uiPriority w:val="39"/>
    <w:unhideWhenUsed/>
    <w:rsid w:val="00782429"/>
    <w:pPr>
      <w:spacing w:after="0"/>
      <w:jc w:val="left"/>
    </w:pPr>
    <w:rPr>
      <w:bCs/>
      <w:szCs w:val="24"/>
    </w:rPr>
  </w:style>
  <w:style w:type="paragraph" w:styleId="TOC2">
    <w:name w:val="toc 2"/>
    <w:basedOn w:val="a"/>
    <w:next w:val="a"/>
    <w:autoRedefine/>
    <w:uiPriority w:val="39"/>
    <w:unhideWhenUsed/>
    <w:rsid w:val="00E921F5"/>
    <w:pPr>
      <w:tabs>
        <w:tab w:val="left" w:pos="1100"/>
        <w:tab w:val="right" w:leader="dot" w:pos="8296"/>
      </w:tabs>
      <w:spacing w:after="100"/>
      <w:ind w:left="221"/>
      <w:jc w:val="left"/>
    </w:pPr>
    <w:rPr>
      <w:noProof/>
      <w:color w:val="000000" w:themeColor="text1"/>
      <w:szCs w:val="22"/>
    </w:rPr>
  </w:style>
  <w:style w:type="character" w:styleId="Hyperlink">
    <w:name w:val="Hyperlink"/>
    <w:basedOn w:val="a0"/>
    <w:uiPriority w:val="99"/>
    <w:unhideWhenUsed/>
    <w:rsid w:val="00430370"/>
    <w:rPr>
      <w:color w:val="0563C1" w:themeColor="hyperlink"/>
      <w:u w:val="single"/>
    </w:rPr>
  </w:style>
  <w:style w:type="character" w:customStyle="1" w:styleId="20">
    <w:name w:val="כותרת 2 תו"/>
    <w:basedOn w:val="a0"/>
    <w:link w:val="2"/>
    <w:uiPriority w:val="9"/>
    <w:semiHidden/>
    <w:rsid w:val="00430370"/>
    <w:rPr>
      <w:rFonts w:asciiTheme="majorHAnsi" w:eastAsiaTheme="majorEastAsia" w:hAnsiTheme="majorHAnsi" w:cstheme="majorBidi"/>
      <w:color w:val="2E74B5" w:themeColor="accent1" w:themeShade="BF"/>
      <w:sz w:val="26"/>
      <w:szCs w:val="26"/>
    </w:rPr>
  </w:style>
  <w:style w:type="paragraph" w:customStyle="1" w:styleId="21">
    <w:name w:val="רמה 2"/>
    <w:basedOn w:val="a"/>
    <w:link w:val="22"/>
    <w:qFormat/>
    <w:rsid w:val="00825025"/>
    <w:rPr>
      <w:bCs/>
      <w:color w:val="000000" w:themeColor="text1"/>
    </w:rPr>
  </w:style>
  <w:style w:type="paragraph" w:customStyle="1" w:styleId="11">
    <w:name w:val="רמה 1"/>
    <w:basedOn w:val="21"/>
    <w:link w:val="12"/>
    <w:qFormat/>
    <w:rsid w:val="00825025"/>
    <w:rPr>
      <w:szCs w:val="32"/>
    </w:rPr>
  </w:style>
  <w:style w:type="character" w:customStyle="1" w:styleId="22">
    <w:name w:val="רמה 2 תו"/>
    <w:basedOn w:val="a0"/>
    <w:link w:val="21"/>
    <w:rsid w:val="00825025"/>
    <w:rPr>
      <w:rFonts w:cs="David"/>
      <w:bCs/>
      <w:color w:val="000000" w:themeColor="text1"/>
      <w:szCs w:val="28"/>
    </w:rPr>
  </w:style>
  <w:style w:type="character" w:customStyle="1" w:styleId="12">
    <w:name w:val="רמה 1 תו"/>
    <w:basedOn w:val="22"/>
    <w:link w:val="11"/>
    <w:rsid w:val="00825025"/>
    <w:rPr>
      <w:rFonts w:cs="David"/>
      <w:bCs/>
      <w:color w:val="000000" w:themeColor="text1"/>
      <w:szCs w:val="32"/>
    </w:rPr>
  </w:style>
  <w:style w:type="paragraph" w:styleId="TOC3">
    <w:name w:val="toc 3"/>
    <w:basedOn w:val="a"/>
    <w:next w:val="a"/>
    <w:autoRedefine/>
    <w:uiPriority w:val="39"/>
    <w:unhideWhenUsed/>
    <w:rsid w:val="00A50350"/>
    <w:pPr>
      <w:spacing w:after="100"/>
      <w:ind w:left="442"/>
      <w:jc w:val="left"/>
    </w:pPr>
    <w:rPr>
      <w:szCs w:val="22"/>
    </w:rPr>
  </w:style>
  <w:style w:type="paragraph" w:styleId="a8">
    <w:name w:val="Balloon Text"/>
    <w:basedOn w:val="a"/>
    <w:link w:val="a9"/>
    <w:uiPriority w:val="99"/>
    <w:semiHidden/>
    <w:unhideWhenUsed/>
    <w:rsid w:val="00304F2A"/>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04F2A"/>
    <w:rPr>
      <w:rFonts w:ascii="Tahoma" w:hAnsi="Tahoma" w:cs="Tahoma"/>
      <w:sz w:val="18"/>
      <w:szCs w:val="18"/>
    </w:rPr>
  </w:style>
  <w:style w:type="paragraph" w:styleId="aa">
    <w:name w:val="header"/>
    <w:basedOn w:val="a"/>
    <w:link w:val="ab"/>
    <w:uiPriority w:val="99"/>
    <w:unhideWhenUsed/>
    <w:rsid w:val="003A658A"/>
    <w:pPr>
      <w:tabs>
        <w:tab w:val="center" w:pos="4153"/>
        <w:tab w:val="right" w:pos="8306"/>
      </w:tabs>
      <w:spacing w:after="0" w:line="240" w:lineRule="auto"/>
    </w:pPr>
  </w:style>
  <w:style w:type="character" w:customStyle="1" w:styleId="ab">
    <w:name w:val="כותרת עליונה תו"/>
    <w:basedOn w:val="a0"/>
    <w:link w:val="aa"/>
    <w:uiPriority w:val="99"/>
    <w:rsid w:val="003A658A"/>
    <w:rPr>
      <w:rFonts w:cs="David"/>
      <w:szCs w:val="28"/>
    </w:rPr>
  </w:style>
  <w:style w:type="paragraph" w:styleId="ac">
    <w:name w:val="footer"/>
    <w:basedOn w:val="a"/>
    <w:link w:val="ad"/>
    <w:uiPriority w:val="99"/>
    <w:unhideWhenUsed/>
    <w:rsid w:val="003A658A"/>
    <w:pPr>
      <w:tabs>
        <w:tab w:val="center" w:pos="4153"/>
        <w:tab w:val="right" w:pos="8306"/>
      </w:tabs>
      <w:spacing w:after="0" w:line="240" w:lineRule="auto"/>
    </w:pPr>
  </w:style>
  <w:style w:type="character" w:customStyle="1" w:styleId="ad">
    <w:name w:val="כותרת תחתונה תו"/>
    <w:basedOn w:val="a0"/>
    <w:link w:val="ac"/>
    <w:uiPriority w:val="99"/>
    <w:rsid w:val="003A658A"/>
    <w:rPr>
      <w:rFonts w:cs="David"/>
      <w:szCs w:val="28"/>
    </w:rPr>
  </w:style>
  <w:style w:type="paragraph" w:styleId="NormalWeb">
    <w:name w:val="Normal (Web)"/>
    <w:basedOn w:val="a"/>
    <w:uiPriority w:val="99"/>
    <w:semiHidden/>
    <w:unhideWhenUsed/>
    <w:rsid w:val="005F7A95"/>
    <w:rPr>
      <w:rFonts w:ascii="Times New Roman" w:hAnsi="Times New Roman" w:cs="Times New Roman"/>
      <w:sz w:val="24"/>
      <w:szCs w:val="24"/>
    </w:rPr>
  </w:style>
  <w:style w:type="paragraph" w:styleId="ae">
    <w:name w:val="Bibliography"/>
    <w:basedOn w:val="a"/>
    <w:next w:val="a"/>
    <w:uiPriority w:val="37"/>
    <w:unhideWhenUsed/>
    <w:rsid w:val="004E5A72"/>
  </w:style>
  <w:style w:type="paragraph" w:styleId="TOC4">
    <w:name w:val="toc 4"/>
    <w:basedOn w:val="a"/>
    <w:next w:val="a"/>
    <w:autoRedefine/>
    <w:uiPriority w:val="39"/>
    <w:unhideWhenUsed/>
    <w:rsid w:val="00E27D7C"/>
    <w:pPr>
      <w:spacing w:after="100" w:line="259" w:lineRule="auto"/>
      <w:ind w:left="660"/>
      <w:jc w:val="left"/>
    </w:pPr>
    <w:rPr>
      <w:rFonts w:eastAsiaTheme="minorEastAsia" w:cstheme="minorBidi"/>
      <w:szCs w:val="22"/>
    </w:rPr>
  </w:style>
  <w:style w:type="paragraph" w:styleId="TOC5">
    <w:name w:val="toc 5"/>
    <w:basedOn w:val="a"/>
    <w:next w:val="a"/>
    <w:autoRedefine/>
    <w:uiPriority w:val="39"/>
    <w:unhideWhenUsed/>
    <w:rsid w:val="00E27D7C"/>
    <w:pPr>
      <w:spacing w:after="100" w:line="259" w:lineRule="auto"/>
      <w:ind w:left="880"/>
      <w:jc w:val="left"/>
    </w:pPr>
    <w:rPr>
      <w:rFonts w:eastAsiaTheme="minorEastAsia" w:cstheme="minorBidi"/>
      <w:szCs w:val="22"/>
    </w:rPr>
  </w:style>
  <w:style w:type="paragraph" w:styleId="TOC6">
    <w:name w:val="toc 6"/>
    <w:basedOn w:val="a"/>
    <w:next w:val="a"/>
    <w:autoRedefine/>
    <w:uiPriority w:val="39"/>
    <w:unhideWhenUsed/>
    <w:rsid w:val="00E27D7C"/>
    <w:pPr>
      <w:spacing w:after="100" w:line="259" w:lineRule="auto"/>
      <w:ind w:left="1100"/>
      <w:jc w:val="left"/>
    </w:pPr>
    <w:rPr>
      <w:rFonts w:eastAsiaTheme="minorEastAsia" w:cstheme="minorBidi"/>
      <w:szCs w:val="22"/>
    </w:rPr>
  </w:style>
  <w:style w:type="paragraph" w:styleId="TOC7">
    <w:name w:val="toc 7"/>
    <w:basedOn w:val="a"/>
    <w:next w:val="a"/>
    <w:autoRedefine/>
    <w:uiPriority w:val="39"/>
    <w:unhideWhenUsed/>
    <w:rsid w:val="00E27D7C"/>
    <w:pPr>
      <w:spacing w:after="100" w:line="259" w:lineRule="auto"/>
      <w:ind w:left="1320"/>
      <w:jc w:val="left"/>
    </w:pPr>
    <w:rPr>
      <w:rFonts w:eastAsiaTheme="minorEastAsia" w:cstheme="minorBidi"/>
      <w:szCs w:val="22"/>
    </w:rPr>
  </w:style>
  <w:style w:type="paragraph" w:styleId="TOC8">
    <w:name w:val="toc 8"/>
    <w:basedOn w:val="a"/>
    <w:next w:val="a"/>
    <w:autoRedefine/>
    <w:uiPriority w:val="39"/>
    <w:unhideWhenUsed/>
    <w:rsid w:val="00E27D7C"/>
    <w:pPr>
      <w:spacing w:after="100" w:line="259" w:lineRule="auto"/>
      <w:ind w:left="1540"/>
      <w:jc w:val="left"/>
    </w:pPr>
    <w:rPr>
      <w:rFonts w:eastAsiaTheme="minorEastAsia" w:cstheme="minorBidi"/>
      <w:szCs w:val="22"/>
    </w:rPr>
  </w:style>
  <w:style w:type="paragraph" w:styleId="TOC9">
    <w:name w:val="toc 9"/>
    <w:basedOn w:val="a"/>
    <w:next w:val="a"/>
    <w:autoRedefine/>
    <w:uiPriority w:val="39"/>
    <w:unhideWhenUsed/>
    <w:rsid w:val="00E27D7C"/>
    <w:pPr>
      <w:spacing w:after="100" w:line="259" w:lineRule="auto"/>
      <w:ind w:left="1760"/>
      <w:jc w:val="left"/>
    </w:pPr>
    <w:rPr>
      <w:rFonts w:eastAsiaTheme="minorEastAsia" w:cstheme="minorBidi"/>
      <w:szCs w:val="22"/>
    </w:rPr>
  </w:style>
  <w:style w:type="character" w:customStyle="1" w:styleId="30">
    <w:name w:val="כותרת 3 תו"/>
    <w:basedOn w:val="a0"/>
    <w:link w:val="3"/>
    <w:uiPriority w:val="9"/>
    <w:semiHidden/>
    <w:rsid w:val="00E921F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3196">
      <w:bodyDiv w:val="1"/>
      <w:marLeft w:val="0"/>
      <w:marRight w:val="0"/>
      <w:marTop w:val="0"/>
      <w:marBottom w:val="0"/>
      <w:divBdr>
        <w:top w:val="none" w:sz="0" w:space="0" w:color="auto"/>
        <w:left w:val="none" w:sz="0" w:space="0" w:color="auto"/>
        <w:bottom w:val="none" w:sz="0" w:space="0" w:color="auto"/>
        <w:right w:val="none" w:sz="0" w:space="0" w:color="auto"/>
      </w:divBdr>
    </w:div>
    <w:div w:id="192697617">
      <w:bodyDiv w:val="1"/>
      <w:marLeft w:val="0"/>
      <w:marRight w:val="0"/>
      <w:marTop w:val="0"/>
      <w:marBottom w:val="0"/>
      <w:divBdr>
        <w:top w:val="none" w:sz="0" w:space="0" w:color="auto"/>
        <w:left w:val="none" w:sz="0" w:space="0" w:color="auto"/>
        <w:bottom w:val="none" w:sz="0" w:space="0" w:color="auto"/>
        <w:right w:val="none" w:sz="0" w:space="0" w:color="auto"/>
      </w:divBdr>
    </w:div>
    <w:div w:id="212161560">
      <w:bodyDiv w:val="1"/>
      <w:marLeft w:val="0"/>
      <w:marRight w:val="0"/>
      <w:marTop w:val="0"/>
      <w:marBottom w:val="0"/>
      <w:divBdr>
        <w:top w:val="none" w:sz="0" w:space="0" w:color="auto"/>
        <w:left w:val="none" w:sz="0" w:space="0" w:color="auto"/>
        <w:bottom w:val="none" w:sz="0" w:space="0" w:color="auto"/>
        <w:right w:val="none" w:sz="0" w:space="0" w:color="auto"/>
      </w:divBdr>
    </w:div>
    <w:div w:id="286667351">
      <w:bodyDiv w:val="1"/>
      <w:marLeft w:val="0"/>
      <w:marRight w:val="0"/>
      <w:marTop w:val="0"/>
      <w:marBottom w:val="0"/>
      <w:divBdr>
        <w:top w:val="none" w:sz="0" w:space="0" w:color="auto"/>
        <w:left w:val="none" w:sz="0" w:space="0" w:color="auto"/>
        <w:bottom w:val="none" w:sz="0" w:space="0" w:color="auto"/>
        <w:right w:val="none" w:sz="0" w:space="0" w:color="auto"/>
      </w:divBdr>
    </w:div>
    <w:div w:id="325600257">
      <w:bodyDiv w:val="1"/>
      <w:marLeft w:val="0"/>
      <w:marRight w:val="0"/>
      <w:marTop w:val="0"/>
      <w:marBottom w:val="0"/>
      <w:divBdr>
        <w:top w:val="none" w:sz="0" w:space="0" w:color="auto"/>
        <w:left w:val="none" w:sz="0" w:space="0" w:color="auto"/>
        <w:bottom w:val="none" w:sz="0" w:space="0" w:color="auto"/>
        <w:right w:val="none" w:sz="0" w:space="0" w:color="auto"/>
      </w:divBdr>
    </w:div>
    <w:div w:id="329455385">
      <w:bodyDiv w:val="1"/>
      <w:marLeft w:val="0"/>
      <w:marRight w:val="0"/>
      <w:marTop w:val="0"/>
      <w:marBottom w:val="0"/>
      <w:divBdr>
        <w:top w:val="none" w:sz="0" w:space="0" w:color="auto"/>
        <w:left w:val="none" w:sz="0" w:space="0" w:color="auto"/>
        <w:bottom w:val="none" w:sz="0" w:space="0" w:color="auto"/>
        <w:right w:val="none" w:sz="0" w:space="0" w:color="auto"/>
      </w:divBdr>
    </w:div>
    <w:div w:id="553544120">
      <w:bodyDiv w:val="1"/>
      <w:marLeft w:val="0"/>
      <w:marRight w:val="0"/>
      <w:marTop w:val="0"/>
      <w:marBottom w:val="0"/>
      <w:divBdr>
        <w:top w:val="none" w:sz="0" w:space="0" w:color="auto"/>
        <w:left w:val="none" w:sz="0" w:space="0" w:color="auto"/>
        <w:bottom w:val="none" w:sz="0" w:space="0" w:color="auto"/>
        <w:right w:val="none" w:sz="0" w:space="0" w:color="auto"/>
      </w:divBdr>
    </w:div>
    <w:div w:id="831411814">
      <w:bodyDiv w:val="1"/>
      <w:marLeft w:val="0"/>
      <w:marRight w:val="0"/>
      <w:marTop w:val="0"/>
      <w:marBottom w:val="0"/>
      <w:divBdr>
        <w:top w:val="none" w:sz="0" w:space="0" w:color="auto"/>
        <w:left w:val="none" w:sz="0" w:space="0" w:color="auto"/>
        <w:bottom w:val="none" w:sz="0" w:space="0" w:color="auto"/>
        <w:right w:val="none" w:sz="0" w:space="0" w:color="auto"/>
      </w:divBdr>
    </w:div>
    <w:div w:id="1134710095">
      <w:bodyDiv w:val="1"/>
      <w:marLeft w:val="0"/>
      <w:marRight w:val="0"/>
      <w:marTop w:val="0"/>
      <w:marBottom w:val="0"/>
      <w:divBdr>
        <w:top w:val="none" w:sz="0" w:space="0" w:color="auto"/>
        <w:left w:val="none" w:sz="0" w:space="0" w:color="auto"/>
        <w:bottom w:val="none" w:sz="0" w:space="0" w:color="auto"/>
        <w:right w:val="none" w:sz="0" w:space="0" w:color="auto"/>
      </w:divBdr>
      <w:divsChild>
        <w:div w:id="163857693">
          <w:marLeft w:val="0"/>
          <w:marRight w:val="0"/>
          <w:marTop w:val="0"/>
          <w:marBottom w:val="0"/>
          <w:divBdr>
            <w:top w:val="none" w:sz="0" w:space="0" w:color="auto"/>
            <w:left w:val="none" w:sz="0" w:space="0" w:color="auto"/>
            <w:bottom w:val="none" w:sz="0" w:space="0" w:color="auto"/>
            <w:right w:val="none" w:sz="0" w:space="0" w:color="auto"/>
          </w:divBdr>
        </w:div>
        <w:div w:id="218437708">
          <w:marLeft w:val="0"/>
          <w:marRight w:val="0"/>
          <w:marTop w:val="0"/>
          <w:marBottom w:val="0"/>
          <w:divBdr>
            <w:top w:val="none" w:sz="0" w:space="0" w:color="auto"/>
            <w:left w:val="none" w:sz="0" w:space="0" w:color="auto"/>
            <w:bottom w:val="none" w:sz="0" w:space="0" w:color="auto"/>
            <w:right w:val="none" w:sz="0" w:space="0" w:color="auto"/>
          </w:divBdr>
        </w:div>
        <w:div w:id="910387422">
          <w:marLeft w:val="0"/>
          <w:marRight w:val="0"/>
          <w:marTop w:val="0"/>
          <w:marBottom w:val="0"/>
          <w:divBdr>
            <w:top w:val="none" w:sz="0" w:space="0" w:color="auto"/>
            <w:left w:val="none" w:sz="0" w:space="0" w:color="auto"/>
            <w:bottom w:val="none" w:sz="0" w:space="0" w:color="auto"/>
            <w:right w:val="none" w:sz="0" w:space="0" w:color="auto"/>
          </w:divBdr>
        </w:div>
      </w:divsChild>
    </w:div>
    <w:div w:id="1228149568">
      <w:bodyDiv w:val="1"/>
      <w:marLeft w:val="0"/>
      <w:marRight w:val="0"/>
      <w:marTop w:val="0"/>
      <w:marBottom w:val="0"/>
      <w:divBdr>
        <w:top w:val="none" w:sz="0" w:space="0" w:color="auto"/>
        <w:left w:val="none" w:sz="0" w:space="0" w:color="auto"/>
        <w:bottom w:val="none" w:sz="0" w:space="0" w:color="auto"/>
        <w:right w:val="none" w:sz="0" w:space="0" w:color="auto"/>
      </w:divBdr>
      <w:divsChild>
        <w:div w:id="199244656">
          <w:marLeft w:val="0"/>
          <w:marRight w:val="0"/>
          <w:marTop w:val="0"/>
          <w:marBottom w:val="0"/>
          <w:divBdr>
            <w:top w:val="none" w:sz="0" w:space="0" w:color="auto"/>
            <w:left w:val="none" w:sz="0" w:space="0" w:color="auto"/>
            <w:bottom w:val="none" w:sz="0" w:space="0" w:color="auto"/>
            <w:right w:val="none" w:sz="0" w:space="0" w:color="auto"/>
          </w:divBdr>
        </w:div>
        <w:div w:id="317271292">
          <w:marLeft w:val="0"/>
          <w:marRight w:val="0"/>
          <w:marTop w:val="0"/>
          <w:marBottom w:val="0"/>
          <w:divBdr>
            <w:top w:val="none" w:sz="0" w:space="0" w:color="auto"/>
            <w:left w:val="none" w:sz="0" w:space="0" w:color="auto"/>
            <w:bottom w:val="none" w:sz="0" w:space="0" w:color="auto"/>
            <w:right w:val="none" w:sz="0" w:space="0" w:color="auto"/>
          </w:divBdr>
        </w:div>
        <w:div w:id="361826568">
          <w:marLeft w:val="0"/>
          <w:marRight w:val="0"/>
          <w:marTop w:val="0"/>
          <w:marBottom w:val="0"/>
          <w:divBdr>
            <w:top w:val="none" w:sz="0" w:space="0" w:color="auto"/>
            <w:left w:val="none" w:sz="0" w:space="0" w:color="auto"/>
            <w:bottom w:val="none" w:sz="0" w:space="0" w:color="auto"/>
            <w:right w:val="none" w:sz="0" w:space="0" w:color="auto"/>
          </w:divBdr>
        </w:div>
        <w:div w:id="617683175">
          <w:marLeft w:val="0"/>
          <w:marRight w:val="0"/>
          <w:marTop w:val="0"/>
          <w:marBottom w:val="0"/>
          <w:divBdr>
            <w:top w:val="none" w:sz="0" w:space="0" w:color="auto"/>
            <w:left w:val="none" w:sz="0" w:space="0" w:color="auto"/>
            <w:bottom w:val="none" w:sz="0" w:space="0" w:color="auto"/>
            <w:right w:val="none" w:sz="0" w:space="0" w:color="auto"/>
          </w:divBdr>
        </w:div>
        <w:div w:id="699940537">
          <w:marLeft w:val="0"/>
          <w:marRight w:val="0"/>
          <w:marTop w:val="0"/>
          <w:marBottom w:val="0"/>
          <w:divBdr>
            <w:top w:val="none" w:sz="0" w:space="0" w:color="auto"/>
            <w:left w:val="none" w:sz="0" w:space="0" w:color="auto"/>
            <w:bottom w:val="none" w:sz="0" w:space="0" w:color="auto"/>
            <w:right w:val="none" w:sz="0" w:space="0" w:color="auto"/>
          </w:divBdr>
        </w:div>
        <w:div w:id="797383279">
          <w:marLeft w:val="0"/>
          <w:marRight w:val="0"/>
          <w:marTop w:val="0"/>
          <w:marBottom w:val="0"/>
          <w:divBdr>
            <w:top w:val="none" w:sz="0" w:space="0" w:color="auto"/>
            <w:left w:val="none" w:sz="0" w:space="0" w:color="auto"/>
            <w:bottom w:val="none" w:sz="0" w:space="0" w:color="auto"/>
            <w:right w:val="none" w:sz="0" w:space="0" w:color="auto"/>
          </w:divBdr>
        </w:div>
        <w:div w:id="845365971">
          <w:marLeft w:val="0"/>
          <w:marRight w:val="0"/>
          <w:marTop w:val="0"/>
          <w:marBottom w:val="0"/>
          <w:divBdr>
            <w:top w:val="none" w:sz="0" w:space="0" w:color="auto"/>
            <w:left w:val="none" w:sz="0" w:space="0" w:color="auto"/>
            <w:bottom w:val="none" w:sz="0" w:space="0" w:color="auto"/>
            <w:right w:val="none" w:sz="0" w:space="0" w:color="auto"/>
          </w:divBdr>
        </w:div>
        <w:div w:id="963928473">
          <w:marLeft w:val="0"/>
          <w:marRight w:val="0"/>
          <w:marTop w:val="0"/>
          <w:marBottom w:val="0"/>
          <w:divBdr>
            <w:top w:val="none" w:sz="0" w:space="0" w:color="auto"/>
            <w:left w:val="none" w:sz="0" w:space="0" w:color="auto"/>
            <w:bottom w:val="none" w:sz="0" w:space="0" w:color="auto"/>
            <w:right w:val="none" w:sz="0" w:space="0" w:color="auto"/>
          </w:divBdr>
        </w:div>
        <w:div w:id="1129517976">
          <w:marLeft w:val="0"/>
          <w:marRight w:val="0"/>
          <w:marTop w:val="0"/>
          <w:marBottom w:val="0"/>
          <w:divBdr>
            <w:top w:val="none" w:sz="0" w:space="0" w:color="auto"/>
            <w:left w:val="none" w:sz="0" w:space="0" w:color="auto"/>
            <w:bottom w:val="none" w:sz="0" w:space="0" w:color="auto"/>
            <w:right w:val="none" w:sz="0" w:space="0" w:color="auto"/>
          </w:divBdr>
        </w:div>
        <w:div w:id="1291857754">
          <w:marLeft w:val="0"/>
          <w:marRight w:val="0"/>
          <w:marTop w:val="0"/>
          <w:marBottom w:val="0"/>
          <w:divBdr>
            <w:top w:val="none" w:sz="0" w:space="0" w:color="auto"/>
            <w:left w:val="none" w:sz="0" w:space="0" w:color="auto"/>
            <w:bottom w:val="none" w:sz="0" w:space="0" w:color="auto"/>
            <w:right w:val="none" w:sz="0" w:space="0" w:color="auto"/>
          </w:divBdr>
        </w:div>
        <w:div w:id="1330906903">
          <w:marLeft w:val="0"/>
          <w:marRight w:val="0"/>
          <w:marTop w:val="0"/>
          <w:marBottom w:val="0"/>
          <w:divBdr>
            <w:top w:val="none" w:sz="0" w:space="0" w:color="auto"/>
            <w:left w:val="none" w:sz="0" w:space="0" w:color="auto"/>
            <w:bottom w:val="none" w:sz="0" w:space="0" w:color="auto"/>
            <w:right w:val="none" w:sz="0" w:space="0" w:color="auto"/>
          </w:divBdr>
        </w:div>
        <w:div w:id="1422138466">
          <w:marLeft w:val="0"/>
          <w:marRight w:val="0"/>
          <w:marTop w:val="0"/>
          <w:marBottom w:val="0"/>
          <w:divBdr>
            <w:top w:val="none" w:sz="0" w:space="0" w:color="auto"/>
            <w:left w:val="none" w:sz="0" w:space="0" w:color="auto"/>
            <w:bottom w:val="none" w:sz="0" w:space="0" w:color="auto"/>
            <w:right w:val="none" w:sz="0" w:space="0" w:color="auto"/>
          </w:divBdr>
        </w:div>
        <w:div w:id="1441950195">
          <w:marLeft w:val="0"/>
          <w:marRight w:val="0"/>
          <w:marTop w:val="0"/>
          <w:marBottom w:val="0"/>
          <w:divBdr>
            <w:top w:val="none" w:sz="0" w:space="0" w:color="auto"/>
            <w:left w:val="none" w:sz="0" w:space="0" w:color="auto"/>
            <w:bottom w:val="none" w:sz="0" w:space="0" w:color="auto"/>
            <w:right w:val="none" w:sz="0" w:space="0" w:color="auto"/>
          </w:divBdr>
        </w:div>
        <w:div w:id="1473254539">
          <w:marLeft w:val="0"/>
          <w:marRight w:val="0"/>
          <w:marTop w:val="0"/>
          <w:marBottom w:val="0"/>
          <w:divBdr>
            <w:top w:val="none" w:sz="0" w:space="0" w:color="auto"/>
            <w:left w:val="none" w:sz="0" w:space="0" w:color="auto"/>
            <w:bottom w:val="none" w:sz="0" w:space="0" w:color="auto"/>
            <w:right w:val="none" w:sz="0" w:space="0" w:color="auto"/>
          </w:divBdr>
        </w:div>
        <w:div w:id="1527908619">
          <w:marLeft w:val="0"/>
          <w:marRight w:val="0"/>
          <w:marTop w:val="0"/>
          <w:marBottom w:val="0"/>
          <w:divBdr>
            <w:top w:val="none" w:sz="0" w:space="0" w:color="auto"/>
            <w:left w:val="none" w:sz="0" w:space="0" w:color="auto"/>
            <w:bottom w:val="none" w:sz="0" w:space="0" w:color="auto"/>
            <w:right w:val="none" w:sz="0" w:space="0" w:color="auto"/>
          </w:divBdr>
        </w:div>
        <w:div w:id="1546990845">
          <w:marLeft w:val="0"/>
          <w:marRight w:val="0"/>
          <w:marTop w:val="0"/>
          <w:marBottom w:val="0"/>
          <w:divBdr>
            <w:top w:val="none" w:sz="0" w:space="0" w:color="auto"/>
            <w:left w:val="none" w:sz="0" w:space="0" w:color="auto"/>
            <w:bottom w:val="none" w:sz="0" w:space="0" w:color="auto"/>
            <w:right w:val="none" w:sz="0" w:space="0" w:color="auto"/>
          </w:divBdr>
        </w:div>
        <w:div w:id="1725522549">
          <w:marLeft w:val="0"/>
          <w:marRight w:val="0"/>
          <w:marTop w:val="0"/>
          <w:marBottom w:val="0"/>
          <w:divBdr>
            <w:top w:val="none" w:sz="0" w:space="0" w:color="auto"/>
            <w:left w:val="none" w:sz="0" w:space="0" w:color="auto"/>
            <w:bottom w:val="none" w:sz="0" w:space="0" w:color="auto"/>
            <w:right w:val="none" w:sz="0" w:space="0" w:color="auto"/>
          </w:divBdr>
        </w:div>
        <w:div w:id="1793397079">
          <w:marLeft w:val="0"/>
          <w:marRight w:val="0"/>
          <w:marTop w:val="0"/>
          <w:marBottom w:val="0"/>
          <w:divBdr>
            <w:top w:val="none" w:sz="0" w:space="0" w:color="auto"/>
            <w:left w:val="none" w:sz="0" w:space="0" w:color="auto"/>
            <w:bottom w:val="none" w:sz="0" w:space="0" w:color="auto"/>
            <w:right w:val="none" w:sz="0" w:space="0" w:color="auto"/>
          </w:divBdr>
        </w:div>
        <w:div w:id="1914779537">
          <w:marLeft w:val="0"/>
          <w:marRight w:val="0"/>
          <w:marTop w:val="0"/>
          <w:marBottom w:val="0"/>
          <w:divBdr>
            <w:top w:val="none" w:sz="0" w:space="0" w:color="auto"/>
            <w:left w:val="none" w:sz="0" w:space="0" w:color="auto"/>
            <w:bottom w:val="none" w:sz="0" w:space="0" w:color="auto"/>
            <w:right w:val="none" w:sz="0" w:space="0" w:color="auto"/>
          </w:divBdr>
        </w:div>
      </w:divsChild>
    </w:div>
    <w:div w:id="1307051008">
      <w:bodyDiv w:val="1"/>
      <w:marLeft w:val="0"/>
      <w:marRight w:val="0"/>
      <w:marTop w:val="0"/>
      <w:marBottom w:val="0"/>
      <w:divBdr>
        <w:top w:val="none" w:sz="0" w:space="0" w:color="auto"/>
        <w:left w:val="none" w:sz="0" w:space="0" w:color="auto"/>
        <w:bottom w:val="none" w:sz="0" w:space="0" w:color="auto"/>
        <w:right w:val="none" w:sz="0" w:space="0" w:color="auto"/>
      </w:divBdr>
    </w:div>
    <w:div w:id="1322732520">
      <w:bodyDiv w:val="1"/>
      <w:marLeft w:val="0"/>
      <w:marRight w:val="0"/>
      <w:marTop w:val="0"/>
      <w:marBottom w:val="0"/>
      <w:divBdr>
        <w:top w:val="none" w:sz="0" w:space="0" w:color="auto"/>
        <w:left w:val="none" w:sz="0" w:space="0" w:color="auto"/>
        <w:bottom w:val="none" w:sz="0" w:space="0" w:color="auto"/>
        <w:right w:val="none" w:sz="0" w:space="0" w:color="auto"/>
      </w:divBdr>
    </w:div>
    <w:div w:id="1392843871">
      <w:bodyDiv w:val="1"/>
      <w:marLeft w:val="0"/>
      <w:marRight w:val="0"/>
      <w:marTop w:val="0"/>
      <w:marBottom w:val="0"/>
      <w:divBdr>
        <w:top w:val="none" w:sz="0" w:space="0" w:color="auto"/>
        <w:left w:val="none" w:sz="0" w:space="0" w:color="auto"/>
        <w:bottom w:val="none" w:sz="0" w:space="0" w:color="auto"/>
        <w:right w:val="none" w:sz="0" w:space="0" w:color="auto"/>
      </w:divBdr>
    </w:div>
    <w:div w:id="1557737516">
      <w:bodyDiv w:val="1"/>
      <w:marLeft w:val="0"/>
      <w:marRight w:val="0"/>
      <w:marTop w:val="0"/>
      <w:marBottom w:val="0"/>
      <w:divBdr>
        <w:top w:val="none" w:sz="0" w:space="0" w:color="auto"/>
        <w:left w:val="none" w:sz="0" w:space="0" w:color="auto"/>
        <w:bottom w:val="none" w:sz="0" w:space="0" w:color="auto"/>
        <w:right w:val="none" w:sz="0" w:space="0" w:color="auto"/>
      </w:divBdr>
    </w:div>
    <w:div w:id="1604453498">
      <w:bodyDiv w:val="1"/>
      <w:marLeft w:val="0"/>
      <w:marRight w:val="0"/>
      <w:marTop w:val="0"/>
      <w:marBottom w:val="0"/>
      <w:divBdr>
        <w:top w:val="none" w:sz="0" w:space="0" w:color="auto"/>
        <w:left w:val="none" w:sz="0" w:space="0" w:color="auto"/>
        <w:bottom w:val="none" w:sz="0" w:space="0" w:color="auto"/>
        <w:right w:val="none" w:sz="0" w:space="0" w:color="auto"/>
      </w:divBdr>
    </w:div>
    <w:div w:id="1656030231">
      <w:bodyDiv w:val="1"/>
      <w:marLeft w:val="0"/>
      <w:marRight w:val="0"/>
      <w:marTop w:val="0"/>
      <w:marBottom w:val="0"/>
      <w:divBdr>
        <w:top w:val="none" w:sz="0" w:space="0" w:color="auto"/>
        <w:left w:val="none" w:sz="0" w:space="0" w:color="auto"/>
        <w:bottom w:val="none" w:sz="0" w:space="0" w:color="auto"/>
        <w:right w:val="none" w:sz="0" w:space="0" w:color="auto"/>
      </w:divBdr>
    </w:div>
    <w:div w:id="1949585554">
      <w:bodyDiv w:val="1"/>
      <w:marLeft w:val="0"/>
      <w:marRight w:val="0"/>
      <w:marTop w:val="0"/>
      <w:marBottom w:val="0"/>
      <w:divBdr>
        <w:top w:val="none" w:sz="0" w:space="0" w:color="auto"/>
        <w:left w:val="none" w:sz="0" w:space="0" w:color="auto"/>
        <w:bottom w:val="none" w:sz="0" w:space="0" w:color="auto"/>
        <w:right w:val="none" w:sz="0" w:space="0" w:color="auto"/>
      </w:divBdr>
    </w:div>
    <w:div w:id="1989088468">
      <w:bodyDiv w:val="1"/>
      <w:marLeft w:val="0"/>
      <w:marRight w:val="0"/>
      <w:marTop w:val="0"/>
      <w:marBottom w:val="0"/>
      <w:divBdr>
        <w:top w:val="none" w:sz="0" w:space="0" w:color="auto"/>
        <w:left w:val="none" w:sz="0" w:space="0" w:color="auto"/>
        <w:bottom w:val="none" w:sz="0" w:space="0" w:color="auto"/>
        <w:right w:val="none" w:sz="0" w:space="0" w:color="auto"/>
      </w:divBdr>
    </w:div>
    <w:div w:id="210842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tools.wmflabs.org/hewiki-tools/redirect.php?q=http://www.haaretz.co.il/1.1231011" TargetMode="External"/><Relationship Id="rId2" Type="http://schemas.openxmlformats.org/officeDocument/2006/relationships/hyperlink" Target="https://he.wikipedia.org/wiki/%D7%94%D7%90%D7%A8%D7%A5" TargetMode="External"/><Relationship Id="rId1" Type="http://schemas.openxmlformats.org/officeDocument/2006/relationships/hyperlink" Target="http://tools.wmflabs.org/hewiki-tools/redirect.php?q=http://www.haaretz.co.il/1.1191266" TargetMode="External"/><Relationship Id="rId5" Type="http://schemas.openxmlformats.org/officeDocument/2006/relationships/hyperlink" Target="http://www.ynet.co.il/articles/0,7340,L-4893274,00.html" TargetMode="External"/><Relationship Id="rId4" Type="http://schemas.openxmlformats.org/officeDocument/2006/relationships/hyperlink" Target="https://he.wikipedia.org/wiki/%D7%94%D7%90%D7%A8%D7%A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2359FCC3EA62644911C8110AAEB703E" ma:contentTypeVersion="5" ma:contentTypeDescription="צור מסמך חדש." ma:contentTypeScope="" ma:versionID="1d476220071b77289d869a96ed0205a4">
  <xsd:schema xmlns:xsd="http://www.w3.org/2001/XMLSchema" xmlns:xs="http://www.w3.org/2001/XMLSchema" xmlns:p="http://schemas.microsoft.com/office/2006/metadata/properties" xmlns:ns2="89c54716-84f6-445f-8fe8-5fd6cbcea9dc" targetNamespace="http://schemas.microsoft.com/office/2006/metadata/properties" ma:root="true" ma:fieldsID="c04ea04131b0331e34ce3549833b34f3" ns2:_="">
    <xsd:import namespace="89c54716-84f6-445f-8fe8-5fd6cbcea9dc"/>
    <xsd:element name="properties">
      <xsd:complexType>
        <xsd:sequence>
          <xsd:element name="documentManagement">
            <xsd:complexType>
              <xsd:all>
                <xsd:element ref="ns2:_x05e9__x05dd__x0020__x05d4__x05ea__x05dc__x05de__x05d9__x05d3_"/>
                <xsd:element ref="ns2:_x05de__x05d7__x05d6__x05d5__x05e8__x0020__x05dc__x05d9__x05de__x05d5__x05d3_"/>
                <xsd:element ref="ns2:_x05ea__x05e7__x05e6__x05d9__x05e8_" minOccurs="0"/>
                <xsd:element ref="ns2:_x05de__x05e1__x0027__x0020__x05e2__x05de__x05d5__x05d3__x05d9__x05dd_" minOccurs="0"/>
                <xsd:element ref="ns2:_x05e1__x05d9__x05d5__x05d5__x05d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54716-84f6-445f-8fe8-5fd6cbcea9dc" elementFormDefault="qualified">
    <xsd:import namespace="http://schemas.microsoft.com/office/2006/documentManagement/types"/>
    <xsd:import namespace="http://schemas.microsoft.com/office/infopath/2007/PartnerControls"/>
    <xsd:element name="_x05e9__x05dd__x0020__x05d4__x05ea__x05dc__x05de__x05d9__x05d3_" ma:index="8" ma:displayName="שם החניך" ma:internalName="_x05e9__x05dd__x0020__x05d4__x05ea__x05dc__x05de__x05d9__x05d3_">
      <xsd:simpleType>
        <xsd:restriction base="dms:Text">
          <xsd:maxLength value="255"/>
        </xsd:restriction>
      </xsd:simpleType>
    </xsd:element>
    <xsd:element name="_x05de__x05d7__x05d6__x05d5__x05e8__x0020__x05dc__x05d9__x05de__x05d5__x05d3_" ma:index="9" ma:displayName="מחזור לימוד" ma:default="לסידור" ma:format="Dropdown" ma:internalName="_x05de__x05d7__x05d6__x05d5__x05e8__x0020__x05dc__x05d9__x05de__x05d5__x05d3_">
      <xsd:simpleType>
        <xsd:restriction base="dms:Choice">
          <xsd:enumeration value="ל&quot;ז"/>
          <xsd:enumeration value="ל&quot;ח"/>
          <xsd:enumeration value="ל&quot;ט"/>
          <xsd:enumeration value="מ"/>
          <xsd:enumeration value="מ&quot;א"/>
          <xsd:enumeration value="מ&quot;ב"/>
          <xsd:enumeration value="מ&quot;ג"/>
          <xsd:enumeration value="לסידור"/>
          <xsd:enumeration value="ל&quot;ו"/>
          <xsd:enumeration value="ל&quot;ה"/>
          <xsd:enumeration value="ל&quot;ד"/>
          <xsd:enumeration value="ל&quot;ג"/>
          <xsd:enumeration value="ל&quot;ב"/>
          <xsd:enumeration value="ל&quot;א"/>
          <xsd:enumeration value="מ&quot;ד"/>
        </xsd:restriction>
      </xsd:simpleType>
    </xsd:element>
    <xsd:element name="_x05ea__x05e7__x05e6__x05d9__x05e8_" ma:index="10" nillable="true" ma:displayName="תקציר" ma:internalName="_x05ea__x05e7__x05e6__x05d9__x05e8_">
      <xsd:simpleType>
        <xsd:restriction base="dms:Note">
          <xsd:maxLength value="255"/>
        </xsd:restriction>
      </xsd:simpleType>
    </xsd:element>
    <xsd:element name="_x05de__x05e1__x0027__x0020__x05e2__x05de__x05d5__x05d3__x05d9__x05dd_" ma:index="11" nillable="true" ma:displayName="מס' עמודים" ma:internalName="_x05de__x05e1__x0027__x0020__x05e2__x05de__x05d5__x05d3__x05d9__x05dd_">
      <xsd:simpleType>
        <xsd:restriction base="dms:Text">
          <xsd:maxLength value="255"/>
        </xsd:restriction>
      </xsd:simpleType>
    </xsd:element>
    <xsd:element name="_x05e1__x05d9__x05d5__x05d5__x05d2_" ma:index="12" nillable="true" ma:displayName="סיווג" ma:default="בלמ&quot;ס" ma:format="Dropdown" ma:internalName="_x05e1__x05d9__x05d5__x05d5__x05d2_">
      <xsd:simpleType>
        <xsd:restriction base="dms:Choice">
          <xsd:enumeration value="בלמ&quot;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שם העבודה"/>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5e1__x05d9__x05d5__x05d5__x05d2_ xmlns="89c54716-84f6-445f-8fe8-5fd6cbcea9dc">בלמ"ס</_x05e1__x05d9__x05d5__x05d5__x05d2_>
    <_x05e9__x05dd__x0020__x05d4__x05ea__x05dc__x05de__x05d9__x05d3_ xmlns="89c54716-84f6-445f-8fe8-5fd6cbcea9dc">אבינעם סטולוביץ'</_x05e9__x05dd__x0020__x05d4__x05ea__x05dc__x05de__x05d9__x05d3_>
    <_x05de__x05d7__x05d6__x05d5__x05e8__x0020__x05dc__x05d9__x05de__x05d5__x05d3_ xmlns="89c54716-84f6-445f-8fe8-5fd6cbcea9dc">מ"ד</_x05de__x05d7__x05d6__x05d5__x05e8__x0020__x05dc__x05d9__x05de__x05d5__x05d3_>
    <_x05de__x05e1__x0027__x0020__x05e2__x05de__x05d5__x05d3__x05d9__x05dd_ xmlns="89c54716-84f6-445f-8fe8-5fd6cbcea9dc" xsi:nil="true"/>
    <_x05ea__x05e7__x05e6__x05d9__x05e8_ xmlns="89c54716-84f6-445f-8fe8-5fd6cbcea9dc">עניינה של עבודה זו הוא בהצבעה על הפוטנציאל הגלום בהפעלת הכוחות המיוחדים בעידן המלחמות המתהווה בימינו. מטרת העבודה איננה רק לסמן את הפוטנציאל הקיים כפי שהוסבר עד כה, אלא לקיים דיון תפיסתי באשר למקומה של "מערכה של מיוחדים", בחירום ובלחימה.</_x05ea__x05e7__x05e6__x05d9__x05e8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52164-73B0-4277-B113-BFF0EF6F2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54716-84f6-445f-8fe8-5fd6cbcea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38BC7-A292-443E-A088-18373BA4ACB2}">
  <ds:schemaRefs>
    <ds:schemaRef ds:uri="http://schemas.microsoft.com/sharepoint/v3/contenttype/forms"/>
  </ds:schemaRefs>
</ds:datastoreItem>
</file>

<file path=customXml/itemProps3.xml><?xml version="1.0" encoding="utf-8"?>
<ds:datastoreItem xmlns:ds="http://schemas.openxmlformats.org/officeDocument/2006/customXml" ds:itemID="{6F537622-2A55-4431-A9A9-6D2F2F0DF99C}">
  <ds:schemaRefs>
    <ds:schemaRef ds:uri="http://schemas.microsoft.com/office/2006/metadata/properties"/>
    <ds:schemaRef ds:uri="http://schemas.microsoft.com/office/infopath/2007/PartnerControls"/>
    <ds:schemaRef ds:uri="89c54716-84f6-445f-8fe8-5fd6cbcea9dc"/>
  </ds:schemaRefs>
</ds:datastoreItem>
</file>

<file path=customXml/itemProps4.xml><?xml version="1.0" encoding="utf-8"?>
<ds:datastoreItem xmlns:ds="http://schemas.openxmlformats.org/officeDocument/2006/customXml" ds:itemID="{A0C7948E-ABBF-451C-99EC-3BE863C39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2102</Words>
  <Characters>10515</Characters>
  <Application>Microsoft Office Word</Application>
  <DocSecurity>0</DocSecurity>
  <Lines>87</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תפקידם של הכוחות המיוחדים בשדה הקרב המתהווה</vt:lpstr>
      <vt:lpstr>תפקידם של הכוחות המיוחדים בשדה הקרב המתהווה</vt:lpstr>
    </vt:vector>
  </TitlesOfParts>
  <Company/>
  <LinksUpToDate>false</LinksUpToDate>
  <CharactersWithSpaces>12592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תפקידם של הכוחות המיוחדים בשדה הקרב המתהווה</dc:title>
  <dc:subject/>
  <dc:creator>u26648</dc:creator>
  <cp:keywords/>
  <dc:description/>
  <cp:lastModifiedBy>u26633</cp:lastModifiedBy>
  <cp:revision>7</cp:revision>
  <cp:lastPrinted>2017-02-27T04:26:00Z</cp:lastPrinted>
  <dcterms:created xsi:type="dcterms:W3CDTF">2018-01-21T14:44:00Z</dcterms:created>
  <dcterms:modified xsi:type="dcterms:W3CDTF">2018-01-21T15:09:00Z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0x01010062359FCC3EA62644911C8110AAEB703E</vt:lpwstr>
  </property>
</Properties>
</file>