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4D" w:rsidRDefault="00517340" w:rsidP="00CD66F5">
      <w:pPr>
        <w:bidi/>
        <w:spacing w:after="120" w:line="360" w:lineRule="auto"/>
        <w:ind w:left="360"/>
        <w:jc w:val="center"/>
        <w:rPr>
          <w:rFonts w:ascii="David" w:hAnsi="David" w:cs="David"/>
          <w:b/>
          <w:bCs/>
          <w:sz w:val="28"/>
          <w:szCs w:val="28"/>
          <w:rtl/>
        </w:rPr>
      </w:pPr>
      <w:r>
        <w:rPr>
          <w:rFonts w:ascii="David" w:hAnsi="David" w:cs="David" w:hint="cs"/>
          <w:b/>
          <w:bCs/>
          <w:sz w:val="28"/>
          <w:szCs w:val="28"/>
          <w:rtl/>
        </w:rPr>
        <w:t>מבחן בית בקורס מוש</w:t>
      </w:r>
      <w:r w:rsidR="00395CF4">
        <w:rPr>
          <w:rFonts w:ascii="David" w:hAnsi="David" w:cs="David" w:hint="cs"/>
          <w:b/>
          <w:bCs/>
          <w:sz w:val="28"/>
          <w:szCs w:val="28"/>
          <w:rtl/>
        </w:rPr>
        <w:t>גי יסוד בביטחון לאומי</w:t>
      </w:r>
    </w:p>
    <w:p w:rsidR="00CD66F5" w:rsidRPr="00CD66F5" w:rsidRDefault="00CD66F5" w:rsidP="00CD66F5">
      <w:pPr>
        <w:bidi/>
        <w:spacing w:after="120" w:line="360" w:lineRule="auto"/>
        <w:ind w:left="360"/>
        <w:jc w:val="center"/>
        <w:rPr>
          <w:rFonts w:ascii="David" w:hAnsi="David" w:cs="David"/>
          <w:b/>
          <w:bCs/>
          <w:sz w:val="28"/>
          <w:szCs w:val="28"/>
          <w:rtl/>
        </w:rPr>
      </w:pPr>
      <w:r>
        <w:rPr>
          <w:rFonts w:ascii="David" w:hAnsi="David" w:cs="David" w:hint="cs"/>
          <w:b/>
          <w:bCs/>
          <w:sz w:val="28"/>
          <w:szCs w:val="28"/>
          <w:rtl/>
        </w:rPr>
        <w:t>עמית סער 032924144</w:t>
      </w:r>
    </w:p>
    <w:p w:rsidR="000A5F9E" w:rsidRDefault="000A5F9E" w:rsidP="002C5605">
      <w:pPr>
        <w:bidi/>
        <w:spacing w:after="120" w:line="360" w:lineRule="auto"/>
        <w:ind w:left="360"/>
        <w:jc w:val="both"/>
        <w:rPr>
          <w:rFonts w:ascii="David" w:hAnsi="David" w:cs="David"/>
          <w:b/>
          <w:bCs/>
          <w:sz w:val="28"/>
          <w:szCs w:val="28"/>
          <w:rtl/>
        </w:rPr>
      </w:pPr>
    </w:p>
    <w:p w:rsidR="00936BAE" w:rsidRPr="00395CF4" w:rsidRDefault="00395CF4" w:rsidP="00395CF4">
      <w:pPr>
        <w:bidi/>
        <w:spacing w:after="120" w:line="360" w:lineRule="auto"/>
        <w:jc w:val="both"/>
        <w:rPr>
          <w:rFonts w:ascii="David" w:hAnsi="David" w:cs="David"/>
          <w:b/>
          <w:bCs/>
          <w:sz w:val="28"/>
          <w:szCs w:val="28"/>
          <w:rtl/>
        </w:rPr>
      </w:pPr>
      <w:r w:rsidRPr="00395CF4">
        <w:rPr>
          <w:rFonts w:ascii="David" w:hAnsi="David" w:cs="David" w:hint="cs"/>
          <w:b/>
          <w:bCs/>
          <w:sz w:val="28"/>
          <w:szCs w:val="28"/>
          <w:rtl/>
        </w:rPr>
        <w:t xml:space="preserve">שאלה </w:t>
      </w:r>
      <w:r>
        <w:rPr>
          <w:rFonts w:ascii="David" w:hAnsi="David" w:cs="David" w:hint="cs"/>
          <w:b/>
          <w:bCs/>
          <w:sz w:val="28"/>
          <w:szCs w:val="28"/>
          <w:rtl/>
        </w:rPr>
        <w:t>מספר 1</w:t>
      </w:r>
    </w:p>
    <w:p w:rsidR="00E81237" w:rsidRPr="005C4A05" w:rsidRDefault="00395CF4" w:rsidP="00517340">
      <w:pPr>
        <w:bidi/>
        <w:spacing w:after="120" w:line="360" w:lineRule="auto"/>
        <w:ind w:left="360"/>
        <w:jc w:val="both"/>
        <w:rPr>
          <w:rFonts w:cs="David"/>
          <w:sz w:val="28"/>
          <w:szCs w:val="28"/>
          <w:rtl/>
        </w:rPr>
      </w:pPr>
      <w:r>
        <w:rPr>
          <w:rFonts w:ascii="David" w:hAnsi="David" w:cs="David" w:hint="cs"/>
          <w:sz w:val="28"/>
          <w:szCs w:val="28"/>
          <w:rtl/>
        </w:rPr>
        <w:t>הטענה לפיה מדינת הלאום נחלשת</w:t>
      </w:r>
      <w:r w:rsidR="00B4669F">
        <w:rPr>
          <w:rFonts w:ascii="David" w:hAnsi="David" w:cs="David" w:hint="cs"/>
          <w:sz w:val="28"/>
          <w:szCs w:val="28"/>
          <w:rtl/>
        </w:rPr>
        <w:t xml:space="preserve"> נוכחת בספרות המקצועית, ובפוליטיקה העולמית, כבר למעלה משלושה ע</w:t>
      </w:r>
      <w:r w:rsidR="00E81237">
        <w:rPr>
          <w:rFonts w:ascii="David" w:hAnsi="David" w:cs="David" w:hint="cs"/>
          <w:sz w:val="28"/>
          <w:szCs w:val="28"/>
          <w:rtl/>
        </w:rPr>
        <w:t>שורים. תומכי טענה זאת, העריכו שהמפגש העוצמתי בין תהליך הגלובליזציה לבין מדינת הלאום יוביל לדיפוזיה של עוצמה מהמדינה לארגונים על מדינתיים ובינ"ל</w:t>
      </w:r>
      <w:r w:rsidR="00E81237">
        <w:rPr>
          <w:rStyle w:val="ab"/>
          <w:rFonts w:ascii="David" w:hAnsi="David" w:cs="David"/>
          <w:sz w:val="28"/>
          <w:szCs w:val="28"/>
          <w:rtl/>
        </w:rPr>
        <w:footnoteReference w:id="1"/>
      </w:r>
      <w:r w:rsidR="00E81237">
        <w:rPr>
          <w:rFonts w:ascii="David" w:hAnsi="David" w:cs="David" w:hint="cs"/>
          <w:sz w:val="28"/>
          <w:szCs w:val="28"/>
          <w:rtl/>
        </w:rPr>
        <w:t xml:space="preserve">. </w:t>
      </w:r>
      <w:r w:rsidR="00E81237">
        <w:rPr>
          <w:rFonts w:ascii="David" w:hAnsi="David" w:cs="David" w:hint="cs"/>
          <w:sz w:val="28"/>
          <w:szCs w:val="28"/>
        </w:rPr>
        <w:t xml:space="preserve"> </w:t>
      </w:r>
    </w:p>
    <w:p w:rsidR="006C1343" w:rsidRDefault="00E81237" w:rsidP="006C1343">
      <w:pPr>
        <w:bidi/>
        <w:spacing w:after="120" w:line="360" w:lineRule="auto"/>
        <w:ind w:left="360"/>
        <w:jc w:val="both"/>
        <w:rPr>
          <w:rFonts w:cs="David"/>
          <w:sz w:val="28"/>
          <w:szCs w:val="28"/>
          <w:rtl/>
        </w:rPr>
      </w:pPr>
      <w:r>
        <w:rPr>
          <w:rFonts w:cs="David" w:hint="cs"/>
          <w:sz w:val="28"/>
          <w:szCs w:val="28"/>
          <w:rtl/>
        </w:rPr>
        <w:t xml:space="preserve">כדי להבין את יסודות הטענה, יש לסקור בקצרה את ההשפעות המרכזיות של תהליך הגלובליזציה, </w:t>
      </w:r>
      <w:r w:rsidR="00D523DF">
        <w:rPr>
          <w:rFonts w:cs="David" w:hint="cs"/>
          <w:sz w:val="28"/>
          <w:szCs w:val="28"/>
          <w:rtl/>
        </w:rPr>
        <w:t xml:space="preserve">שבבסיסו </w:t>
      </w:r>
      <w:r w:rsidR="00D523DF" w:rsidRPr="00D523DF">
        <w:rPr>
          <w:rFonts w:cs="David"/>
          <w:sz w:val="28"/>
          <w:szCs w:val="28"/>
        </w:rPr>
        <w:t>"</w:t>
      </w:r>
      <w:r w:rsidR="00D523DF" w:rsidRPr="00D523DF">
        <w:rPr>
          <w:rFonts w:cs="David"/>
          <w:sz w:val="28"/>
          <w:szCs w:val="28"/>
          <w:rtl/>
        </w:rPr>
        <w:t>השפעה המתמשכת של הבִּנְאוּם</w:t>
      </w:r>
      <w:r w:rsidR="00D523DF" w:rsidRPr="00D523DF">
        <w:rPr>
          <w:rFonts w:cs="David"/>
          <w:sz w:val="28"/>
          <w:szCs w:val="28"/>
        </w:rPr>
        <w:t xml:space="preserve"> (internationalization) </w:t>
      </w:r>
      <w:r w:rsidR="00D523DF">
        <w:rPr>
          <w:rFonts w:cs="David"/>
          <w:sz w:val="28"/>
          <w:szCs w:val="28"/>
          <w:rtl/>
        </w:rPr>
        <w:t>במסגרת העולמ</w:t>
      </w:r>
      <w:r w:rsidR="006C1343">
        <w:rPr>
          <w:rFonts w:cs="David" w:hint="cs"/>
          <w:sz w:val="28"/>
          <w:szCs w:val="28"/>
          <w:rtl/>
        </w:rPr>
        <w:t>ית</w:t>
      </w:r>
      <w:r w:rsidR="00D523DF" w:rsidRPr="00D523DF">
        <w:rPr>
          <w:rFonts w:cs="David"/>
          <w:sz w:val="28"/>
          <w:szCs w:val="28"/>
        </w:rPr>
        <w:t xml:space="preserve"> (Rubenstein and Adler, 2000: 526)</w:t>
      </w:r>
      <w:r w:rsidR="006C1343">
        <w:rPr>
          <w:rFonts w:cs="David" w:hint="cs"/>
          <w:sz w:val="28"/>
          <w:szCs w:val="28"/>
          <w:rtl/>
        </w:rPr>
        <w:t>, על מדינת הלאום:</w:t>
      </w:r>
    </w:p>
    <w:p w:rsidR="006C1343" w:rsidRDefault="006C1343" w:rsidP="005C4A05">
      <w:pPr>
        <w:pStyle w:val="a3"/>
        <w:numPr>
          <w:ilvl w:val="0"/>
          <w:numId w:val="8"/>
        </w:numPr>
        <w:bidi/>
        <w:spacing w:after="120" w:line="360" w:lineRule="auto"/>
        <w:jc w:val="both"/>
        <w:rPr>
          <w:rFonts w:cs="David"/>
          <w:sz w:val="28"/>
          <w:szCs w:val="28"/>
        </w:rPr>
      </w:pPr>
      <w:r>
        <w:rPr>
          <w:rFonts w:cs="David" w:hint="cs"/>
          <w:sz w:val="28"/>
          <w:szCs w:val="28"/>
          <w:rtl/>
        </w:rPr>
        <w:t>במישור הכלכלי, הגלובליזציה פתחה את השווקים המקומיים לשווקים בינ"ל ולמעשה, ב</w:t>
      </w:r>
      <w:r w:rsidR="005C4A05">
        <w:rPr>
          <w:rFonts w:cs="David" w:hint="cs"/>
          <w:sz w:val="28"/>
          <w:szCs w:val="28"/>
          <w:rtl/>
        </w:rPr>
        <w:t>הקשר זה</w:t>
      </w:r>
      <w:r>
        <w:rPr>
          <w:rFonts w:cs="David" w:hint="cs"/>
          <w:sz w:val="28"/>
          <w:szCs w:val="28"/>
          <w:rtl/>
        </w:rPr>
        <w:t xml:space="preserve">, פתחה את גבולות המדינה וצמצמה את יכולת ההשפעה של מדינת הלאום על הכלכלה הלאומית. </w:t>
      </w:r>
    </w:p>
    <w:p w:rsidR="006C1343" w:rsidRDefault="006C1343" w:rsidP="006C1343">
      <w:pPr>
        <w:pStyle w:val="a3"/>
        <w:numPr>
          <w:ilvl w:val="0"/>
          <w:numId w:val="8"/>
        </w:numPr>
        <w:bidi/>
        <w:spacing w:after="120" w:line="360" w:lineRule="auto"/>
        <w:jc w:val="both"/>
        <w:rPr>
          <w:rFonts w:cs="David"/>
          <w:sz w:val="28"/>
          <w:szCs w:val="28"/>
        </w:rPr>
      </w:pPr>
      <w:r>
        <w:rPr>
          <w:rFonts w:cs="David" w:hint="cs"/>
          <w:sz w:val="28"/>
          <w:szCs w:val="28"/>
          <w:rtl/>
        </w:rPr>
        <w:t>פתיחת השווקים, בתורה, האיצה גם תהליכי הגירה וניידות והובילה לערעור הזהות התרבותית-אזרחית ההומוגנית של מדינות הלאום. המשמעות היא שבמדינות לאום רבות קיימות קבוצות שלא מגדירות את זהותן לפי מדינת הלאום אלא לפי קבוצת שייכות אחרת (דת, קבוצה אתנית).</w:t>
      </w:r>
    </w:p>
    <w:p w:rsidR="005C4A05" w:rsidRDefault="006C1343" w:rsidP="006C1343">
      <w:pPr>
        <w:pStyle w:val="a3"/>
        <w:numPr>
          <w:ilvl w:val="0"/>
          <w:numId w:val="8"/>
        </w:numPr>
        <w:bidi/>
        <w:spacing w:after="120" w:line="360" w:lineRule="auto"/>
        <w:jc w:val="both"/>
        <w:rPr>
          <w:rFonts w:cs="David"/>
          <w:sz w:val="28"/>
          <w:szCs w:val="28"/>
        </w:rPr>
      </w:pPr>
      <w:r>
        <w:rPr>
          <w:rFonts w:cs="David" w:hint="cs"/>
          <w:sz w:val="28"/>
          <w:szCs w:val="28"/>
          <w:rtl/>
        </w:rPr>
        <w:t xml:space="preserve">התחזקות תהליכי הגלובליזציה העצימו מאד גם את כוחם של מוסדות בינ"ל, מוסדות כמו ארגון הסחר העולמי, נאט"ו או האיחוד האירופי צברו עוצמה במידה רבה על חשבון המדינה הבודדת. גם בהיבט המשפטי, </w:t>
      </w:r>
      <w:r w:rsidR="005C4A05">
        <w:rPr>
          <w:rFonts w:cs="David" w:hint="cs"/>
          <w:sz w:val="28"/>
          <w:szCs w:val="28"/>
          <w:rtl/>
        </w:rPr>
        <w:t>הגלובליזציה הובילה להתחזקות העקרונות האוניברסליים ומוסדות נוסח בין הדין הבינ"ל, היוו גורם נוסף שפותח את גבולות המדינה וסמכותה ומעביר אותן למוסד על מדינתי. דוגמאות נוספות ניתן למצוא בסוגיות כגון איכות הסביבה, התחממות גלובאלית, הגירה כולן חורגות מהגבולות הפיזיים של מדינת הלאום ויותר מכך חורגים מיכולת ההתמודדות של המדינה לבדה.</w:t>
      </w:r>
    </w:p>
    <w:p w:rsidR="005C4A05" w:rsidRDefault="005C4A05" w:rsidP="005C4A05">
      <w:pPr>
        <w:bidi/>
        <w:spacing w:after="120" w:line="360" w:lineRule="auto"/>
        <w:ind w:left="360"/>
        <w:jc w:val="both"/>
        <w:rPr>
          <w:rFonts w:cs="David"/>
          <w:sz w:val="28"/>
          <w:szCs w:val="28"/>
          <w:rtl/>
        </w:rPr>
      </w:pPr>
      <w:r>
        <w:rPr>
          <w:rFonts w:cs="David" w:hint="cs"/>
          <w:sz w:val="28"/>
          <w:szCs w:val="28"/>
          <w:rtl/>
        </w:rPr>
        <w:lastRenderedPageBreak/>
        <w:t xml:space="preserve">למרות נבואות הזעם, מדינת הלאום הפגינה אמנם אותגרה, אך הפגינה עמידות וסתגלנות ולקראת סיום המילניום הקודם, נראה היה </w:t>
      </w:r>
      <w:proofErr w:type="spellStart"/>
      <w:r>
        <w:rPr>
          <w:rFonts w:cs="David" w:hint="cs"/>
          <w:sz w:val="28"/>
          <w:szCs w:val="28"/>
          <w:rtl/>
        </w:rPr>
        <w:t>שה"שמועות</w:t>
      </w:r>
      <w:proofErr w:type="spellEnd"/>
      <w:r>
        <w:rPr>
          <w:rFonts w:cs="David" w:hint="cs"/>
          <w:sz w:val="28"/>
          <w:szCs w:val="28"/>
          <w:rtl/>
        </w:rPr>
        <w:t xml:space="preserve"> על מותה" של מדינת הלאום היו מוקדמות. </w:t>
      </w:r>
    </w:p>
    <w:p w:rsidR="009A1CD6" w:rsidRDefault="005C4A05" w:rsidP="009A1CD6">
      <w:pPr>
        <w:bidi/>
        <w:spacing w:after="120" w:line="360" w:lineRule="auto"/>
        <w:ind w:left="360"/>
        <w:jc w:val="both"/>
        <w:rPr>
          <w:rFonts w:cs="David"/>
          <w:sz w:val="28"/>
          <w:szCs w:val="28"/>
          <w:rtl/>
        </w:rPr>
      </w:pPr>
      <w:r>
        <w:rPr>
          <w:rFonts w:cs="David" w:hint="cs"/>
          <w:sz w:val="28"/>
          <w:szCs w:val="28"/>
          <w:rtl/>
        </w:rPr>
        <w:t xml:space="preserve">עם זאת, בשנים האחרונות אנו עדים לגל נוסף ועוצמתי של עיסוק בהיחלשותה של מדינת הלאום. </w:t>
      </w:r>
      <w:r w:rsidR="009A1CD6">
        <w:rPr>
          <w:rFonts w:cs="David" w:hint="cs"/>
          <w:sz w:val="28"/>
          <w:szCs w:val="28"/>
          <w:rtl/>
        </w:rPr>
        <w:t xml:space="preserve">ברקע, מהפיכת המידע שהאיצה, הרחיבה </w:t>
      </w:r>
      <w:r>
        <w:rPr>
          <w:rFonts w:cs="David" w:hint="cs"/>
          <w:sz w:val="28"/>
          <w:szCs w:val="28"/>
          <w:rtl/>
        </w:rPr>
        <w:t>והעצימה מאד את השפעות הגלובליזציה</w:t>
      </w:r>
      <w:r w:rsidR="009A1CD6">
        <w:rPr>
          <w:rFonts w:cs="David" w:hint="cs"/>
          <w:sz w:val="28"/>
          <w:szCs w:val="28"/>
          <w:rtl/>
        </w:rPr>
        <w:t xml:space="preserve">. תופעת הרשת, מטבעה, אינה מקבלת את הגדרות מדינת הלאום, היא נטולת גבולות פיזיים, נטולת היררכיה ברורה ויכולת השליטה בה מוגבלת. </w:t>
      </w:r>
    </w:p>
    <w:p w:rsidR="009A1CD6" w:rsidRDefault="00EE129F" w:rsidP="004F0A13">
      <w:pPr>
        <w:bidi/>
        <w:spacing w:after="120" w:line="360" w:lineRule="auto"/>
        <w:ind w:left="360"/>
        <w:jc w:val="both"/>
        <w:rPr>
          <w:rFonts w:cs="David"/>
          <w:sz w:val="28"/>
          <w:szCs w:val="28"/>
          <w:rtl/>
        </w:rPr>
      </w:pPr>
      <w:r>
        <w:rPr>
          <w:rFonts w:cs="David" w:hint="cs"/>
          <w:sz w:val="28"/>
          <w:szCs w:val="28"/>
          <w:rtl/>
        </w:rPr>
        <w:t xml:space="preserve">השילוב בין תופעות הגלובליזציה לבין מהפיכת המידע, "מתחו" את האתגר של מדינת הלאום למעלה ולמטה: מצד אחד, הרשת מאפשרת היווצרות של ארגונים, תאגידים וחברות בינ"ל שהתלות שלהם בגבולות פיזיים היא שולית. חברות כמו גוגל, אמזון או </w:t>
      </w:r>
      <w:proofErr w:type="spellStart"/>
      <w:r>
        <w:rPr>
          <w:rFonts w:cs="David" w:hint="cs"/>
          <w:sz w:val="28"/>
          <w:szCs w:val="28"/>
          <w:rtl/>
        </w:rPr>
        <w:t>עליבאבא</w:t>
      </w:r>
      <w:proofErr w:type="spellEnd"/>
      <w:r>
        <w:rPr>
          <w:rFonts w:cs="David" w:hint="cs"/>
          <w:sz w:val="28"/>
          <w:szCs w:val="28"/>
          <w:rtl/>
        </w:rPr>
        <w:t xml:space="preserve">, הן כוח כלכלי ותרבותי עוצמתי שפועל מעל לראשן של מדינות הלאום. </w:t>
      </w:r>
      <w:r w:rsidR="004F0A13">
        <w:rPr>
          <w:rFonts w:cs="David" w:hint="cs"/>
          <w:sz w:val="28"/>
          <w:szCs w:val="28"/>
          <w:rtl/>
        </w:rPr>
        <w:t xml:space="preserve">ההשפעות של חברות אלו אינן עוצרות </w:t>
      </w:r>
      <w:proofErr w:type="spellStart"/>
      <w:r w:rsidR="004F0A13">
        <w:rPr>
          <w:rFonts w:cs="David" w:hint="cs"/>
          <w:sz w:val="28"/>
          <w:szCs w:val="28"/>
          <w:rtl/>
        </w:rPr>
        <w:t>במימד</w:t>
      </w:r>
      <w:proofErr w:type="spellEnd"/>
      <w:r w:rsidR="004F0A13">
        <w:rPr>
          <w:rFonts w:cs="David" w:hint="cs"/>
          <w:sz w:val="28"/>
          <w:szCs w:val="28"/>
          <w:rtl/>
        </w:rPr>
        <w:t xml:space="preserve"> הכלכלי, אי אפשר להבין את אירועי "מהפיכת ה-25 בינואר" במצרים</w:t>
      </w:r>
      <w:r w:rsidR="004F0A13">
        <w:rPr>
          <w:rStyle w:val="ab"/>
          <w:rFonts w:cs="David"/>
          <w:sz w:val="28"/>
          <w:szCs w:val="28"/>
          <w:rtl/>
        </w:rPr>
        <w:footnoteReference w:id="2"/>
      </w:r>
      <w:r w:rsidR="003C22B8">
        <w:rPr>
          <w:rFonts w:cs="David" w:hint="cs"/>
          <w:sz w:val="28"/>
          <w:szCs w:val="28"/>
          <w:rtl/>
        </w:rPr>
        <w:t xml:space="preserve"> מבלי להבין את התפקיד שהיו לרשתות חברתיות דוגמת </w:t>
      </w:r>
      <w:proofErr w:type="spellStart"/>
      <w:r w:rsidR="003C22B8">
        <w:rPr>
          <w:rFonts w:cs="David" w:hint="cs"/>
          <w:sz w:val="28"/>
          <w:szCs w:val="28"/>
          <w:rtl/>
        </w:rPr>
        <w:t>טוויטר</w:t>
      </w:r>
      <w:proofErr w:type="spellEnd"/>
      <w:r w:rsidR="003C22B8">
        <w:rPr>
          <w:rFonts w:cs="David" w:hint="cs"/>
          <w:sz w:val="28"/>
          <w:szCs w:val="28"/>
          <w:rtl/>
        </w:rPr>
        <w:t xml:space="preserve"> </w:t>
      </w:r>
      <w:proofErr w:type="spellStart"/>
      <w:r w:rsidR="003C22B8">
        <w:rPr>
          <w:rFonts w:cs="David" w:hint="cs"/>
          <w:sz w:val="28"/>
          <w:szCs w:val="28"/>
          <w:rtl/>
        </w:rPr>
        <w:t>ופייסבוק</w:t>
      </w:r>
      <w:proofErr w:type="spellEnd"/>
      <w:r w:rsidR="003C22B8">
        <w:rPr>
          <w:rFonts w:cs="David" w:hint="cs"/>
          <w:sz w:val="28"/>
          <w:szCs w:val="28"/>
          <w:rtl/>
        </w:rPr>
        <w:t xml:space="preserve">, על ארגון המחאות. </w:t>
      </w:r>
    </w:p>
    <w:p w:rsidR="003C22B8" w:rsidRDefault="003C22B8" w:rsidP="003C22B8">
      <w:pPr>
        <w:bidi/>
        <w:spacing w:after="120" w:line="360" w:lineRule="auto"/>
        <w:ind w:left="360"/>
        <w:jc w:val="both"/>
        <w:rPr>
          <w:rFonts w:cs="David"/>
          <w:sz w:val="28"/>
          <w:szCs w:val="28"/>
          <w:rtl/>
        </w:rPr>
      </w:pPr>
      <w:r>
        <w:rPr>
          <w:rFonts w:cs="David" w:hint="cs"/>
          <w:sz w:val="28"/>
          <w:szCs w:val="28"/>
          <w:rtl/>
        </w:rPr>
        <w:t>בנקודה זאת, חשוב למקד את הניתוח בסוגיית הביטחון הלאומי ובשאלה, כיצד השפיע השינוי במאפייני האתגרים על מדינת הלאום על תפיסות הביטחון הלאומי.</w:t>
      </w:r>
    </w:p>
    <w:p w:rsidR="00CF088F" w:rsidRDefault="003C22B8" w:rsidP="001324E6">
      <w:pPr>
        <w:bidi/>
        <w:spacing w:after="120" w:line="360" w:lineRule="auto"/>
        <w:ind w:left="360"/>
        <w:jc w:val="both"/>
        <w:rPr>
          <w:rFonts w:ascii="David" w:hAnsi="David" w:cs="David"/>
          <w:sz w:val="28"/>
          <w:szCs w:val="28"/>
          <w:rtl/>
        </w:rPr>
      </w:pPr>
      <w:r>
        <w:rPr>
          <w:rFonts w:cs="David" w:hint="cs"/>
          <w:sz w:val="28"/>
          <w:szCs w:val="28"/>
          <w:rtl/>
        </w:rPr>
        <w:t xml:space="preserve">תפיסת הביטחון הלאומי הקלאסית, </w:t>
      </w:r>
      <w:r w:rsidR="001F780C">
        <w:rPr>
          <w:rFonts w:cs="David" w:hint="cs"/>
          <w:sz w:val="28"/>
          <w:szCs w:val="28"/>
          <w:rtl/>
        </w:rPr>
        <w:t xml:space="preserve">משקפת תפיסת עולם ריאליסטית שבה מדינת הלאום היא השחקן המרכזי. </w:t>
      </w:r>
      <w:r w:rsidR="00CF088F">
        <w:rPr>
          <w:rFonts w:cs="David" w:hint="cs"/>
          <w:sz w:val="28"/>
          <w:szCs w:val="28"/>
          <w:rtl/>
        </w:rPr>
        <w:t>על פי תפיסה זאת,</w:t>
      </w:r>
      <w:r w:rsidR="001F780C">
        <w:rPr>
          <w:rFonts w:cs="David" w:hint="cs"/>
          <w:sz w:val="28"/>
          <w:szCs w:val="28"/>
          <w:rtl/>
        </w:rPr>
        <w:t xml:space="preserve"> שנקראת גם התפיסה ה"צרה", </w:t>
      </w:r>
      <w:r w:rsidR="00CF088F" w:rsidRPr="002C5605">
        <w:rPr>
          <w:rFonts w:ascii="David" w:hAnsi="David" w:cs="David" w:hint="cs"/>
          <w:sz w:val="28"/>
          <w:szCs w:val="28"/>
          <w:rtl/>
        </w:rPr>
        <w:t>ביטחון הלאומי מתייחס בעיקר לאיומים חיצוניים, צבאיים</w:t>
      </w:r>
      <w:r w:rsidR="00CF088F">
        <w:rPr>
          <w:rFonts w:ascii="David" w:hAnsi="David" w:cs="David" w:hint="cs"/>
          <w:sz w:val="28"/>
          <w:szCs w:val="28"/>
          <w:rtl/>
        </w:rPr>
        <w:t>,</w:t>
      </w:r>
      <w:r w:rsidR="00CF088F" w:rsidRPr="002C5605">
        <w:rPr>
          <w:rFonts w:ascii="David" w:hAnsi="David" w:cs="David" w:hint="cs"/>
          <w:sz w:val="28"/>
          <w:szCs w:val="28"/>
          <w:rtl/>
        </w:rPr>
        <w:t xml:space="preserve"> ומדיניים, על המדינה</w:t>
      </w:r>
      <w:r w:rsidR="00CF088F">
        <w:rPr>
          <w:rFonts w:ascii="David" w:hAnsi="David" w:cs="David" w:hint="cs"/>
          <w:sz w:val="28"/>
          <w:szCs w:val="28"/>
          <w:rtl/>
        </w:rPr>
        <w:t>,</w:t>
      </w:r>
      <w:r w:rsidR="00CF088F" w:rsidRPr="002C5605">
        <w:rPr>
          <w:rFonts w:ascii="David" w:hAnsi="David" w:cs="David" w:hint="cs"/>
          <w:sz w:val="28"/>
          <w:szCs w:val="28"/>
          <w:rtl/>
        </w:rPr>
        <w:t xml:space="preserve"> </w:t>
      </w:r>
      <w:r w:rsidR="00CF088F">
        <w:rPr>
          <w:rFonts w:ascii="David" w:hAnsi="David" w:cs="David" w:hint="cs"/>
          <w:sz w:val="28"/>
          <w:szCs w:val="28"/>
          <w:rtl/>
        </w:rPr>
        <w:t>וכן ל</w:t>
      </w:r>
      <w:r w:rsidR="00CF088F" w:rsidRPr="002C5605">
        <w:rPr>
          <w:rFonts w:ascii="David" w:hAnsi="David" w:cs="David" w:hint="cs"/>
          <w:sz w:val="28"/>
          <w:szCs w:val="28"/>
          <w:rtl/>
        </w:rPr>
        <w:t>איומים מהותיים מבית הכוללים הפעלת כוח נגד המדינה. הדגש בגישה זאת הוא על איומים כוחניים, כאשר המענה המדינתי טמון בעיקר בהקרנת עוצמה (צבאית, מדינית</w:t>
      </w:r>
      <w:r w:rsidR="00CF088F">
        <w:rPr>
          <w:rFonts w:ascii="David" w:hAnsi="David" w:cs="David" w:hint="cs"/>
          <w:sz w:val="28"/>
          <w:szCs w:val="28"/>
          <w:rtl/>
        </w:rPr>
        <w:t>,</w:t>
      </w:r>
      <w:r w:rsidR="00CF088F" w:rsidRPr="002C5605">
        <w:rPr>
          <w:rFonts w:ascii="David" w:hAnsi="David" w:cs="David" w:hint="cs"/>
          <w:sz w:val="28"/>
          <w:szCs w:val="28"/>
          <w:rtl/>
        </w:rPr>
        <w:t xml:space="preserve"> וכלכלית)</w:t>
      </w:r>
      <w:r w:rsidR="00CF088F">
        <w:rPr>
          <w:rStyle w:val="ab"/>
          <w:rFonts w:ascii="David" w:hAnsi="David" w:cs="David"/>
          <w:sz w:val="28"/>
          <w:szCs w:val="28"/>
          <w:rtl/>
        </w:rPr>
        <w:footnoteReference w:id="3"/>
      </w:r>
      <w:r w:rsidR="00CF088F" w:rsidRPr="002C5605">
        <w:rPr>
          <w:rFonts w:ascii="David" w:hAnsi="David" w:cs="David" w:hint="cs"/>
          <w:sz w:val="28"/>
          <w:szCs w:val="28"/>
          <w:rtl/>
        </w:rPr>
        <w:t>.</w:t>
      </w:r>
      <w:r w:rsidR="00CF088F">
        <w:rPr>
          <w:rFonts w:ascii="David" w:hAnsi="David" w:cs="David" w:hint="cs"/>
          <w:sz w:val="28"/>
          <w:szCs w:val="28"/>
          <w:rtl/>
        </w:rPr>
        <w:t xml:space="preserve"> </w:t>
      </w:r>
      <w:r w:rsidR="00CF088F">
        <w:rPr>
          <w:rFonts w:cs="David" w:hint="cs"/>
          <w:sz w:val="28"/>
          <w:szCs w:val="28"/>
          <w:rtl/>
        </w:rPr>
        <w:t xml:space="preserve">על פי גישה זאת, מדינת הלאום היא השחקן שמחזיק בידיו את רוב הכלים, כאשר כלי העוצמה הקשה, ובראשם הכוח הצבאי, הם מרכיב יסוד למימוש או הגנה על ידי הביטחון הלאומי. </w:t>
      </w:r>
    </w:p>
    <w:p w:rsidR="001324E6" w:rsidRPr="002C5605" w:rsidRDefault="001324E6" w:rsidP="001324E6">
      <w:pPr>
        <w:bidi/>
        <w:spacing w:after="120" w:line="360" w:lineRule="auto"/>
        <w:ind w:left="360"/>
        <w:jc w:val="both"/>
        <w:rPr>
          <w:rFonts w:ascii="David" w:hAnsi="David" w:cs="David"/>
          <w:sz w:val="28"/>
          <w:szCs w:val="28"/>
        </w:rPr>
      </w:pPr>
      <w:r>
        <w:rPr>
          <w:rFonts w:cs="David" w:hint="cs"/>
          <w:sz w:val="28"/>
          <w:szCs w:val="28"/>
          <w:rtl/>
        </w:rPr>
        <w:lastRenderedPageBreak/>
        <w:t xml:space="preserve">תפיסה קלאסית זאת הצליחה </w:t>
      </w:r>
      <w:r w:rsidR="00CF088F">
        <w:rPr>
          <w:rFonts w:cs="David" w:hint="cs"/>
          <w:sz w:val="28"/>
          <w:szCs w:val="28"/>
          <w:rtl/>
        </w:rPr>
        <w:t>במשך עשורים רבים, עד נפילת ברית המועצות, לתאר היטב את "מגרש המשחקים" הבינ"ל, עם זאת, החל משנות התשעים</w:t>
      </w:r>
      <w:r>
        <w:rPr>
          <w:rFonts w:cs="David" w:hint="cs"/>
          <w:sz w:val="28"/>
          <w:szCs w:val="28"/>
          <w:rtl/>
        </w:rPr>
        <w:t xml:space="preserve"> של המאה העשרים, נראה היה, כי מתפתח </w:t>
      </w:r>
      <w:r w:rsidRPr="002C5605">
        <w:rPr>
          <w:rFonts w:ascii="David" w:hAnsi="David" w:cs="David" w:hint="cs"/>
          <w:sz w:val="28"/>
          <w:szCs w:val="28"/>
          <w:rtl/>
        </w:rPr>
        <w:t xml:space="preserve">חוסר ההתאמה </w:t>
      </w:r>
      <w:r>
        <w:rPr>
          <w:rFonts w:ascii="David" w:hAnsi="David" w:cs="David" w:hint="cs"/>
          <w:sz w:val="28"/>
          <w:szCs w:val="28"/>
          <w:rtl/>
        </w:rPr>
        <w:t>ביכולת של הגישה הצרה</w:t>
      </w:r>
      <w:r w:rsidRPr="002C5605">
        <w:rPr>
          <w:rFonts w:ascii="David" w:hAnsi="David" w:cs="David" w:hint="cs"/>
          <w:sz w:val="28"/>
          <w:szCs w:val="28"/>
          <w:rtl/>
        </w:rPr>
        <w:t>, שה</w:t>
      </w:r>
      <w:r>
        <w:rPr>
          <w:rFonts w:ascii="David" w:hAnsi="David" w:cs="David" w:hint="cs"/>
          <w:sz w:val="28"/>
          <w:szCs w:val="28"/>
          <w:rtl/>
        </w:rPr>
        <w:t xml:space="preserve">תפתחה מול האיום הסימטרי-מדינתי, </w:t>
      </w:r>
      <w:r w:rsidRPr="002C5605">
        <w:rPr>
          <w:rFonts w:ascii="David" w:hAnsi="David" w:cs="David" w:hint="cs"/>
          <w:sz w:val="28"/>
          <w:szCs w:val="28"/>
          <w:rtl/>
        </w:rPr>
        <w:t>לספק מענה ל</w:t>
      </w:r>
      <w:r>
        <w:rPr>
          <w:rFonts w:ascii="David" w:hAnsi="David" w:cs="David" w:hint="cs"/>
          <w:sz w:val="28"/>
          <w:szCs w:val="28"/>
          <w:rtl/>
        </w:rPr>
        <w:t>אתגרים</w:t>
      </w:r>
      <w:r w:rsidRPr="002C5605">
        <w:rPr>
          <w:rFonts w:ascii="David" w:hAnsi="David" w:cs="David" w:hint="cs"/>
          <w:sz w:val="28"/>
          <w:szCs w:val="28"/>
          <w:rtl/>
        </w:rPr>
        <w:t xml:space="preserve"> מרכזיים שהתפתחו בעשורים האחרונים שקשורים בשחקנים לא מדינתיים (מארגוני טרור ועד פשיעת סייבר), או באיומים </w:t>
      </w:r>
      <w:r>
        <w:rPr>
          <w:rFonts w:ascii="David" w:hAnsi="David" w:cs="David" w:hint="cs"/>
          <w:sz w:val="28"/>
          <w:szCs w:val="28"/>
          <w:rtl/>
        </w:rPr>
        <w:t>לא כוחניים (ביטחון אנרגטי כדוגמה</w:t>
      </w:r>
      <w:r w:rsidRPr="002C5605">
        <w:rPr>
          <w:rFonts w:ascii="David" w:hAnsi="David" w:cs="David" w:hint="cs"/>
          <w:sz w:val="28"/>
          <w:szCs w:val="28"/>
          <w:rtl/>
        </w:rPr>
        <w:t xml:space="preserve">).   </w:t>
      </w:r>
    </w:p>
    <w:p w:rsidR="001324E6"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 xml:space="preserve">לאור זאת החלה להתפתח גישה מתחרה להגדרת הביטחון הלאומי. גישה זאת, שמכונה </w:t>
      </w:r>
      <w:r w:rsidRPr="001324E6">
        <w:rPr>
          <w:rFonts w:ascii="David" w:hAnsi="David" w:cs="David" w:hint="cs"/>
          <w:sz w:val="28"/>
          <w:szCs w:val="28"/>
          <w:rtl/>
        </w:rPr>
        <w:t>הגישה המרחיבה</w:t>
      </w:r>
      <w:r>
        <w:rPr>
          <w:rFonts w:ascii="David" w:hAnsi="David" w:cs="David" w:hint="cs"/>
          <w:sz w:val="28"/>
          <w:szCs w:val="28"/>
          <w:rtl/>
        </w:rPr>
        <w:t>,</w:t>
      </w:r>
      <w:r w:rsidRPr="002C5605">
        <w:rPr>
          <w:rFonts w:ascii="David" w:hAnsi="David" w:cs="David" w:hint="cs"/>
          <w:sz w:val="28"/>
          <w:szCs w:val="28"/>
          <w:rtl/>
        </w:rPr>
        <w:t xml:space="preserve"> אינה מסתפקת באיומים חיצוניים או באיומים הקשורים בהפעלת כוח, אלא </w:t>
      </w:r>
      <w:r>
        <w:rPr>
          <w:rFonts w:ascii="David" w:hAnsi="David" w:cs="David" w:hint="cs"/>
          <w:sz w:val="28"/>
          <w:szCs w:val="28"/>
          <w:rtl/>
        </w:rPr>
        <w:t xml:space="preserve">מתייחסת </w:t>
      </w:r>
      <w:r w:rsidRPr="002C5605">
        <w:rPr>
          <w:rFonts w:ascii="David" w:hAnsi="David" w:cs="David" w:hint="cs"/>
          <w:sz w:val="28"/>
          <w:szCs w:val="28"/>
          <w:rtl/>
        </w:rPr>
        <w:t>לכל איום שמסכן או מחליש את האינטרסים והערכים של המדינה. על פי גישה זאת</w:t>
      </w:r>
      <w:r>
        <w:rPr>
          <w:rFonts w:ascii="David" w:hAnsi="David" w:cs="David" w:hint="cs"/>
          <w:sz w:val="28"/>
          <w:szCs w:val="28"/>
          <w:rtl/>
        </w:rPr>
        <w:t>,</w:t>
      </w:r>
      <w:r w:rsidRPr="002C5605">
        <w:rPr>
          <w:rFonts w:ascii="David" w:hAnsi="David" w:cs="David" w:hint="cs"/>
          <w:sz w:val="28"/>
          <w:szCs w:val="28"/>
          <w:rtl/>
        </w:rPr>
        <w:t xml:space="preserve"> המונח "ביטחון לאומי" יכול וצריך לכלול תחת כנפיו גם סוגיות "רכות" של פערים חברתיים, התחממות גלובאלית, חינוך, שחיתות</w:t>
      </w:r>
      <w:r>
        <w:rPr>
          <w:rFonts w:ascii="David" w:hAnsi="David" w:cs="David" w:hint="cs"/>
          <w:sz w:val="28"/>
          <w:szCs w:val="28"/>
          <w:rtl/>
        </w:rPr>
        <w:t>,</w:t>
      </w:r>
      <w:r w:rsidRPr="002C5605">
        <w:rPr>
          <w:rFonts w:ascii="David" w:hAnsi="David" w:cs="David" w:hint="cs"/>
          <w:sz w:val="28"/>
          <w:szCs w:val="28"/>
          <w:rtl/>
        </w:rPr>
        <w:t xml:space="preserve"> ועוד</w:t>
      </w:r>
      <w:r>
        <w:rPr>
          <w:rStyle w:val="ab"/>
          <w:rFonts w:ascii="David" w:hAnsi="David" w:cs="David"/>
          <w:sz w:val="28"/>
          <w:szCs w:val="28"/>
          <w:rtl/>
        </w:rPr>
        <w:footnoteReference w:id="4"/>
      </w:r>
      <w:r w:rsidRPr="002C5605">
        <w:rPr>
          <w:rFonts w:ascii="David" w:hAnsi="David" w:cs="David" w:hint="cs"/>
          <w:sz w:val="28"/>
          <w:szCs w:val="28"/>
          <w:rtl/>
        </w:rPr>
        <w:t xml:space="preserve">. </w:t>
      </w:r>
      <w:r>
        <w:rPr>
          <w:rFonts w:ascii="David" w:hAnsi="David" w:cs="David" w:hint="cs"/>
          <w:sz w:val="28"/>
          <w:szCs w:val="28"/>
          <w:rtl/>
        </w:rPr>
        <w:t xml:space="preserve">גישה זאת, התפתחה בהקשר של העולם המשתנה שבו מדינת הלאום היא עודנה שחקן מרכזי, אך הוא מאותגר, מלמעלה ומלמטה, ואין ביכולתו להתמודד לבדו עם האיומים של העולם החדש. </w:t>
      </w:r>
    </w:p>
    <w:p w:rsidR="001324E6"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 xml:space="preserve">בהמשך, התפתחה גישה שלישית, כמעין גישת אמצע בין התיאוריות, שכתה לכינוי גישת הביניים וניסתה </w:t>
      </w:r>
      <w:r w:rsidRPr="002C5605">
        <w:rPr>
          <w:rFonts w:ascii="David" w:hAnsi="David" w:cs="David" w:hint="cs"/>
          <w:sz w:val="28"/>
          <w:szCs w:val="28"/>
          <w:rtl/>
        </w:rPr>
        <w:t>להתמודד ע</w:t>
      </w:r>
      <w:r>
        <w:rPr>
          <w:rFonts w:ascii="David" w:hAnsi="David" w:cs="David" w:hint="cs"/>
          <w:sz w:val="28"/>
          <w:szCs w:val="28"/>
          <w:rtl/>
        </w:rPr>
        <w:t>ם</w:t>
      </w:r>
      <w:r w:rsidRPr="002C5605">
        <w:rPr>
          <w:rFonts w:ascii="David" w:hAnsi="David" w:cs="David" w:hint="cs"/>
          <w:sz w:val="28"/>
          <w:szCs w:val="28"/>
          <w:rtl/>
        </w:rPr>
        <w:t xml:space="preserve"> נקודות התורפה של הגישות המסורתיות. כך, היא אינה מסתפקת בגישה המצמצמת וכוללת מלבד איומים כוחניים וח</w:t>
      </w:r>
      <w:r>
        <w:rPr>
          <w:rFonts w:ascii="David" w:hAnsi="David" w:cs="David" w:hint="cs"/>
          <w:sz w:val="28"/>
          <w:szCs w:val="28"/>
          <w:rtl/>
        </w:rPr>
        <w:t>י</w:t>
      </w:r>
      <w:r w:rsidRPr="002C5605">
        <w:rPr>
          <w:rFonts w:ascii="David" w:hAnsi="David" w:cs="David" w:hint="cs"/>
          <w:sz w:val="28"/>
          <w:szCs w:val="28"/>
          <w:rtl/>
        </w:rPr>
        <w:t>צוניים גם איומים מדיניים, כלכליים</w:t>
      </w:r>
      <w:r>
        <w:rPr>
          <w:rFonts w:ascii="David" w:hAnsi="David" w:cs="David" w:hint="cs"/>
          <w:sz w:val="28"/>
          <w:szCs w:val="28"/>
          <w:rtl/>
        </w:rPr>
        <w:t>,</w:t>
      </w:r>
      <w:r w:rsidRPr="002C5605">
        <w:rPr>
          <w:rFonts w:ascii="David" w:hAnsi="David" w:cs="David" w:hint="cs"/>
          <w:sz w:val="28"/>
          <w:szCs w:val="28"/>
          <w:rtl/>
        </w:rPr>
        <w:t xml:space="preserve"> ולעיתים חברתיים (במידה והאיום על הלכידות החברתית פוגע ביכולת ההתמודדות עם איומים</w:t>
      </w:r>
      <w:r>
        <w:rPr>
          <w:rFonts w:ascii="David" w:hAnsi="David" w:cs="David" w:hint="cs"/>
          <w:sz w:val="28"/>
          <w:szCs w:val="28"/>
          <w:rtl/>
        </w:rPr>
        <w:t xml:space="preserve"> </w:t>
      </w:r>
      <w:proofErr w:type="spellStart"/>
      <w:r>
        <w:rPr>
          <w:rFonts w:ascii="David" w:hAnsi="David" w:cs="David" w:hint="cs"/>
          <w:sz w:val="28"/>
          <w:szCs w:val="28"/>
          <w:rtl/>
        </w:rPr>
        <w:t>קיומים</w:t>
      </w:r>
      <w:proofErr w:type="spellEnd"/>
      <w:r w:rsidRPr="002C5605">
        <w:rPr>
          <w:rFonts w:ascii="David" w:hAnsi="David" w:cs="David" w:hint="cs"/>
          <w:sz w:val="28"/>
          <w:szCs w:val="28"/>
          <w:rtl/>
        </w:rPr>
        <w:t xml:space="preserve">). </w:t>
      </w:r>
      <w:r>
        <w:rPr>
          <w:rFonts w:ascii="David" w:hAnsi="David" w:cs="David" w:hint="cs"/>
          <w:sz w:val="28"/>
          <w:szCs w:val="28"/>
          <w:rtl/>
        </w:rPr>
        <w:t xml:space="preserve">אך, </w:t>
      </w:r>
      <w:r w:rsidRPr="002C5605">
        <w:rPr>
          <w:rFonts w:ascii="David" w:hAnsi="David" w:cs="David" w:hint="cs"/>
          <w:sz w:val="28"/>
          <w:szCs w:val="28"/>
          <w:rtl/>
        </w:rPr>
        <w:t>מנגד, גישת האמצע לא מאמצת את ההגדרה הגמישה וחו</w:t>
      </w:r>
      <w:r>
        <w:rPr>
          <w:rFonts w:ascii="David" w:hAnsi="David" w:cs="David" w:hint="cs"/>
          <w:sz w:val="28"/>
          <w:szCs w:val="28"/>
          <w:rtl/>
        </w:rPr>
        <w:t xml:space="preserve">בקת </w:t>
      </w:r>
      <w:r w:rsidRPr="002C5605">
        <w:rPr>
          <w:rFonts w:ascii="David" w:hAnsi="David" w:cs="David" w:hint="cs"/>
          <w:sz w:val="28"/>
          <w:szCs w:val="28"/>
          <w:rtl/>
        </w:rPr>
        <w:t>כל של הגישה המרחיבה ומגבילה את העיסוק לשאלת המוכנות להתמודדות עם איומים חיצוניים או איומים מבית שיכולים לסכן את קיומה של המדינה</w:t>
      </w:r>
      <w:r>
        <w:rPr>
          <w:rStyle w:val="ab"/>
          <w:rFonts w:ascii="David" w:hAnsi="David" w:cs="David"/>
          <w:sz w:val="28"/>
          <w:szCs w:val="28"/>
          <w:rtl/>
        </w:rPr>
        <w:footnoteReference w:id="5"/>
      </w:r>
      <w:r w:rsidRPr="002C5605">
        <w:rPr>
          <w:rFonts w:ascii="David" w:hAnsi="David" w:cs="David" w:hint="cs"/>
          <w:sz w:val="28"/>
          <w:szCs w:val="28"/>
          <w:rtl/>
        </w:rPr>
        <w:t>.</w:t>
      </w:r>
    </w:p>
    <w:p w:rsidR="003A6245"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מכל מקום, מהאבולוציה בתיאוריות לגבי הביטחון לאומי ניתן לראות בבירור, שככל שעלו האתגרים על מדינת הלאום, כך תפיסת הביטחון הלאומי הפכה רחבה יותר,</w:t>
      </w:r>
      <w:r w:rsidR="00DF7A6C">
        <w:rPr>
          <w:rFonts w:ascii="David" w:hAnsi="David" w:cs="David" w:hint="cs"/>
          <w:sz w:val="28"/>
          <w:szCs w:val="28"/>
          <w:rtl/>
        </w:rPr>
        <w:t xml:space="preserve"> שכן היה עליה להתמודד עם סט חדש של אתגרים שחלק ניכר מהם נובע מפתיחת הגבולות (הפיזיים, הכלכליים </w:t>
      </w:r>
      <w:proofErr w:type="spellStart"/>
      <w:r w:rsidR="00DF7A6C">
        <w:rPr>
          <w:rFonts w:ascii="David" w:hAnsi="David" w:cs="David" w:hint="cs"/>
          <w:sz w:val="28"/>
          <w:szCs w:val="28"/>
          <w:rtl/>
        </w:rPr>
        <w:t>והוירטואלים</w:t>
      </w:r>
      <w:proofErr w:type="spellEnd"/>
      <w:r w:rsidR="00DF7A6C">
        <w:rPr>
          <w:rFonts w:ascii="David" w:hAnsi="David" w:cs="David" w:hint="cs"/>
          <w:sz w:val="28"/>
          <w:szCs w:val="28"/>
          <w:rtl/>
        </w:rPr>
        <w:t xml:space="preserve">) של מדינת הלאום. במקביל, ניתן לראות שמקומו של </w:t>
      </w:r>
      <w:proofErr w:type="spellStart"/>
      <w:r w:rsidR="00DF7A6C">
        <w:rPr>
          <w:rFonts w:ascii="David" w:hAnsi="David" w:cs="David" w:hint="cs"/>
          <w:sz w:val="28"/>
          <w:szCs w:val="28"/>
          <w:rtl/>
        </w:rPr>
        <w:t>המימד</w:t>
      </w:r>
      <w:proofErr w:type="spellEnd"/>
      <w:r w:rsidR="00DF7A6C">
        <w:rPr>
          <w:rFonts w:ascii="David" w:hAnsi="David" w:cs="David" w:hint="cs"/>
          <w:sz w:val="28"/>
          <w:szCs w:val="28"/>
          <w:rtl/>
        </w:rPr>
        <w:t xml:space="preserve"> הצבאי בתפיסות הביטחון הלאומי עדיין דומיננטי אך הולך ומצטמצם. זאת, מכיוון שרבות מהמדינות </w:t>
      </w:r>
      <w:proofErr w:type="spellStart"/>
      <w:r w:rsidR="00DF7A6C">
        <w:rPr>
          <w:rFonts w:ascii="David" w:hAnsi="David" w:cs="David" w:hint="cs"/>
          <w:sz w:val="28"/>
          <w:szCs w:val="28"/>
          <w:rtl/>
        </w:rPr>
        <w:t>שעימן</w:t>
      </w:r>
      <w:proofErr w:type="spellEnd"/>
      <w:r w:rsidR="00DF7A6C">
        <w:rPr>
          <w:rFonts w:ascii="David" w:hAnsi="David" w:cs="David" w:hint="cs"/>
          <w:sz w:val="28"/>
          <w:szCs w:val="28"/>
          <w:rtl/>
        </w:rPr>
        <w:t xml:space="preserve"> מתמודדת המדינה, אינן ניתנות לפתרון צבאי (אין מענה צבאי להתחממות גלובאלית, לפשיעה בסייבר או לביטחון אנרגטי). </w:t>
      </w:r>
    </w:p>
    <w:p w:rsidR="003C296A" w:rsidRDefault="003C296A" w:rsidP="003C296A">
      <w:pPr>
        <w:bidi/>
        <w:spacing w:after="120" w:line="360" w:lineRule="auto"/>
        <w:ind w:left="360"/>
        <w:jc w:val="both"/>
        <w:rPr>
          <w:rFonts w:ascii="David" w:hAnsi="David" w:cs="David" w:hint="cs"/>
          <w:sz w:val="28"/>
          <w:szCs w:val="28"/>
          <w:rtl/>
        </w:rPr>
      </w:pPr>
      <w:r>
        <w:rPr>
          <w:rFonts w:ascii="David" w:hAnsi="David" w:cs="David" w:hint="cs"/>
          <w:sz w:val="28"/>
          <w:szCs w:val="28"/>
          <w:rtl/>
        </w:rPr>
        <w:lastRenderedPageBreak/>
        <w:t xml:space="preserve">משבר ההגירה באירופה, שנחשב היום כבעיה המרכזית </w:t>
      </w:r>
      <w:proofErr w:type="spellStart"/>
      <w:r>
        <w:rPr>
          <w:rFonts w:ascii="David" w:hAnsi="David" w:cs="David" w:hint="cs"/>
          <w:sz w:val="28"/>
          <w:szCs w:val="28"/>
          <w:rtl/>
        </w:rPr>
        <w:t>עימה</w:t>
      </w:r>
      <w:proofErr w:type="spellEnd"/>
      <w:r>
        <w:rPr>
          <w:rFonts w:ascii="David" w:hAnsi="David" w:cs="David" w:hint="cs"/>
          <w:sz w:val="28"/>
          <w:szCs w:val="28"/>
          <w:rtl/>
        </w:rPr>
        <w:t xml:space="preserve"> מתמודדת היבשת, מהווה דוגמא טובה להמחשת התופעות והמתחים בהם עסקנו עד כה: </w:t>
      </w:r>
    </w:p>
    <w:p w:rsidR="003C296A" w:rsidRDefault="003C296A" w:rsidP="007C75F0">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 xml:space="preserve">היחלשות מדינת הלאום </w:t>
      </w:r>
      <w:r>
        <w:rPr>
          <w:rFonts w:ascii="David" w:hAnsi="David" w:cs="David"/>
          <w:sz w:val="28"/>
          <w:szCs w:val="28"/>
          <w:rtl/>
        </w:rPr>
        <w:t>–</w:t>
      </w:r>
      <w:r>
        <w:rPr>
          <w:rFonts w:ascii="David" w:hAnsi="David" w:cs="David" w:hint="cs"/>
          <w:sz w:val="28"/>
          <w:szCs w:val="28"/>
          <w:rtl/>
        </w:rPr>
        <w:t xml:space="preserve"> כפי שראינו, אחת מהטענות המרכזיות של המצדדים בתיאוריית היחלשות מדי</w:t>
      </w:r>
      <w:r w:rsidR="007C75F0">
        <w:rPr>
          <w:rFonts w:ascii="David" w:hAnsi="David" w:cs="David" w:hint="cs"/>
          <w:sz w:val="28"/>
          <w:szCs w:val="28"/>
          <w:rtl/>
        </w:rPr>
        <w:t xml:space="preserve">נת הלאום, היא שהמדינה איבדה </w:t>
      </w:r>
      <w:r>
        <w:rPr>
          <w:rFonts w:ascii="David" w:hAnsi="David" w:cs="David" w:hint="cs"/>
          <w:sz w:val="28"/>
          <w:szCs w:val="28"/>
          <w:rtl/>
        </w:rPr>
        <w:t xml:space="preserve">מעוצמתה לטובת גורמים על מדינתיים. </w:t>
      </w:r>
      <w:r w:rsidR="007C75F0">
        <w:rPr>
          <w:rFonts w:ascii="David" w:hAnsi="David" w:cs="David" w:hint="cs"/>
          <w:sz w:val="28"/>
          <w:szCs w:val="28"/>
          <w:rtl/>
        </w:rPr>
        <w:t>בחינה של משבר הפליטים דרך עדשה זאת, יכול להוביל למסקנה כי רכיב יסוד של הביטחון הלאומי של כל מדינת לאום, ההגנה על הגבולות, נפגע משמעותית כתוצאה ממדיניות הגבולות הפתוחים של האיחוד האירופי שהחלישה את המדינה הבודדת</w:t>
      </w:r>
      <w:r w:rsidR="00BA0F94">
        <w:rPr>
          <w:rStyle w:val="ab"/>
          <w:rFonts w:ascii="David" w:hAnsi="David" w:cs="David"/>
          <w:sz w:val="28"/>
          <w:szCs w:val="28"/>
          <w:rtl/>
        </w:rPr>
        <w:footnoteReference w:id="6"/>
      </w:r>
      <w:r w:rsidR="00BA0F94">
        <w:rPr>
          <w:rFonts w:ascii="David" w:hAnsi="David" w:cs="David" w:hint="cs"/>
          <w:sz w:val="28"/>
          <w:szCs w:val="28"/>
          <w:rtl/>
        </w:rPr>
        <w:t xml:space="preserve">. </w:t>
      </w:r>
      <w:r w:rsidR="00C418AD">
        <w:rPr>
          <w:rFonts w:ascii="David" w:hAnsi="David" w:cs="David" w:hint="cs"/>
          <w:sz w:val="28"/>
          <w:szCs w:val="28"/>
          <w:rtl/>
        </w:rPr>
        <w:t xml:space="preserve">יתרה מכך, היקפי המשבר ורב </w:t>
      </w:r>
      <w:proofErr w:type="spellStart"/>
      <w:r w:rsidR="00C418AD">
        <w:rPr>
          <w:rFonts w:ascii="David" w:hAnsi="David" w:cs="David" w:hint="cs"/>
          <w:sz w:val="28"/>
          <w:szCs w:val="28"/>
          <w:rtl/>
        </w:rPr>
        <w:t>המימדיות</w:t>
      </w:r>
      <w:proofErr w:type="spellEnd"/>
      <w:r w:rsidR="00C418AD">
        <w:rPr>
          <w:rFonts w:ascii="David" w:hAnsi="David" w:cs="David" w:hint="cs"/>
          <w:sz w:val="28"/>
          <w:szCs w:val="28"/>
          <w:rtl/>
        </w:rPr>
        <w:t xml:space="preserve"> שלו הופכים אותו ל"גדול מדי" להתמודדות עבור מדינה אחת.</w:t>
      </w:r>
      <w:r w:rsidR="00BA0F94">
        <w:rPr>
          <w:rFonts w:ascii="David" w:hAnsi="David" w:cs="David" w:hint="cs"/>
          <w:sz w:val="28"/>
          <w:szCs w:val="28"/>
          <w:rtl/>
        </w:rPr>
        <w:t xml:space="preserve"> </w:t>
      </w:r>
    </w:p>
    <w:p w:rsidR="00C418AD" w:rsidRDefault="00C418AD" w:rsidP="00C418AD">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 xml:space="preserve">השתנות אופי האיומים ובעקבותיהם תפיסות הביטחון הלאומי </w:t>
      </w:r>
      <w:r>
        <w:rPr>
          <w:rFonts w:ascii="David" w:hAnsi="David" w:cs="David"/>
          <w:sz w:val="28"/>
          <w:szCs w:val="28"/>
          <w:rtl/>
        </w:rPr>
        <w:t>–</w:t>
      </w:r>
      <w:r>
        <w:rPr>
          <w:rFonts w:ascii="David" w:hAnsi="David" w:cs="David" w:hint="cs"/>
          <w:sz w:val="28"/>
          <w:szCs w:val="28"/>
          <w:rtl/>
        </w:rPr>
        <w:t xml:space="preserve"> משבר ההגירה חורג מאתגרי הביטחון הלאומי שעומדים בבסיס הגישה "הצרה". אין מדובר באיום צבאי, השחקנים המרכזיים הם לא מדינות </w:t>
      </w:r>
      <w:proofErr w:type="spellStart"/>
      <w:r>
        <w:rPr>
          <w:rFonts w:ascii="David" w:hAnsi="David" w:cs="David" w:hint="cs"/>
          <w:sz w:val="28"/>
          <w:szCs w:val="28"/>
          <w:rtl/>
        </w:rPr>
        <w:t>ומימד</w:t>
      </w:r>
      <w:proofErr w:type="spellEnd"/>
      <w:r>
        <w:rPr>
          <w:rFonts w:ascii="David" w:hAnsi="David" w:cs="David" w:hint="cs"/>
          <w:sz w:val="28"/>
          <w:szCs w:val="28"/>
          <w:rtl/>
        </w:rPr>
        <w:t xml:space="preserve"> האיום הוא לא רק ביטחוני או כלכלי. מדובר במשבר מרובה שחקנים (מדינות, ארגונים בינלאומיים, קבוצות, בודדים); רב </w:t>
      </w:r>
      <w:proofErr w:type="spellStart"/>
      <w:r>
        <w:rPr>
          <w:rFonts w:ascii="David" w:hAnsi="David" w:cs="David" w:hint="cs"/>
          <w:sz w:val="28"/>
          <w:szCs w:val="28"/>
          <w:rtl/>
        </w:rPr>
        <w:t>מימדי</w:t>
      </w:r>
      <w:proofErr w:type="spellEnd"/>
      <w:r>
        <w:rPr>
          <w:rFonts w:ascii="David" w:hAnsi="David" w:cs="David" w:hint="cs"/>
          <w:sz w:val="28"/>
          <w:szCs w:val="28"/>
          <w:rtl/>
        </w:rPr>
        <w:t xml:space="preserve"> (כלכלי, ביטחוני, חברתי, משפטי) שמאיים לא רק על </w:t>
      </w:r>
      <w:proofErr w:type="spellStart"/>
      <w:r>
        <w:rPr>
          <w:rFonts w:ascii="David" w:hAnsi="David" w:cs="David" w:hint="cs"/>
          <w:sz w:val="28"/>
          <w:szCs w:val="28"/>
          <w:rtl/>
        </w:rPr>
        <w:t>מימדים</w:t>
      </w:r>
      <w:proofErr w:type="spellEnd"/>
      <w:r>
        <w:rPr>
          <w:rFonts w:ascii="David" w:hAnsi="David" w:cs="David" w:hint="cs"/>
          <w:sz w:val="28"/>
          <w:szCs w:val="28"/>
          <w:rtl/>
        </w:rPr>
        <w:t xml:space="preserve"> קשים ומדידים (ביטחון, כלכלה) אלא גם על הזהות ("אירופה הנוצרית והלבנה"), התרבות, המבנה הפוליטי והלכידות החברתית של מדינות היבשת. </w:t>
      </w:r>
    </w:p>
    <w:p w:rsidR="00C418AD" w:rsidRDefault="00C418AD" w:rsidP="00C418AD">
      <w:pPr>
        <w:pStyle w:val="a3"/>
        <w:numPr>
          <w:ilvl w:val="0"/>
          <w:numId w:val="9"/>
        </w:numPr>
        <w:bidi/>
        <w:spacing w:after="120" w:line="360" w:lineRule="auto"/>
        <w:jc w:val="both"/>
        <w:rPr>
          <w:rFonts w:ascii="David" w:hAnsi="David" w:cs="David" w:hint="cs"/>
          <w:sz w:val="28"/>
          <w:szCs w:val="28"/>
        </w:rPr>
      </w:pPr>
      <w:r>
        <w:rPr>
          <w:rFonts w:ascii="David" w:hAnsi="David" w:cs="David" w:hint="cs"/>
          <w:sz w:val="28"/>
          <w:szCs w:val="28"/>
          <w:rtl/>
        </w:rPr>
        <w:t xml:space="preserve">ירידת מרכזיות </w:t>
      </w:r>
      <w:proofErr w:type="spellStart"/>
      <w:r>
        <w:rPr>
          <w:rFonts w:ascii="David" w:hAnsi="David" w:cs="David" w:hint="cs"/>
          <w:sz w:val="28"/>
          <w:szCs w:val="28"/>
          <w:rtl/>
        </w:rPr>
        <w:t>המימד</w:t>
      </w:r>
      <w:proofErr w:type="spellEnd"/>
      <w:r>
        <w:rPr>
          <w:rFonts w:ascii="David" w:hAnsi="David" w:cs="David" w:hint="cs"/>
          <w:sz w:val="28"/>
          <w:szCs w:val="28"/>
          <w:rtl/>
        </w:rPr>
        <w:t xml:space="preserve"> הצבאי </w:t>
      </w:r>
      <w:r>
        <w:rPr>
          <w:rFonts w:ascii="David" w:hAnsi="David" w:cs="David"/>
          <w:sz w:val="28"/>
          <w:szCs w:val="28"/>
          <w:rtl/>
        </w:rPr>
        <w:t>–</w:t>
      </w:r>
      <w:r>
        <w:rPr>
          <w:rFonts w:ascii="David" w:hAnsi="David" w:cs="David" w:hint="cs"/>
          <w:sz w:val="28"/>
          <w:szCs w:val="28"/>
          <w:rtl/>
        </w:rPr>
        <w:t xml:space="preserve"> בעוד שבמשבר ההגירה ישנם היבטים צבאיים ברורים, הגנה על הגבולות הימיים והיבשתיים, הרי שהמשבר החמור ביותר באירופה מאז מלחמת העולם השנייה הוא ודאי לא בעיה צבאית. </w:t>
      </w:r>
      <w:r w:rsidR="00F511FE">
        <w:rPr>
          <w:rFonts w:ascii="David" w:hAnsi="David" w:cs="David" w:hint="cs"/>
          <w:sz w:val="28"/>
          <w:szCs w:val="28"/>
          <w:rtl/>
        </w:rPr>
        <w:t>עוצמתה של מערכת הביטחון הגרמנית אולי תסייע לממשלה להתמודד עם איומי הטרור שנובעים מגלי ההגירה, אך בוודאי לא תקל על ההיבטים הכלכליים, על אתגרי ההיטמעות מחברה, על האיום על הזהות הגרמנית או על המתחים בין הערכים הליברליים לבין שיקולי הביטחון הלאומי.</w:t>
      </w:r>
    </w:p>
    <w:p w:rsidR="00F511FE" w:rsidRDefault="00F511FE" w:rsidP="00F511FE">
      <w:pPr>
        <w:pStyle w:val="a3"/>
        <w:bidi/>
        <w:spacing w:after="120" w:line="360" w:lineRule="auto"/>
        <w:jc w:val="both"/>
        <w:rPr>
          <w:rFonts w:ascii="David" w:hAnsi="David" w:cs="David"/>
          <w:sz w:val="28"/>
          <w:szCs w:val="28"/>
          <w:rtl/>
        </w:rPr>
      </w:pPr>
    </w:p>
    <w:p w:rsidR="00F511FE" w:rsidRDefault="00F511FE" w:rsidP="00F511FE">
      <w:pPr>
        <w:bidi/>
        <w:spacing w:after="120" w:line="360" w:lineRule="auto"/>
        <w:jc w:val="both"/>
        <w:rPr>
          <w:rFonts w:ascii="David" w:hAnsi="David" w:cs="David"/>
          <w:sz w:val="28"/>
          <w:szCs w:val="28"/>
          <w:rtl/>
        </w:rPr>
      </w:pPr>
      <w:r>
        <w:rPr>
          <w:rFonts w:ascii="David" w:hAnsi="David" w:cs="David" w:hint="cs"/>
          <w:sz w:val="28"/>
          <w:szCs w:val="28"/>
          <w:rtl/>
        </w:rPr>
        <w:t xml:space="preserve">לסיכום, יש לחזור לשאלה הבסיסית </w:t>
      </w:r>
      <w:r>
        <w:rPr>
          <w:rFonts w:ascii="David" w:hAnsi="David" w:cs="David"/>
          <w:sz w:val="28"/>
          <w:szCs w:val="28"/>
          <w:rtl/>
        </w:rPr>
        <w:t>–</w:t>
      </w:r>
      <w:r>
        <w:rPr>
          <w:rFonts w:ascii="David" w:hAnsi="David" w:cs="David" w:hint="cs"/>
          <w:sz w:val="28"/>
          <w:szCs w:val="28"/>
          <w:rtl/>
        </w:rPr>
        <w:t xml:space="preserve"> האם מדינת הלאום נחלשת? התשובה אינה חד משמעית כפי שמצדדי גישה זו גורסים. שתי </w:t>
      </w:r>
      <w:proofErr w:type="spellStart"/>
      <w:r>
        <w:rPr>
          <w:rFonts w:ascii="David" w:hAnsi="David" w:cs="David" w:hint="cs"/>
          <w:sz w:val="28"/>
          <w:szCs w:val="28"/>
          <w:rtl/>
        </w:rPr>
        <w:t>המהפיכות</w:t>
      </w:r>
      <w:proofErr w:type="spellEnd"/>
      <w:r>
        <w:rPr>
          <w:rFonts w:ascii="David" w:hAnsi="David" w:cs="David" w:hint="cs"/>
          <w:sz w:val="28"/>
          <w:szCs w:val="28"/>
          <w:rtl/>
        </w:rPr>
        <w:t xml:space="preserve"> הגדולות של העשורים האחרונים, הגלובליזציה ומהפיכת המידע, יצרו, בשילוב עם רכיבים נוספים, מציאות בעייתית למדינת הלאום </w:t>
      </w:r>
      <w:r>
        <w:rPr>
          <w:rFonts w:ascii="David" w:hAnsi="David" w:cs="David"/>
          <w:sz w:val="28"/>
          <w:szCs w:val="28"/>
          <w:rtl/>
        </w:rPr>
        <w:t>–</w:t>
      </w:r>
      <w:r>
        <w:rPr>
          <w:rFonts w:ascii="David" w:hAnsi="David" w:cs="David" w:hint="cs"/>
          <w:sz w:val="28"/>
          <w:szCs w:val="28"/>
          <w:rtl/>
        </w:rPr>
        <w:t xml:space="preserve"> יש יותר שחקנים במגרש הבינ"ל, קיימת דיפוזיה של עוצמה מהמדינה לארגונים על מדינתיים ולגורמים </w:t>
      </w:r>
      <w:r>
        <w:rPr>
          <w:rFonts w:ascii="David" w:hAnsi="David" w:cs="David" w:hint="cs"/>
          <w:sz w:val="28"/>
          <w:szCs w:val="28"/>
          <w:rtl/>
        </w:rPr>
        <w:lastRenderedPageBreak/>
        <w:t xml:space="preserve">תת מדינתיים; האתגרים הפכו להיות מגוונים יותר ומשלבים איומים ביטחוניים "קשים" וישירים עם איומים "רכים" ועקיפים. </w:t>
      </w:r>
    </w:p>
    <w:p w:rsidR="00F511FE" w:rsidRPr="00F511FE" w:rsidRDefault="00F511FE" w:rsidP="00F511FE">
      <w:pPr>
        <w:bidi/>
        <w:spacing w:after="120" w:line="360" w:lineRule="auto"/>
        <w:jc w:val="both"/>
        <w:rPr>
          <w:rFonts w:cs="David" w:hint="cs"/>
          <w:sz w:val="28"/>
          <w:szCs w:val="28"/>
          <w:rtl/>
        </w:rPr>
      </w:pPr>
      <w:r>
        <w:rPr>
          <w:rFonts w:ascii="David" w:hAnsi="David" w:cs="David" w:hint="cs"/>
          <w:sz w:val="28"/>
          <w:szCs w:val="28"/>
          <w:rtl/>
        </w:rPr>
        <w:t xml:space="preserve">עם זאת, למרות הירידה בעוצמתה מדינת הלאום מגלה שרידות והסתגלות. גם במקומות שבהם היה נדמה כי הפסידה במערכה (המלחמה בסוריה כדוגמה מובהקת) היא הוכיחה את עוצמתה כמסגרת מעצבת. יתרה מכך, ה"התקפה" על מדינת הלאום יוצרת גם תגובת נגד בקרב רבות מהמדינות </w:t>
      </w:r>
      <w:r>
        <w:rPr>
          <w:rFonts w:ascii="David" w:hAnsi="David" w:cs="David"/>
          <w:sz w:val="28"/>
          <w:szCs w:val="28"/>
          <w:rtl/>
        </w:rPr>
        <w:t>–</w:t>
      </w:r>
      <w:r>
        <w:rPr>
          <w:rFonts w:ascii="David" w:hAnsi="David" w:cs="David" w:hint="cs"/>
          <w:sz w:val="28"/>
          <w:szCs w:val="28"/>
          <w:rtl/>
        </w:rPr>
        <w:t xml:space="preserve"> החלטת בריטניה לצאת מהאיחוד האירופי; </w:t>
      </w:r>
      <w:r>
        <w:rPr>
          <w:rFonts w:cs="David" w:hint="cs"/>
          <w:sz w:val="28"/>
          <w:szCs w:val="28"/>
          <w:rtl/>
        </w:rPr>
        <w:t xml:space="preserve">החלטת הונגריה לסגור את הגבול בניגוד לאמנת שנגן; מגמת העלייה של מפלגות לאומיות (ולעיתים לאומניות) באירופה, הן כולן עדות לכך שרעיון מדינת הלאום הוא עודנו רכיב עוצמתי ומעצב ביחסים הבינ"ל. </w:t>
      </w:r>
    </w:p>
    <w:p w:rsidR="000248FF" w:rsidRDefault="000248FF" w:rsidP="003F549F">
      <w:pPr>
        <w:bidi/>
        <w:spacing w:after="120" w:line="360" w:lineRule="auto"/>
        <w:ind w:left="720"/>
        <w:jc w:val="both"/>
        <w:rPr>
          <w:rFonts w:ascii="David" w:hAnsi="David" w:cs="David"/>
          <w:sz w:val="28"/>
          <w:szCs w:val="28"/>
          <w:rtl/>
        </w:rPr>
      </w:pPr>
      <w:bookmarkStart w:id="0" w:name="_GoBack"/>
      <w:bookmarkEnd w:id="0"/>
    </w:p>
    <w:sectPr w:rsidR="000248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E2F" w:rsidRDefault="000D1E2F" w:rsidP="002B7DE2">
      <w:pPr>
        <w:spacing w:after="0" w:line="240" w:lineRule="auto"/>
      </w:pPr>
      <w:r>
        <w:separator/>
      </w:r>
    </w:p>
  </w:endnote>
  <w:endnote w:type="continuationSeparator" w:id="0">
    <w:p w:rsidR="000D1E2F" w:rsidRDefault="000D1E2F" w:rsidP="002B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E2F" w:rsidRDefault="000D1E2F" w:rsidP="002B7DE2">
      <w:pPr>
        <w:spacing w:after="0" w:line="240" w:lineRule="auto"/>
      </w:pPr>
      <w:r>
        <w:separator/>
      </w:r>
    </w:p>
  </w:footnote>
  <w:footnote w:type="continuationSeparator" w:id="0">
    <w:p w:rsidR="000D1E2F" w:rsidRDefault="000D1E2F" w:rsidP="002B7DE2">
      <w:pPr>
        <w:spacing w:after="0" w:line="240" w:lineRule="auto"/>
      </w:pPr>
      <w:r>
        <w:continuationSeparator/>
      </w:r>
    </w:p>
  </w:footnote>
  <w:footnote w:id="1">
    <w:p w:rsidR="00E81237" w:rsidRDefault="00E81237" w:rsidP="00E81237">
      <w:pPr>
        <w:pStyle w:val="a9"/>
        <w:bidi/>
        <w:rPr>
          <w:rFonts w:hint="cs"/>
          <w:rtl/>
        </w:rPr>
      </w:pPr>
      <w:r>
        <w:rPr>
          <w:rStyle w:val="ab"/>
        </w:rPr>
        <w:footnoteRef/>
      </w:r>
      <w:r>
        <w:t xml:space="preserve"> </w:t>
      </w:r>
      <w:r>
        <w:rPr>
          <w:rFonts w:hint="cs"/>
          <w:rtl/>
        </w:rPr>
        <w:t xml:space="preserve"> כך בשנת 1995 לבדה נכתבו שני ספרים תחת הכותרת "קץ מדינת הלאום", האחד על ידי הדיפלומט הצרפתי, ז'</w:t>
      </w:r>
      <w:r w:rsidR="005C4A05">
        <w:rPr>
          <w:rFonts w:hint="cs"/>
          <w:rtl/>
        </w:rPr>
        <w:t>א</w:t>
      </w:r>
      <w:r>
        <w:rPr>
          <w:rFonts w:hint="cs"/>
          <w:rtl/>
        </w:rPr>
        <w:t xml:space="preserve">ן מארי גנו, והשני על ידי </w:t>
      </w:r>
      <w:proofErr w:type="spellStart"/>
      <w:r>
        <w:rPr>
          <w:rFonts w:hint="cs"/>
          <w:rtl/>
        </w:rPr>
        <w:t>התאירטיקן</w:t>
      </w:r>
      <w:proofErr w:type="spellEnd"/>
      <w:r>
        <w:rPr>
          <w:rFonts w:hint="cs"/>
          <w:rtl/>
        </w:rPr>
        <w:t xml:space="preserve"> היפני, </w:t>
      </w:r>
      <w:proofErr w:type="spellStart"/>
      <w:r>
        <w:rPr>
          <w:rFonts w:hint="cs"/>
          <w:rtl/>
        </w:rPr>
        <w:t>קאניצ'י</w:t>
      </w:r>
      <w:proofErr w:type="spellEnd"/>
      <w:r>
        <w:rPr>
          <w:rFonts w:hint="cs"/>
          <w:rtl/>
        </w:rPr>
        <w:t xml:space="preserve"> אומה. שני הכותבים גרסו שמדינת הלאום תאבד מכוחה "למעלה" לטובת ארגונים על מדינתיים דוגמת האיחוד האירופי </w:t>
      </w:r>
      <w:proofErr w:type="spellStart"/>
      <w:r>
        <w:rPr>
          <w:rFonts w:hint="cs"/>
          <w:rtl/>
        </w:rPr>
        <w:t>והאו"מ</w:t>
      </w:r>
      <w:proofErr w:type="spellEnd"/>
      <w:r>
        <w:rPr>
          <w:rFonts w:hint="cs"/>
          <w:rtl/>
        </w:rPr>
        <w:t xml:space="preserve">, ו"למטה" לטובת מסגרות תת </w:t>
      </w:r>
      <w:proofErr w:type="spellStart"/>
      <w:r>
        <w:rPr>
          <w:rFonts w:hint="cs"/>
          <w:rtl/>
        </w:rPr>
        <w:t>מדיניותיות</w:t>
      </w:r>
      <w:proofErr w:type="spellEnd"/>
      <w:r>
        <w:rPr>
          <w:rFonts w:hint="cs"/>
          <w:rtl/>
        </w:rPr>
        <w:t xml:space="preserve"> כגון ערים ומחוזות. </w:t>
      </w:r>
    </w:p>
  </w:footnote>
  <w:footnote w:id="2">
    <w:p w:rsidR="004F0A13" w:rsidRDefault="004F0A13" w:rsidP="004F0A13">
      <w:pPr>
        <w:pStyle w:val="a9"/>
        <w:bidi/>
        <w:jc w:val="both"/>
      </w:pPr>
      <w:r>
        <w:rPr>
          <w:rStyle w:val="ab"/>
        </w:rPr>
        <w:footnoteRef/>
      </w:r>
      <w:r>
        <w:t xml:space="preserve"> </w:t>
      </w:r>
      <w:r>
        <w:rPr>
          <w:rFonts w:hint="cs"/>
          <w:rtl/>
        </w:rPr>
        <w:t xml:space="preserve"> </w:t>
      </w:r>
      <w:r>
        <w:rPr>
          <w:rFonts w:hint="cs"/>
          <w:rtl/>
        </w:rPr>
        <w:t xml:space="preserve">הכוונה היא לשורת ההפגנות ומחאה המוניות שהובילו, בסופו של תהליך, לנפילת משטרו של חסני </w:t>
      </w:r>
      <w:proofErr w:type="spellStart"/>
      <w:r>
        <w:rPr>
          <w:rFonts w:hint="cs"/>
          <w:rtl/>
        </w:rPr>
        <w:t>מבארכ</w:t>
      </w:r>
      <w:proofErr w:type="spellEnd"/>
      <w:r>
        <w:rPr>
          <w:rFonts w:hint="cs"/>
          <w:rtl/>
        </w:rPr>
        <w:t xml:space="preserve"> במצרים. במסגרת האירועים, לפחות בשלבים הראשונים, עשו המפגינים הצעירים שימוש נרחב ברשתות חברתיות ובראשן </w:t>
      </w:r>
      <w:proofErr w:type="spellStart"/>
      <w:r>
        <w:rPr>
          <w:rFonts w:hint="cs"/>
          <w:rtl/>
        </w:rPr>
        <w:t>פייסבוק</w:t>
      </w:r>
      <w:proofErr w:type="spellEnd"/>
      <w:r>
        <w:rPr>
          <w:rFonts w:hint="cs"/>
          <w:rtl/>
        </w:rPr>
        <w:t xml:space="preserve"> </w:t>
      </w:r>
      <w:proofErr w:type="spellStart"/>
      <w:r>
        <w:rPr>
          <w:rFonts w:hint="cs"/>
          <w:rtl/>
        </w:rPr>
        <w:t>וטוויטר</w:t>
      </w:r>
      <w:proofErr w:type="spellEnd"/>
      <w:r>
        <w:rPr>
          <w:rFonts w:hint="cs"/>
          <w:rtl/>
        </w:rPr>
        <w:t xml:space="preserve"> לארגון ההפגנות, להעברת המסרים ולהוצאת תמונות הדיכוי והפעילות של המשטר לזירה הבינ"ל. המשטר, הבין את הדומיננטיות של הרשתות החברתיות ובשלב מוקדם יחסית (26-27 בינואר) חסם גישה לרשת בניסיון עקר למנוע את המשך ההפגנות. בהיבט הרחב יותר ניתן לומר שלרשת, ולפתיחות למקורות מידע וידע ברחבי העולם,</w:t>
      </w:r>
      <w:r w:rsidR="003C22B8">
        <w:rPr>
          <w:rFonts w:hint="cs"/>
          <w:rtl/>
        </w:rPr>
        <w:t xml:space="preserve"> היה חלק משמעותי בעצם החשיפה לרעיונות של חופש פוליטי וליכולת להוציאן לפועל כפי שנעשה </w:t>
      </w:r>
      <w:proofErr w:type="spellStart"/>
      <w:r w:rsidR="003C22B8">
        <w:rPr>
          <w:rFonts w:hint="cs"/>
          <w:rtl/>
        </w:rPr>
        <w:t>במהפיכה</w:t>
      </w:r>
      <w:proofErr w:type="spellEnd"/>
      <w:r w:rsidR="003C22B8">
        <w:rPr>
          <w:rFonts w:hint="cs"/>
          <w:rtl/>
        </w:rPr>
        <w:t xml:space="preserve"> בתוניסיה שסימנה את ראשיתו של "האביב הערבי".</w:t>
      </w:r>
      <w:r>
        <w:rPr>
          <w:rFonts w:hint="cs"/>
          <w:rtl/>
        </w:rPr>
        <w:t xml:space="preserve"> </w:t>
      </w:r>
    </w:p>
  </w:footnote>
  <w:footnote w:id="3">
    <w:p w:rsidR="00CF088F" w:rsidRDefault="00CF088F" w:rsidP="00CF088F">
      <w:pPr>
        <w:pStyle w:val="a9"/>
        <w:bidi/>
        <w:rPr>
          <w:rtl/>
        </w:rPr>
      </w:pPr>
      <w:r>
        <w:rPr>
          <w:rStyle w:val="ab"/>
        </w:rPr>
        <w:footnoteRef/>
      </w:r>
      <w:r>
        <w:t xml:space="preserve"> </w:t>
      </w:r>
      <w:r>
        <w:rPr>
          <w:rFonts w:hint="cs"/>
          <w:rtl/>
        </w:rPr>
        <w:t xml:space="preserve"> </w:t>
      </w:r>
      <w:proofErr w:type="spellStart"/>
      <w:r>
        <w:rPr>
          <w:rFonts w:hint="cs"/>
          <w:rtl/>
        </w:rPr>
        <w:t>עמידרור</w:t>
      </w:r>
      <w:proofErr w:type="spellEnd"/>
      <w:r>
        <w:rPr>
          <w:rFonts w:hint="cs"/>
          <w:rtl/>
        </w:rPr>
        <w:t xml:space="preserve"> (2011), "מהו ביטחון לאומי", בתוך מבוא לביטחון לאומי. האוניברסיטה המשודרת.  </w:t>
      </w:r>
    </w:p>
  </w:footnote>
  <w:footnote w:id="4">
    <w:p w:rsidR="001324E6" w:rsidRDefault="001324E6" w:rsidP="001324E6">
      <w:pPr>
        <w:pStyle w:val="a9"/>
        <w:bidi/>
        <w:rPr>
          <w:rtl/>
        </w:rPr>
      </w:pPr>
      <w:r>
        <w:rPr>
          <w:rStyle w:val="ab"/>
        </w:rPr>
        <w:footnoteRef/>
      </w:r>
      <w:r>
        <w:t xml:space="preserve"> </w:t>
      </w:r>
      <w:r>
        <w:rPr>
          <w:rFonts w:hint="cs"/>
          <w:rtl/>
        </w:rPr>
        <w:t xml:space="preserve"> </w:t>
      </w:r>
      <w:r>
        <w:rPr>
          <w:rFonts w:hint="cs"/>
          <w:rtl/>
        </w:rPr>
        <w:t>שם (עמ' 9)</w:t>
      </w:r>
    </w:p>
  </w:footnote>
  <w:footnote w:id="5">
    <w:p w:rsidR="001324E6" w:rsidRDefault="001324E6" w:rsidP="001324E6">
      <w:pPr>
        <w:pStyle w:val="a9"/>
        <w:bidi/>
        <w:rPr>
          <w:rtl/>
        </w:rPr>
      </w:pPr>
      <w:r>
        <w:rPr>
          <w:rStyle w:val="ab"/>
        </w:rPr>
        <w:footnoteRef/>
      </w:r>
      <w:r>
        <w:t xml:space="preserve"> </w:t>
      </w:r>
      <w:r>
        <w:rPr>
          <w:rFonts w:hint="cs"/>
          <w:rtl/>
        </w:rPr>
        <w:t xml:space="preserve"> </w:t>
      </w:r>
      <w:r>
        <w:rPr>
          <w:rFonts w:hint="cs"/>
          <w:rtl/>
        </w:rPr>
        <w:t>שם</w:t>
      </w:r>
    </w:p>
  </w:footnote>
  <w:footnote w:id="6">
    <w:p w:rsidR="00BA0F94" w:rsidRDefault="00BA0F94" w:rsidP="000B3DC5">
      <w:pPr>
        <w:pStyle w:val="a9"/>
        <w:bidi/>
        <w:jc w:val="both"/>
        <w:rPr>
          <w:rFonts w:hint="cs"/>
          <w:rtl/>
        </w:rPr>
      </w:pPr>
      <w:r>
        <w:rPr>
          <w:rStyle w:val="ab"/>
        </w:rPr>
        <w:footnoteRef/>
      </w:r>
      <w:r>
        <w:t xml:space="preserve"> </w:t>
      </w:r>
      <w:r>
        <w:rPr>
          <w:rFonts w:hint="cs"/>
          <w:rtl/>
        </w:rPr>
        <w:t xml:space="preserve"> </w:t>
      </w:r>
      <w:r>
        <w:rPr>
          <w:rFonts w:hint="cs"/>
          <w:rtl/>
        </w:rPr>
        <w:t xml:space="preserve">ב"ציוץ" </w:t>
      </w:r>
      <w:proofErr w:type="spellStart"/>
      <w:r>
        <w:rPr>
          <w:rFonts w:hint="cs"/>
          <w:rtl/>
        </w:rPr>
        <w:t>בטוויטר</w:t>
      </w:r>
      <w:proofErr w:type="spellEnd"/>
      <w:r>
        <w:rPr>
          <w:rFonts w:hint="cs"/>
          <w:rtl/>
        </w:rPr>
        <w:t xml:space="preserve"> מה-17 בספטמבר 2016 </w:t>
      </w:r>
      <w:r w:rsidR="000B3DC5">
        <w:rPr>
          <w:rFonts w:hint="cs"/>
          <w:rtl/>
        </w:rPr>
        <w:t xml:space="preserve">התייחס הנשיא האמריקני, </w:t>
      </w:r>
      <w:proofErr w:type="spellStart"/>
      <w:r w:rsidR="000B3DC5">
        <w:rPr>
          <w:rFonts w:hint="cs"/>
          <w:rtl/>
        </w:rPr>
        <w:t>טראמפ</w:t>
      </w:r>
      <w:proofErr w:type="spellEnd"/>
      <w:r w:rsidR="000B3DC5">
        <w:rPr>
          <w:rFonts w:hint="cs"/>
          <w:rtl/>
        </w:rPr>
        <w:t xml:space="preserve">, למשבר ההגירה וטען </w:t>
      </w:r>
      <w:r>
        <w:rPr>
          <w:rFonts w:hint="cs"/>
          <w:rtl/>
        </w:rPr>
        <w:t xml:space="preserve">כי "מדינה ללא </w:t>
      </w:r>
      <w:r w:rsidR="000B3DC5">
        <w:rPr>
          <w:rFonts w:hint="cs"/>
          <w:rtl/>
        </w:rPr>
        <w:t xml:space="preserve">גבולות היא איננה מדינה כלל".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E5A"/>
    <w:multiLevelType w:val="hybridMultilevel"/>
    <w:tmpl w:val="0EE60BB4"/>
    <w:lvl w:ilvl="0" w:tplc="6A24751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923EF0"/>
    <w:multiLevelType w:val="hybridMultilevel"/>
    <w:tmpl w:val="33F47F36"/>
    <w:lvl w:ilvl="0" w:tplc="F57C6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71503"/>
    <w:multiLevelType w:val="hybridMultilevel"/>
    <w:tmpl w:val="2F6E0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333E5"/>
    <w:multiLevelType w:val="hybridMultilevel"/>
    <w:tmpl w:val="2B04A8D0"/>
    <w:lvl w:ilvl="0" w:tplc="5D2CCF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37163"/>
    <w:multiLevelType w:val="hybridMultilevel"/>
    <w:tmpl w:val="F286B462"/>
    <w:lvl w:ilvl="0" w:tplc="EB66448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F70D95"/>
    <w:multiLevelType w:val="hybridMultilevel"/>
    <w:tmpl w:val="B1300AB2"/>
    <w:lvl w:ilvl="0" w:tplc="13121FF0">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B56E4C"/>
    <w:multiLevelType w:val="multilevel"/>
    <w:tmpl w:val="466A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463B3"/>
    <w:multiLevelType w:val="hybridMultilevel"/>
    <w:tmpl w:val="5BA41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B47D6C"/>
    <w:multiLevelType w:val="hybridMultilevel"/>
    <w:tmpl w:val="EA82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4"/>
  </w:num>
  <w:num w:numId="5">
    <w:abstractNumId w:val="7"/>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AE"/>
    <w:rsid w:val="000006FD"/>
    <w:rsid w:val="00002253"/>
    <w:rsid w:val="000121DA"/>
    <w:rsid w:val="00015AD8"/>
    <w:rsid w:val="000248FF"/>
    <w:rsid w:val="000249BB"/>
    <w:rsid w:val="000266AB"/>
    <w:rsid w:val="0003261A"/>
    <w:rsid w:val="00037029"/>
    <w:rsid w:val="0004786D"/>
    <w:rsid w:val="00053A87"/>
    <w:rsid w:val="00057F82"/>
    <w:rsid w:val="00061006"/>
    <w:rsid w:val="00063357"/>
    <w:rsid w:val="00063553"/>
    <w:rsid w:val="00066E07"/>
    <w:rsid w:val="0006702E"/>
    <w:rsid w:val="000702CD"/>
    <w:rsid w:val="00091DB6"/>
    <w:rsid w:val="00097730"/>
    <w:rsid w:val="000A3BB3"/>
    <w:rsid w:val="000A5F9E"/>
    <w:rsid w:val="000B09D6"/>
    <w:rsid w:val="000B3C25"/>
    <w:rsid w:val="000B3DC5"/>
    <w:rsid w:val="000C0CCA"/>
    <w:rsid w:val="000C517A"/>
    <w:rsid w:val="000C6DDA"/>
    <w:rsid w:val="000D1E2F"/>
    <w:rsid w:val="000E2BEA"/>
    <w:rsid w:val="000F4EF2"/>
    <w:rsid w:val="000F6125"/>
    <w:rsid w:val="00101EA9"/>
    <w:rsid w:val="001165F4"/>
    <w:rsid w:val="00120D9D"/>
    <w:rsid w:val="00121B8F"/>
    <w:rsid w:val="00125A16"/>
    <w:rsid w:val="00126107"/>
    <w:rsid w:val="00127C56"/>
    <w:rsid w:val="001324E6"/>
    <w:rsid w:val="001404D1"/>
    <w:rsid w:val="0014571F"/>
    <w:rsid w:val="00147728"/>
    <w:rsid w:val="00153D19"/>
    <w:rsid w:val="00156123"/>
    <w:rsid w:val="00163128"/>
    <w:rsid w:val="001674BB"/>
    <w:rsid w:val="00175AB8"/>
    <w:rsid w:val="00180D10"/>
    <w:rsid w:val="00180F84"/>
    <w:rsid w:val="001814F9"/>
    <w:rsid w:val="001860F2"/>
    <w:rsid w:val="001A143D"/>
    <w:rsid w:val="001A7431"/>
    <w:rsid w:val="001A7C20"/>
    <w:rsid w:val="001B08AC"/>
    <w:rsid w:val="001B5206"/>
    <w:rsid w:val="001B5F81"/>
    <w:rsid w:val="001C3A03"/>
    <w:rsid w:val="001D4A72"/>
    <w:rsid w:val="001D5CAA"/>
    <w:rsid w:val="001D75A6"/>
    <w:rsid w:val="001E3D29"/>
    <w:rsid w:val="001E5736"/>
    <w:rsid w:val="001E626B"/>
    <w:rsid w:val="001F03E2"/>
    <w:rsid w:val="001F780C"/>
    <w:rsid w:val="001F79E9"/>
    <w:rsid w:val="002201CC"/>
    <w:rsid w:val="002230A7"/>
    <w:rsid w:val="00231DFC"/>
    <w:rsid w:val="002321CD"/>
    <w:rsid w:val="00247130"/>
    <w:rsid w:val="00247D8C"/>
    <w:rsid w:val="00250373"/>
    <w:rsid w:val="00256D53"/>
    <w:rsid w:val="002613A4"/>
    <w:rsid w:val="00265EE0"/>
    <w:rsid w:val="00272965"/>
    <w:rsid w:val="00273A25"/>
    <w:rsid w:val="00275C87"/>
    <w:rsid w:val="0028513A"/>
    <w:rsid w:val="002A4A13"/>
    <w:rsid w:val="002B16DC"/>
    <w:rsid w:val="002B5191"/>
    <w:rsid w:val="002B69A5"/>
    <w:rsid w:val="002B7DE2"/>
    <w:rsid w:val="002C5605"/>
    <w:rsid w:val="002C7AA9"/>
    <w:rsid w:val="002D1CA5"/>
    <w:rsid w:val="002D288B"/>
    <w:rsid w:val="002D3FC4"/>
    <w:rsid w:val="002D4BED"/>
    <w:rsid w:val="002E084E"/>
    <w:rsid w:val="002E0B2F"/>
    <w:rsid w:val="002E3CB1"/>
    <w:rsid w:val="002E7B34"/>
    <w:rsid w:val="002F1E64"/>
    <w:rsid w:val="00302FCC"/>
    <w:rsid w:val="00313186"/>
    <w:rsid w:val="00317723"/>
    <w:rsid w:val="00324B24"/>
    <w:rsid w:val="00325CED"/>
    <w:rsid w:val="003345B6"/>
    <w:rsid w:val="0034547B"/>
    <w:rsid w:val="00356201"/>
    <w:rsid w:val="0036074C"/>
    <w:rsid w:val="00361517"/>
    <w:rsid w:val="00365F30"/>
    <w:rsid w:val="00375241"/>
    <w:rsid w:val="00383C1B"/>
    <w:rsid w:val="00387B58"/>
    <w:rsid w:val="00395CF4"/>
    <w:rsid w:val="003971F3"/>
    <w:rsid w:val="00397F33"/>
    <w:rsid w:val="003A6245"/>
    <w:rsid w:val="003B12F0"/>
    <w:rsid w:val="003C22B8"/>
    <w:rsid w:val="003C296A"/>
    <w:rsid w:val="003C4C7E"/>
    <w:rsid w:val="003C79FB"/>
    <w:rsid w:val="003D5843"/>
    <w:rsid w:val="003E6822"/>
    <w:rsid w:val="003F227C"/>
    <w:rsid w:val="003F549F"/>
    <w:rsid w:val="0040506E"/>
    <w:rsid w:val="00406F6F"/>
    <w:rsid w:val="0041134A"/>
    <w:rsid w:val="00413757"/>
    <w:rsid w:val="00423D63"/>
    <w:rsid w:val="00424926"/>
    <w:rsid w:val="00432635"/>
    <w:rsid w:val="004344E4"/>
    <w:rsid w:val="00434694"/>
    <w:rsid w:val="0043583A"/>
    <w:rsid w:val="0043702F"/>
    <w:rsid w:val="004372FA"/>
    <w:rsid w:val="00440C34"/>
    <w:rsid w:val="00444752"/>
    <w:rsid w:val="004448A1"/>
    <w:rsid w:val="00451805"/>
    <w:rsid w:val="004518F6"/>
    <w:rsid w:val="004545B7"/>
    <w:rsid w:val="00454C8D"/>
    <w:rsid w:val="00454F19"/>
    <w:rsid w:val="00456EDB"/>
    <w:rsid w:val="00465489"/>
    <w:rsid w:val="004817F0"/>
    <w:rsid w:val="00482C16"/>
    <w:rsid w:val="00483EC0"/>
    <w:rsid w:val="004856EC"/>
    <w:rsid w:val="00490C13"/>
    <w:rsid w:val="0049223B"/>
    <w:rsid w:val="004927A4"/>
    <w:rsid w:val="00492949"/>
    <w:rsid w:val="0049473A"/>
    <w:rsid w:val="004A4ECE"/>
    <w:rsid w:val="004C2CE8"/>
    <w:rsid w:val="004F0A13"/>
    <w:rsid w:val="004F16E2"/>
    <w:rsid w:val="004F6E5A"/>
    <w:rsid w:val="004F7A66"/>
    <w:rsid w:val="005011C7"/>
    <w:rsid w:val="005013F2"/>
    <w:rsid w:val="00504ABF"/>
    <w:rsid w:val="00511A36"/>
    <w:rsid w:val="00514258"/>
    <w:rsid w:val="00517340"/>
    <w:rsid w:val="0052005A"/>
    <w:rsid w:val="005204CE"/>
    <w:rsid w:val="00522604"/>
    <w:rsid w:val="00525A70"/>
    <w:rsid w:val="00527D06"/>
    <w:rsid w:val="0053305E"/>
    <w:rsid w:val="005332EB"/>
    <w:rsid w:val="0054108D"/>
    <w:rsid w:val="00543ABF"/>
    <w:rsid w:val="00555B99"/>
    <w:rsid w:val="005572F5"/>
    <w:rsid w:val="005613C1"/>
    <w:rsid w:val="0056176A"/>
    <w:rsid w:val="005630F9"/>
    <w:rsid w:val="00571044"/>
    <w:rsid w:val="005714BF"/>
    <w:rsid w:val="00573656"/>
    <w:rsid w:val="00583BE0"/>
    <w:rsid w:val="005853C7"/>
    <w:rsid w:val="00590F90"/>
    <w:rsid w:val="00597BAB"/>
    <w:rsid w:val="005C304B"/>
    <w:rsid w:val="005C34B7"/>
    <w:rsid w:val="005C470B"/>
    <w:rsid w:val="005C4A05"/>
    <w:rsid w:val="005C630D"/>
    <w:rsid w:val="005D175F"/>
    <w:rsid w:val="005D1ECC"/>
    <w:rsid w:val="005D2308"/>
    <w:rsid w:val="005E088A"/>
    <w:rsid w:val="005E21D6"/>
    <w:rsid w:val="005E6B9C"/>
    <w:rsid w:val="005E6D27"/>
    <w:rsid w:val="00613528"/>
    <w:rsid w:val="00613A7D"/>
    <w:rsid w:val="0062257F"/>
    <w:rsid w:val="00627CFF"/>
    <w:rsid w:val="006413AC"/>
    <w:rsid w:val="00642351"/>
    <w:rsid w:val="00643F55"/>
    <w:rsid w:val="006465B2"/>
    <w:rsid w:val="00653010"/>
    <w:rsid w:val="006613F6"/>
    <w:rsid w:val="006728E9"/>
    <w:rsid w:val="006762E2"/>
    <w:rsid w:val="00676866"/>
    <w:rsid w:val="00687FC8"/>
    <w:rsid w:val="00690D22"/>
    <w:rsid w:val="0069427D"/>
    <w:rsid w:val="006942E9"/>
    <w:rsid w:val="0069576C"/>
    <w:rsid w:val="00696F67"/>
    <w:rsid w:val="006A0B3E"/>
    <w:rsid w:val="006A1B9D"/>
    <w:rsid w:val="006A4BA7"/>
    <w:rsid w:val="006B0956"/>
    <w:rsid w:val="006B3D1A"/>
    <w:rsid w:val="006B42CB"/>
    <w:rsid w:val="006B621B"/>
    <w:rsid w:val="006C1343"/>
    <w:rsid w:val="006C25FB"/>
    <w:rsid w:val="006C6AF4"/>
    <w:rsid w:val="006D7641"/>
    <w:rsid w:val="006D77B8"/>
    <w:rsid w:val="006E0599"/>
    <w:rsid w:val="006E30EA"/>
    <w:rsid w:val="006F0B8F"/>
    <w:rsid w:val="006F3034"/>
    <w:rsid w:val="006F3C0E"/>
    <w:rsid w:val="006F54E3"/>
    <w:rsid w:val="00702F36"/>
    <w:rsid w:val="007062AF"/>
    <w:rsid w:val="007064A7"/>
    <w:rsid w:val="007069C2"/>
    <w:rsid w:val="00711735"/>
    <w:rsid w:val="00712567"/>
    <w:rsid w:val="00713810"/>
    <w:rsid w:val="00714075"/>
    <w:rsid w:val="0072484C"/>
    <w:rsid w:val="00724EE1"/>
    <w:rsid w:val="007322B5"/>
    <w:rsid w:val="0073566B"/>
    <w:rsid w:val="007369FA"/>
    <w:rsid w:val="00737B6A"/>
    <w:rsid w:val="0074311D"/>
    <w:rsid w:val="0074513D"/>
    <w:rsid w:val="00747D55"/>
    <w:rsid w:val="00751D4C"/>
    <w:rsid w:val="00754E14"/>
    <w:rsid w:val="00754F9A"/>
    <w:rsid w:val="00763924"/>
    <w:rsid w:val="00775EE1"/>
    <w:rsid w:val="007803C2"/>
    <w:rsid w:val="00782D5A"/>
    <w:rsid w:val="00784669"/>
    <w:rsid w:val="00784DE9"/>
    <w:rsid w:val="00790935"/>
    <w:rsid w:val="00792A8A"/>
    <w:rsid w:val="00793FDC"/>
    <w:rsid w:val="007968B4"/>
    <w:rsid w:val="007969FE"/>
    <w:rsid w:val="00796F48"/>
    <w:rsid w:val="007A375F"/>
    <w:rsid w:val="007A5B3F"/>
    <w:rsid w:val="007B35A2"/>
    <w:rsid w:val="007B6116"/>
    <w:rsid w:val="007B74DF"/>
    <w:rsid w:val="007B79C4"/>
    <w:rsid w:val="007C219D"/>
    <w:rsid w:val="007C441C"/>
    <w:rsid w:val="007C4985"/>
    <w:rsid w:val="007C74A1"/>
    <w:rsid w:val="007C75F0"/>
    <w:rsid w:val="007D66DC"/>
    <w:rsid w:val="007E2FCD"/>
    <w:rsid w:val="007F18BA"/>
    <w:rsid w:val="007F4F5E"/>
    <w:rsid w:val="00811D75"/>
    <w:rsid w:val="00815974"/>
    <w:rsid w:val="0082639C"/>
    <w:rsid w:val="0083068F"/>
    <w:rsid w:val="008356B1"/>
    <w:rsid w:val="008506E6"/>
    <w:rsid w:val="00852E7B"/>
    <w:rsid w:val="00856580"/>
    <w:rsid w:val="00857841"/>
    <w:rsid w:val="008603E0"/>
    <w:rsid w:val="008616AA"/>
    <w:rsid w:val="00865353"/>
    <w:rsid w:val="008664F0"/>
    <w:rsid w:val="0087762D"/>
    <w:rsid w:val="00881399"/>
    <w:rsid w:val="008A1F86"/>
    <w:rsid w:val="008A61EC"/>
    <w:rsid w:val="008B12AA"/>
    <w:rsid w:val="008B29AB"/>
    <w:rsid w:val="008B29E2"/>
    <w:rsid w:val="008C1931"/>
    <w:rsid w:val="008C2C14"/>
    <w:rsid w:val="008C31E6"/>
    <w:rsid w:val="008C48F0"/>
    <w:rsid w:val="008C58F1"/>
    <w:rsid w:val="008C5EBB"/>
    <w:rsid w:val="008D1558"/>
    <w:rsid w:val="008D19A1"/>
    <w:rsid w:val="008E0673"/>
    <w:rsid w:val="008E0B30"/>
    <w:rsid w:val="008E278D"/>
    <w:rsid w:val="008F7E21"/>
    <w:rsid w:val="00903B4B"/>
    <w:rsid w:val="009049A8"/>
    <w:rsid w:val="00910256"/>
    <w:rsid w:val="00915179"/>
    <w:rsid w:val="00915BAA"/>
    <w:rsid w:val="00924AF9"/>
    <w:rsid w:val="009327F8"/>
    <w:rsid w:val="00933CEC"/>
    <w:rsid w:val="00936BAE"/>
    <w:rsid w:val="00940392"/>
    <w:rsid w:val="0094118C"/>
    <w:rsid w:val="00946DB9"/>
    <w:rsid w:val="009632A8"/>
    <w:rsid w:val="00970E8F"/>
    <w:rsid w:val="009718A3"/>
    <w:rsid w:val="00977DDA"/>
    <w:rsid w:val="00986162"/>
    <w:rsid w:val="00986E2D"/>
    <w:rsid w:val="00990E4A"/>
    <w:rsid w:val="00993785"/>
    <w:rsid w:val="009A0C2B"/>
    <w:rsid w:val="009A1CD6"/>
    <w:rsid w:val="009A2E8A"/>
    <w:rsid w:val="009B0B22"/>
    <w:rsid w:val="009B0B23"/>
    <w:rsid w:val="009B3A09"/>
    <w:rsid w:val="009B75D0"/>
    <w:rsid w:val="009B7B95"/>
    <w:rsid w:val="009C0EAE"/>
    <w:rsid w:val="009C669C"/>
    <w:rsid w:val="009D00D0"/>
    <w:rsid w:val="009D4EC1"/>
    <w:rsid w:val="009D6666"/>
    <w:rsid w:val="009E00F5"/>
    <w:rsid w:val="009E3E62"/>
    <w:rsid w:val="009E61AE"/>
    <w:rsid w:val="009E6C71"/>
    <w:rsid w:val="009F28E6"/>
    <w:rsid w:val="00A02C82"/>
    <w:rsid w:val="00A06AC4"/>
    <w:rsid w:val="00A11ECB"/>
    <w:rsid w:val="00A1272B"/>
    <w:rsid w:val="00A146FC"/>
    <w:rsid w:val="00A213E3"/>
    <w:rsid w:val="00A23C5F"/>
    <w:rsid w:val="00A24462"/>
    <w:rsid w:val="00A2476A"/>
    <w:rsid w:val="00A34D89"/>
    <w:rsid w:val="00A5438B"/>
    <w:rsid w:val="00A5535F"/>
    <w:rsid w:val="00A62D8B"/>
    <w:rsid w:val="00A6476A"/>
    <w:rsid w:val="00A71475"/>
    <w:rsid w:val="00A875C6"/>
    <w:rsid w:val="00A91051"/>
    <w:rsid w:val="00A910D7"/>
    <w:rsid w:val="00A95421"/>
    <w:rsid w:val="00AB13B6"/>
    <w:rsid w:val="00AB181D"/>
    <w:rsid w:val="00AB2DA3"/>
    <w:rsid w:val="00AB4809"/>
    <w:rsid w:val="00AB4B33"/>
    <w:rsid w:val="00AC1DE8"/>
    <w:rsid w:val="00AC5812"/>
    <w:rsid w:val="00AE230D"/>
    <w:rsid w:val="00B01140"/>
    <w:rsid w:val="00B03192"/>
    <w:rsid w:val="00B06B12"/>
    <w:rsid w:val="00B07354"/>
    <w:rsid w:val="00B16B34"/>
    <w:rsid w:val="00B17F2E"/>
    <w:rsid w:val="00B21B00"/>
    <w:rsid w:val="00B248C1"/>
    <w:rsid w:val="00B31A26"/>
    <w:rsid w:val="00B34EAD"/>
    <w:rsid w:val="00B36AC0"/>
    <w:rsid w:val="00B376DB"/>
    <w:rsid w:val="00B37F8A"/>
    <w:rsid w:val="00B44182"/>
    <w:rsid w:val="00B44988"/>
    <w:rsid w:val="00B4669F"/>
    <w:rsid w:val="00B46C48"/>
    <w:rsid w:val="00B57DC0"/>
    <w:rsid w:val="00B613C2"/>
    <w:rsid w:val="00B62863"/>
    <w:rsid w:val="00B66936"/>
    <w:rsid w:val="00B7132B"/>
    <w:rsid w:val="00B92CC9"/>
    <w:rsid w:val="00B97C39"/>
    <w:rsid w:val="00BA0F94"/>
    <w:rsid w:val="00BA2BEB"/>
    <w:rsid w:val="00BC0F95"/>
    <w:rsid w:val="00BC178F"/>
    <w:rsid w:val="00BC194D"/>
    <w:rsid w:val="00BC479F"/>
    <w:rsid w:val="00BD5F26"/>
    <w:rsid w:val="00BE0A42"/>
    <w:rsid w:val="00BE2D72"/>
    <w:rsid w:val="00BE4D4B"/>
    <w:rsid w:val="00BE51D9"/>
    <w:rsid w:val="00BF0AEB"/>
    <w:rsid w:val="00BF409F"/>
    <w:rsid w:val="00BF7E71"/>
    <w:rsid w:val="00C05B3D"/>
    <w:rsid w:val="00C07008"/>
    <w:rsid w:val="00C11BEF"/>
    <w:rsid w:val="00C16A69"/>
    <w:rsid w:val="00C20B1D"/>
    <w:rsid w:val="00C21B39"/>
    <w:rsid w:val="00C23EFA"/>
    <w:rsid w:val="00C2560F"/>
    <w:rsid w:val="00C2716F"/>
    <w:rsid w:val="00C31782"/>
    <w:rsid w:val="00C418AD"/>
    <w:rsid w:val="00C42017"/>
    <w:rsid w:val="00C4410F"/>
    <w:rsid w:val="00C45E97"/>
    <w:rsid w:val="00C47BDC"/>
    <w:rsid w:val="00C55C08"/>
    <w:rsid w:val="00C610D2"/>
    <w:rsid w:val="00C6122D"/>
    <w:rsid w:val="00C61D8E"/>
    <w:rsid w:val="00C626F7"/>
    <w:rsid w:val="00C643EB"/>
    <w:rsid w:val="00C649F9"/>
    <w:rsid w:val="00C668E2"/>
    <w:rsid w:val="00C67324"/>
    <w:rsid w:val="00C8326D"/>
    <w:rsid w:val="00C920AF"/>
    <w:rsid w:val="00C92E32"/>
    <w:rsid w:val="00C941BC"/>
    <w:rsid w:val="00C94872"/>
    <w:rsid w:val="00C94C18"/>
    <w:rsid w:val="00CB6AB9"/>
    <w:rsid w:val="00CC1E91"/>
    <w:rsid w:val="00CC7497"/>
    <w:rsid w:val="00CD38E5"/>
    <w:rsid w:val="00CD66F5"/>
    <w:rsid w:val="00CD6DA4"/>
    <w:rsid w:val="00CE114A"/>
    <w:rsid w:val="00CE2485"/>
    <w:rsid w:val="00CF088F"/>
    <w:rsid w:val="00CF6151"/>
    <w:rsid w:val="00D01640"/>
    <w:rsid w:val="00D01F62"/>
    <w:rsid w:val="00D0628D"/>
    <w:rsid w:val="00D0723D"/>
    <w:rsid w:val="00D110BA"/>
    <w:rsid w:val="00D16109"/>
    <w:rsid w:val="00D261E8"/>
    <w:rsid w:val="00D32172"/>
    <w:rsid w:val="00D523DF"/>
    <w:rsid w:val="00D568E9"/>
    <w:rsid w:val="00D62A19"/>
    <w:rsid w:val="00D6462B"/>
    <w:rsid w:val="00D671E6"/>
    <w:rsid w:val="00D71FDC"/>
    <w:rsid w:val="00D73AE1"/>
    <w:rsid w:val="00D73C25"/>
    <w:rsid w:val="00D80B39"/>
    <w:rsid w:val="00D92AC9"/>
    <w:rsid w:val="00D95491"/>
    <w:rsid w:val="00D95F1B"/>
    <w:rsid w:val="00D96BED"/>
    <w:rsid w:val="00DA143F"/>
    <w:rsid w:val="00DB16CD"/>
    <w:rsid w:val="00DB1A52"/>
    <w:rsid w:val="00DB3E4C"/>
    <w:rsid w:val="00DB466A"/>
    <w:rsid w:val="00DD3D82"/>
    <w:rsid w:val="00DD5271"/>
    <w:rsid w:val="00DE50D8"/>
    <w:rsid w:val="00DF7A6C"/>
    <w:rsid w:val="00E024F8"/>
    <w:rsid w:val="00E03D2F"/>
    <w:rsid w:val="00E10B3D"/>
    <w:rsid w:val="00E118CE"/>
    <w:rsid w:val="00E16EC7"/>
    <w:rsid w:val="00E23091"/>
    <w:rsid w:val="00E248A2"/>
    <w:rsid w:val="00E26649"/>
    <w:rsid w:val="00E3333F"/>
    <w:rsid w:val="00E34AE1"/>
    <w:rsid w:val="00E34ED5"/>
    <w:rsid w:val="00E359C0"/>
    <w:rsid w:val="00E41A92"/>
    <w:rsid w:val="00E4471C"/>
    <w:rsid w:val="00E44E1D"/>
    <w:rsid w:val="00E50889"/>
    <w:rsid w:val="00E50C09"/>
    <w:rsid w:val="00E53D55"/>
    <w:rsid w:val="00E63901"/>
    <w:rsid w:val="00E67FEA"/>
    <w:rsid w:val="00E72877"/>
    <w:rsid w:val="00E777EA"/>
    <w:rsid w:val="00E80A6D"/>
    <w:rsid w:val="00E81086"/>
    <w:rsid w:val="00E81237"/>
    <w:rsid w:val="00E90F12"/>
    <w:rsid w:val="00E920E8"/>
    <w:rsid w:val="00E96AD1"/>
    <w:rsid w:val="00EA1F5F"/>
    <w:rsid w:val="00EA3EFC"/>
    <w:rsid w:val="00EC6E08"/>
    <w:rsid w:val="00ED0A4D"/>
    <w:rsid w:val="00ED7B10"/>
    <w:rsid w:val="00EE129F"/>
    <w:rsid w:val="00EE2F8A"/>
    <w:rsid w:val="00EE3DCA"/>
    <w:rsid w:val="00EE3F04"/>
    <w:rsid w:val="00EE4324"/>
    <w:rsid w:val="00EE72B3"/>
    <w:rsid w:val="00EF3D30"/>
    <w:rsid w:val="00F02F19"/>
    <w:rsid w:val="00F065CA"/>
    <w:rsid w:val="00F071C9"/>
    <w:rsid w:val="00F07BC3"/>
    <w:rsid w:val="00F13A4C"/>
    <w:rsid w:val="00F22EC7"/>
    <w:rsid w:val="00F23886"/>
    <w:rsid w:val="00F2660B"/>
    <w:rsid w:val="00F409CF"/>
    <w:rsid w:val="00F511FE"/>
    <w:rsid w:val="00F512F9"/>
    <w:rsid w:val="00F55D78"/>
    <w:rsid w:val="00F66E84"/>
    <w:rsid w:val="00F700EA"/>
    <w:rsid w:val="00F768CF"/>
    <w:rsid w:val="00F813C9"/>
    <w:rsid w:val="00F82438"/>
    <w:rsid w:val="00F8294D"/>
    <w:rsid w:val="00F8755E"/>
    <w:rsid w:val="00F92611"/>
    <w:rsid w:val="00F93A0C"/>
    <w:rsid w:val="00F97BB9"/>
    <w:rsid w:val="00FB1557"/>
    <w:rsid w:val="00FB4F34"/>
    <w:rsid w:val="00FC6490"/>
    <w:rsid w:val="00FE0B6A"/>
    <w:rsid w:val="00FF2CC2"/>
    <w:rsid w:val="00FF38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F46305-DB1A-4647-92D6-B6449113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BAE"/>
    <w:pPr>
      <w:ind w:left="720"/>
      <w:contextualSpacing/>
    </w:pPr>
  </w:style>
  <w:style w:type="paragraph" w:styleId="a4">
    <w:name w:val="Balloon Text"/>
    <w:basedOn w:val="a"/>
    <w:link w:val="a5"/>
    <w:uiPriority w:val="99"/>
    <w:semiHidden/>
    <w:unhideWhenUsed/>
    <w:rsid w:val="002B7DE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2B7DE2"/>
    <w:rPr>
      <w:rFonts w:ascii="Tahoma" w:hAnsi="Tahoma" w:cs="Tahoma"/>
      <w:sz w:val="16"/>
      <w:szCs w:val="16"/>
    </w:rPr>
  </w:style>
  <w:style w:type="paragraph" w:styleId="a6">
    <w:name w:val="endnote text"/>
    <w:basedOn w:val="a"/>
    <w:link w:val="a7"/>
    <w:uiPriority w:val="99"/>
    <w:semiHidden/>
    <w:unhideWhenUsed/>
    <w:rsid w:val="002B7DE2"/>
    <w:pPr>
      <w:spacing w:after="0" w:line="240" w:lineRule="auto"/>
    </w:pPr>
    <w:rPr>
      <w:sz w:val="20"/>
      <w:szCs w:val="20"/>
    </w:rPr>
  </w:style>
  <w:style w:type="character" w:customStyle="1" w:styleId="a7">
    <w:name w:val="טקסט הערת סיום תו"/>
    <w:basedOn w:val="a0"/>
    <w:link w:val="a6"/>
    <w:uiPriority w:val="99"/>
    <w:semiHidden/>
    <w:rsid w:val="002B7DE2"/>
    <w:rPr>
      <w:sz w:val="20"/>
      <w:szCs w:val="20"/>
    </w:rPr>
  </w:style>
  <w:style w:type="character" w:styleId="a8">
    <w:name w:val="endnote reference"/>
    <w:basedOn w:val="a0"/>
    <w:uiPriority w:val="99"/>
    <w:semiHidden/>
    <w:unhideWhenUsed/>
    <w:rsid w:val="002B7DE2"/>
    <w:rPr>
      <w:vertAlign w:val="superscript"/>
    </w:rPr>
  </w:style>
  <w:style w:type="character" w:styleId="Hyperlink">
    <w:name w:val="Hyperlink"/>
    <w:basedOn w:val="a0"/>
    <w:uiPriority w:val="99"/>
    <w:unhideWhenUsed/>
    <w:rsid w:val="002D1CA5"/>
    <w:rPr>
      <w:color w:val="0000FF" w:themeColor="hyperlink"/>
      <w:u w:val="single"/>
    </w:rPr>
  </w:style>
  <w:style w:type="paragraph" w:styleId="a9">
    <w:name w:val="footnote text"/>
    <w:basedOn w:val="a"/>
    <w:link w:val="aa"/>
    <w:uiPriority w:val="99"/>
    <w:semiHidden/>
    <w:unhideWhenUsed/>
    <w:rsid w:val="00C47BDC"/>
    <w:pPr>
      <w:spacing w:after="0" w:line="240" w:lineRule="auto"/>
    </w:pPr>
    <w:rPr>
      <w:sz w:val="20"/>
      <w:szCs w:val="20"/>
    </w:rPr>
  </w:style>
  <w:style w:type="character" w:customStyle="1" w:styleId="aa">
    <w:name w:val="טקסט הערת שוליים תו"/>
    <w:basedOn w:val="a0"/>
    <w:link w:val="a9"/>
    <w:uiPriority w:val="99"/>
    <w:semiHidden/>
    <w:rsid w:val="00C47BDC"/>
    <w:rPr>
      <w:sz w:val="20"/>
      <w:szCs w:val="20"/>
    </w:rPr>
  </w:style>
  <w:style w:type="character" w:styleId="ab">
    <w:name w:val="footnote reference"/>
    <w:basedOn w:val="a0"/>
    <w:uiPriority w:val="99"/>
    <w:semiHidden/>
    <w:unhideWhenUsed/>
    <w:rsid w:val="00C47BDC"/>
    <w:rPr>
      <w:vertAlign w:val="superscript"/>
    </w:rPr>
  </w:style>
  <w:style w:type="character" w:styleId="ac">
    <w:name w:val="Emphasis"/>
    <w:basedOn w:val="a0"/>
    <w:uiPriority w:val="20"/>
    <w:qFormat/>
    <w:rsid w:val="00E81237"/>
    <w:rPr>
      <w:i/>
      <w:iCs/>
    </w:rPr>
  </w:style>
  <w:style w:type="character" w:styleId="ad">
    <w:name w:val="Strong"/>
    <w:basedOn w:val="a0"/>
    <w:uiPriority w:val="22"/>
    <w:qFormat/>
    <w:rsid w:val="006C1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15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האו11</b:Tag>
    <b:SourceType>Book</b:SourceType>
    <b:Guid>{48DF8155-C866-4D6F-BA8D-CB34FCB61AD4}</b:Guid>
    <b:Author>
      <b:Author>
        <b:NameList>
          <b:Person>
            <b:Last>המשודרת</b:Last>
            <b:First>האוניברסיטה</b:First>
          </b:Person>
        </b:NameList>
      </b:Author>
    </b:Author>
    <b:Title>מבוא לביטחון לאומי</b:Title>
    <b:Year>2011</b:Year>
    <b:RefOrder>1</b:RefOrder>
  </b:Source>
</b:Sources>
</file>

<file path=customXml/itemProps1.xml><?xml version="1.0" encoding="utf-8"?>
<ds:datastoreItem xmlns:ds="http://schemas.openxmlformats.org/officeDocument/2006/customXml" ds:itemID="{7D804B45-8071-4D77-BC6E-493C0918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5</Pages>
  <Words>1219</Words>
  <Characters>6099</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oded eran</dc:creator>
  <cp:lastModifiedBy>u26633</cp:lastModifiedBy>
  <cp:revision>9</cp:revision>
  <dcterms:created xsi:type="dcterms:W3CDTF">2017-10-09T06:21:00Z</dcterms:created>
  <dcterms:modified xsi:type="dcterms:W3CDTF">2017-10-23T11:19:00Z</dcterms:modified>
</cp:coreProperties>
</file>