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F09" w:rsidRPr="005278E3" w:rsidRDefault="00E009F0" w:rsidP="005278E3">
      <w:pPr>
        <w:spacing w:line="360" w:lineRule="auto"/>
        <w:rPr>
          <w:rFonts w:cs="David"/>
          <w:b/>
          <w:bCs/>
          <w:sz w:val="28"/>
          <w:szCs w:val="28"/>
          <w:u w:val="single"/>
          <w:rtl/>
        </w:rPr>
      </w:pPr>
      <w:r w:rsidRPr="005278E3">
        <w:rPr>
          <w:rFonts w:cs="David"/>
          <w:noProof/>
          <w:sz w:val="28"/>
          <w:szCs w:val="28"/>
          <w:rtl/>
        </w:rPr>
        <mc:AlternateContent>
          <mc:Choice Requires="wps">
            <w:drawing>
              <wp:anchor distT="45720" distB="45720" distL="114300" distR="114300" simplePos="0" relativeHeight="251659264" behindDoc="0" locked="0" layoutInCell="1" allowOverlap="1">
                <wp:simplePos x="0" y="0"/>
                <wp:positionH relativeFrom="margin">
                  <wp:posOffset>-450215</wp:posOffset>
                </wp:positionH>
                <wp:positionV relativeFrom="page">
                  <wp:posOffset>6985</wp:posOffset>
                </wp:positionV>
                <wp:extent cx="1769745" cy="650240"/>
                <wp:effectExtent l="0" t="0" r="20955" b="2159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69745" cy="650240"/>
                        </a:xfrm>
                        <a:prstGeom prst="rect">
                          <a:avLst/>
                        </a:prstGeom>
                        <a:solidFill>
                          <a:srgbClr val="FFFFFF"/>
                        </a:solidFill>
                        <a:ln w="19050">
                          <a:solidFill>
                            <a:srgbClr val="000000"/>
                          </a:solidFill>
                          <a:miter lim="800000"/>
                          <a:headEnd/>
                          <a:tailEnd/>
                        </a:ln>
                      </wps:spPr>
                      <wps:txbx>
                        <w:txbxContent>
                          <w:p w:rsidR="00E009F0" w:rsidRPr="00E009F0" w:rsidRDefault="00E009F0" w:rsidP="00E009F0">
                            <w:pPr>
                              <w:rPr>
                                <w:rFonts w:cs="David"/>
                                <w:sz w:val="20"/>
                                <w:szCs w:val="20"/>
                                <w:rtl/>
                              </w:rPr>
                            </w:pPr>
                            <w:r w:rsidRPr="00E009F0">
                              <w:rPr>
                                <w:rFonts w:cs="David" w:hint="cs"/>
                                <w:sz w:val="20"/>
                                <w:szCs w:val="20"/>
                                <w:rtl/>
                              </w:rPr>
                              <w:t>משפט ציבורי,      פרופ' סוזי נבות</w:t>
                            </w:r>
                          </w:p>
                          <w:p w:rsidR="00E009F0" w:rsidRPr="00E009F0" w:rsidRDefault="00E009F0" w:rsidP="00E009F0">
                            <w:pPr>
                              <w:rPr>
                                <w:rFonts w:cs="David"/>
                                <w:sz w:val="20"/>
                                <w:szCs w:val="20"/>
                                <w:rtl/>
                                <w:cs/>
                              </w:rPr>
                            </w:pPr>
                            <w:r w:rsidRPr="00E009F0">
                              <w:rPr>
                                <w:rFonts w:cs="David" w:hint="cs"/>
                                <w:sz w:val="20"/>
                                <w:szCs w:val="20"/>
                                <w:rtl/>
                              </w:rPr>
                              <w:t xml:space="preserve">מגיש </w:t>
                            </w:r>
                            <w:r w:rsidRPr="00E009F0">
                              <w:rPr>
                                <w:rFonts w:cs="David"/>
                                <w:sz w:val="20"/>
                                <w:szCs w:val="20"/>
                                <w:rtl/>
                              </w:rPr>
                              <w:t>–</w:t>
                            </w:r>
                            <w:r w:rsidRPr="00E009F0">
                              <w:rPr>
                                <w:rFonts w:cs="David" w:hint="cs"/>
                                <w:sz w:val="20"/>
                                <w:szCs w:val="20"/>
                                <w:rtl/>
                              </w:rPr>
                              <w:t xml:space="preserve"> עמית פישר, </w:t>
                            </w:r>
                            <w:r>
                              <w:rPr>
                                <w:rFonts w:cs="David" w:hint="cs"/>
                                <w:sz w:val="20"/>
                                <w:szCs w:val="20"/>
                                <w:rtl/>
                              </w:rPr>
                              <w:t xml:space="preserve">  </w:t>
                            </w:r>
                            <w:r w:rsidRPr="00E009F0">
                              <w:rPr>
                                <w:rFonts w:cs="David" w:hint="cs"/>
                                <w:sz w:val="20"/>
                                <w:szCs w:val="20"/>
                                <w:rtl/>
                              </w:rPr>
                              <w:t xml:space="preserve"> 27/9/2017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תיבת טקסט 2" o:spid="_x0000_s1026" type="#_x0000_t202" style="position:absolute;left:0;text-align:left;margin-left:-35.45pt;margin-top:.55pt;width:139.35pt;height:51.2pt;flip:x;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" strokeweight="1.5pt">
                <v:textbox style="mso-fit-shape-to-text:t">
                  <w:txbxContent>
                    <w:p w:rsidR="00E009F0" w:rsidRPr="00E009F0" w:rsidRDefault="00E009F0" w:rsidP="00E009F0">
                      <w:pPr>
                        <w:rPr>
                          <w:rFonts w:cs="David" w:hint="cs"/>
                          <w:sz w:val="20"/>
                          <w:szCs w:val="20"/>
                          <w:rtl/>
                        </w:rPr>
                      </w:pPr>
                      <w:r w:rsidRPr="00E009F0">
                        <w:rPr>
                          <w:rFonts w:cs="David" w:hint="cs"/>
                          <w:sz w:val="20"/>
                          <w:szCs w:val="20"/>
                          <w:rtl/>
                        </w:rPr>
                        <w:t>משפט ציבורי,      פרופ' סוזי נבות</w:t>
                      </w:r>
                    </w:p>
                    <w:p w:rsidR="00E009F0" w:rsidRPr="00E009F0" w:rsidRDefault="00E009F0" w:rsidP="00E009F0">
                      <w:pPr>
                        <w:rPr>
                          <w:rFonts w:cs="David"/>
                          <w:sz w:val="20"/>
                          <w:szCs w:val="20"/>
                          <w:cs/>
                        </w:rPr>
                      </w:pPr>
                      <w:r w:rsidRPr="00E009F0">
                        <w:rPr>
                          <w:rFonts w:cs="David" w:hint="cs"/>
                          <w:sz w:val="20"/>
                          <w:szCs w:val="20"/>
                          <w:rtl/>
                        </w:rPr>
                        <w:t xml:space="preserve">מגיש </w:t>
                      </w:r>
                      <w:r w:rsidRPr="00E009F0">
                        <w:rPr>
                          <w:rFonts w:cs="David"/>
                          <w:sz w:val="20"/>
                          <w:szCs w:val="20"/>
                          <w:rtl/>
                        </w:rPr>
                        <w:t>–</w:t>
                      </w:r>
                      <w:r w:rsidRPr="00E009F0">
                        <w:rPr>
                          <w:rFonts w:cs="David" w:hint="cs"/>
                          <w:sz w:val="20"/>
                          <w:szCs w:val="20"/>
                          <w:rtl/>
                        </w:rPr>
                        <w:t xml:space="preserve"> עמית פישר, </w:t>
                      </w:r>
                      <w:r>
                        <w:rPr>
                          <w:rFonts w:cs="David" w:hint="cs"/>
                          <w:sz w:val="20"/>
                          <w:szCs w:val="20"/>
                          <w:rtl/>
                        </w:rPr>
                        <w:t xml:space="preserve">  </w:t>
                      </w:r>
                      <w:r w:rsidRPr="00E009F0">
                        <w:rPr>
                          <w:rFonts w:cs="David" w:hint="cs"/>
                          <w:sz w:val="20"/>
                          <w:szCs w:val="20"/>
                          <w:rtl/>
                        </w:rPr>
                        <w:t xml:space="preserve"> 27/9/2017</w:t>
                      </w:r>
                    </w:p>
                  </w:txbxContent>
                </v:textbox>
                <w10:wrap type="square" anchorx="margin" anchory="page"/>
              </v:shape>
            </w:pict>
          </mc:Fallback>
        </mc:AlternateContent>
      </w:r>
      <w:r w:rsidR="005278E3" w:rsidRPr="005278E3">
        <w:rPr>
          <w:rFonts w:cs="David" w:hint="cs"/>
          <w:sz w:val="28"/>
          <w:szCs w:val="28"/>
          <w:rtl/>
        </w:rPr>
        <w:t xml:space="preserve">                         </w:t>
      </w:r>
      <w:r w:rsidRPr="005278E3">
        <w:rPr>
          <w:rFonts w:cs="David" w:hint="cs"/>
          <w:sz w:val="28"/>
          <w:szCs w:val="28"/>
          <w:rtl/>
        </w:rPr>
        <w:t xml:space="preserve"> </w:t>
      </w:r>
      <w:r w:rsidR="00B00E03" w:rsidRPr="005278E3">
        <w:rPr>
          <w:rFonts w:cs="David" w:hint="cs"/>
          <w:b/>
          <w:bCs/>
          <w:sz w:val="28"/>
          <w:szCs w:val="28"/>
          <w:u w:val="single"/>
          <w:rtl/>
        </w:rPr>
        <w:t>בג"צ 1284/99 פלונית נגד הרמטכ"ל (פרשת ניר גלילי)</w:t>
      </w:r>
    </w:p>
    <w:p w:rsidR="005E1E57" w:rsidRPr="005278E3" w:rsidRDefault="005E1E57" w:rsidP="005278E3">
      <w:pPr>
        <w:spacing w:line="360" w:lineRule="auto"/>
        <w:rPr>
          <w:rFonts w:cs="David"/>
          <w:sz w:val="28"/>
          <w:szCs w:val="28"/>
          <w:rtl/>
        </w:rPr>
      </w:pPr>
      <w:r w:rsidRPr="005278E3">
        <w:rPr>
          <w:rFonts w:cs="David" w:hint="cs"/>
          <w:sz w:val="28"/>
          <w:szCs w:val="28"/>
          <w:u w:val="single"/>
          <w:rtl/>
        </w:rPr>
        <w:t>תיאור המעשה</w:t>
      </w:r>
      <w:r w:rsidR="005278E3">
        <w:rPr>
          <w:rFonts w:cs="David" w:hint="cs"/>
          <w:sz w:val="28"/>
          <w:szCs w:val="28"/>
          <w:u w:val="single"/>
          <w:rtl/>
        </w:rPr>
        <w:t xml:space="preserve"> -</w:t>
      </w:r>
      <w:r w:rsidR="00B00E03" w:rsidRPr="005278E3">
        <w:rPr>
          <w:rFonts w:cs="David" w:hint="cs"/>
          <w:sz w:val="28"/>
          <w:szCs w:val="28"/>
          <w:rtl/>
        </w:rPr>
        <w:t xml:space="preserve"> </w:t>
      </w:r>
      <w:r w:rsidRPr="005278E3">
        <w:rPr>
          <w:rFonts w:cs="David" w:hint="cs"/>
          <w:sz w:val="28"/>
          <w:szCs w:val="28"/>
          <w:rtl/>
        </w:rPr>
        <w:t xml:space="preserve">בשנת 1999 עותרת חיילת משוחררת כנגד שר הביטחון, הרמטכ"ל, הפצ"ר ותא"ל ניר גלילי, כנגד קידומו </w:t>
      </w:r>
      <w:r w:rsidR="00B00E03" w:rsidRPr="005278E3">
        <w:rPr>
          <w:rFonts w:cs="David" w:hint="cs"/>
          <w:sz w:val="28"/>
          <w:szCs w:val="28"/>
          <w:rtl/>
        </w:rPr>
        <w:t xml:space="preserve">של האחרון </w:t>
      </w:r>
      <w:r w:rsidRPr="005278E3">
        <w:rPr>
          <w:rFonts w:cs="David" w:hint="cs"/>
          <w:sz w:val="28"/>
          <w:szCs w:val="28"/>
          <w:rtl/>
        </w:rPr>
        <w:t xml:space="preserve">לדרגת </w:t>
      </w:r>
      <w:r w:rsidRPr="005278E3">
        <w:rPr>
          <w:rStyle w:val="a6"/>
          <w:rFonts w:asciiTheme="minorHAnsi" w:eastAsiaTheme="minorEastAsia" w:hAnsiTheme="minorHAnsi" w:cs="David" w:hint="cs"/>
          <w:spacing w:val="15"/>
          <w:kern w:val="0"/>
          <w:sz w:val="28"/>
          <w:szCs w:val="28"/>
          <w:rtl/>
        </w:rPr>
        <w:t>אלוף</w:t>
      </w:r>
      <w:r w:rsidRPr="005278E3">
        <w:rPr>
          <w:rFonts w:cs="David" w:hint="cs"/>
          <w:sz w:val="28"/>
          <w:szCs w:val="28"/>
          <w:rtl/>
        </w:rPr>
        <w:t xml:space="preserve"> ולתפקיד מפקד גיס.</w:t>
      </w:r>
    </w:p>
    <w:p w:rsidR="005E1E57" w:rsidRDefault="005278E3" w:rsidP="005278E3">
      <w:pPr>
        <w:spacing w:line="360" w:lineRule="auto"/>
        <w:rPr>
          <w:rFonts w:cs="David"/>
          <w:sz w:val="28"/>
          <w:szCs w:val="28"/>
          <w:rtl/>
        </w:rPr>
      </w:pPr>
      <w:r>
        <w:rPr>
          <w:rFonts w:cs="David" w:hint="cs"/>
          <w:sz w:val="28"/>
          <w:szCs w:val="28"/>
          <w:u w:val="single"/>
          <w:rtl/>
        </w:rPr>
        <w:t xml:space="preserve">העילה לעתירה - </w:t>
      </w:r>
      <w:r w:rsidR="005E1E57" w:rsidRPr="00827E34">
        <w:rPr>
          <w:rFonts w:cs="David" w:hint="cs"/>
          <w:sz w:val="28"/>
          <w:szCs w:val="28"/>
          <w:rtl/>
        </w:rPr>
        <w:t xml:space="preserve">בכך שבעת שירותה כפקידת לשכה בלשכתו של התא"ל, </w:t>
      </w:r>
      <w:r w:rsidR="00827E34">
        <w:rPr>
          <w:rFonts w:cs="David" w:hint="cs"/>
          <w:sz w:val="28"/>
          <w:szCs w:val="28"/>
          <w:rtl/>
        </w:rPr>
        <w:t xml:space="preserve">בשנת 1995, </w:t>
      </w:r>
      <w:r w:rsidR="005E1E57" w:rsidRPr="00827E34">
        <w:rPr>
          <w:rFonts w:cs="David" w:hint="cs"/>
          <w:sz w:val="28"/>
          <w:szCs w:val="28"/>
          <w:rtl/>
        </w:rPr>
        <w:t>קיימו השניים יחסים בהסכמה</w:t>
      </w:r>
      <w:r w:rsidR="00B00E03">
        <w:rPr>
          <w:rFonts w:cs="David" w:hint="cs"/>
          <w:sz w:val="28"/>
          <w:szCs w:val="28"/>
          <w:rtl/>
        </w:rPr>
        <w:t>.</w:t>
      </w:r>
      <w:r w:rsidR="005E1E57" w:rsidRPr="00827E34">
        <w:rPr>
          <w:rFonts w:cs="David" w:hint="cs"/>
          <w:sz w:val="28"/>
          <w:szCs w:val="28"/>
          <w:rtl/>
        </w:rPr>
        <w:t xml:space="preserve"> לאחר אחד המפגשים התלוננה על קיום מגע מיני בניגוד לרצונה באופן העול</w:t>
      </w:r>
      <w:r w:rsidR="00827E34">
        <w:rPr>
          <w:rFonts w:cs="David" w:hint="cs"/>
          <w:sz w:val="28"/>
          <w:szCs w:val="28"/>
          <w:rtl/>
        </w:rPr>
        <w:t xml:space="preserve">ה לכדי אינוס. הקצין הודה בקיום </w:t>
      </w:r>
      <w:r w:rsidR="005E1E57" w:rsidRPr="00827E34">
        <w:rPr>
          <w:rFonts w:cs="David" w:hint="cs"/>
          <w:sz w:val="28"/>
          <w:szCs w:val="28"/>
          <w:rtl/>
        </w:rPr>
        <w:t>יחסים</w:t>
      </w:r>
      <w:r w:rsidR="00827E34">
        <w:rPr>
          <w:rFonts w:cs="David" w:hint="cs"/>
          <w:sz w:val="28"/>
          <w:szCs w:val="28"/>
          <w:rtl/>
        </w:rPr>
        <w:t xml:space="preserve"> אינטימיים</w:t>
      </w:r>
      <w:r w:rsidR="005E1E57" w:rsidRPr="00827E34">
        <w:rPr>
          <w:rFonts w:cs="David" w:hint="cs"/>
          <w:sz w:val="28"/>
          <w:szCs w:val="28"/>
          <w:rtl/>
        </w:rPr>
        <w:t xml:space="preserve"> אולם הכחיש קיום יחסי מין מלאים עם העותרת. בעקבות תלונת החי</w:t>
      </w:r>
      <w:r w:rsidR="00B00E03">
        <w:rPr>
          <w:rFonts w:cs="David" w:hint="cs"/>
          <w:sz w:val="28"/>
          <w:szCs w:val="28"/>
          <w:rtl/>
        </w:rPr>
        <w:t xml:space="preserve">ילת נערכה בדיקת פצ"ר, ובעקבותיה </w:t>
      </w:r>
      <w:r w:rsidR="005E1E57" w:rsidRPr="00827E34">
        <w:rPr>
          <w:rFonts w:cs="David" w:hint="cs"/>
          <w:sz w:val="28"/>
          <w:szCs w:val="28"/>
          <w:rtl/>
        </w:rPr>
        <w:t>הליך משמעתי</w:t>
      </w:r>
      <w:r w:rsidR="00B00E03">
        <w:rPr>
          <w:rFonts w:cs="David" w:hint="cs"/>
          <w:sz w:val="28"/>
          <w:szCs w:val="28"/>
          <w:rtl/>
        </w:rPr>
        <w:t>,</w:t>
      </w:r>
      <w:r w:rsidR="005E1E57" w:rsidRPr="00827E34">
        <w:rPr>
          <w:rFonts w:cs="David" w:hint="cs"/>
          <w:sz w:val="28"/>
          <w:szCs w:val="28"/>
          <w:rtl/>
        </w:rPr>
        <w:t xml:space="preserve"> שתוצאותיו נזיפה בקצין ע"י סגן הרמטכ"ל והחלטה לעכבו בקידום בדרגה ובתפקיד למשך שנתיים.</w:t>
      </w:r>
    </w:p>
    <w:p w:rsidR="00827E34" w:rsidRDefault="00827E34" w:rsidP="00B00E03">
      <w:pPr>
        <w:spacing w:line="360" w:lineRule="auto"/>
        <w:rPr>
          <w:rFonts w:cs="David"/>
          <w:sz w:val="28"/>
          <w:szCs w:val="28"/>
          <w:rtl/>
        </w:rPr>
      </w:pPr>
      <w:r>
        <w:rPr>
          <w:rFonts w:cs="David" w:hint="cs"/>
          <w:sz w:val="28"/>
          <w:szCs w:val="28"/>
          <w:rtl/>
        </w:rPr>
        <w:t>בשנת 1999, כ-3 שנים לאחר סיום ההליך המשמעתי הצבאי</w:t>
      </w:r>
      <w:r w:rsidR="00B00E03">
        <w:rPr>
          <w:rFonts w:cs="David" w:hint="cs"/>
          <w:sz w:val="28"/>
          <w:szCs w:val="28"/>
          <w:rtl/>
        </w:rPr>
        <w:t xml:space="preserve">, </w:t>
      </w:r>
      <w:r>
        <w:rPr>
          <w:rFonts w:cs="David" w:hint="cs"/>
          <w:sz w:val="28"/>
          <w:szCs w:val="28"/>
          <w:rtl/>
        </w:rPr>
        <w:t>החליטו הרמטכ"ל ושר הביטחון על העלאת הקצין לדרגת אלוף ו</w:t>
      </w:r>
      <w:r w:rsidR="00B00E03">
        <w:rPr>
          <w:rFonts w:cs="David" w:hint="cs"/>
          <w:sz w:val="28"/>
          <w:szCs w:val="28"/>
          <w:rtl/>
        </w:rPr>
        <w:t xml:space="preserve">על </w:t>
      </w:r>
      <w:r>
        <w:rPr>
          <w:rFonts w:cs="David" w:hint="cs"/>
          <w:sz w:val="28"/>
          <w:szCs w:val="28"/>
          <w:rtl/>
        </w:rPr>
        <w:t>קידומו לתפקיד מפקד גיס.</w:t>
      </w:r>
    </w:p>
    <w:p w:rsidR="00827E34" w:rsidRDefault="00827E34" w:rsidP="00827E34">
      <w:pPr>
        <w:spacing w:line="360" w:lineRule="auto"/>
        <w:rPr>
          <w:rFonts w:cs="David"/>
          <w:sz w:val="28"/>
          <w:szCs w:val="28"/>
          <w:rtl/>
        </w:rPr>
      </w:pPr>
      <w:r w:rsidRPr="00B00E03">
        <w:rPr>
          <w:rFonts w:cs="David" w:hint="cs"/>
          <w:sz w:val="28"/>
          <w:szCs w:val="28"/>
          <w:u w:val="single"/>
          <w:rtl/>
        </w:rPr>
        <w:t xml:space="preserve">טענת העותרת </w:t>
      </w:r>
      <w:r w:rsidRPr="00B00E03">
        <w:rPr>
          <w:rFonts w:cs="David"/>
          <w:sz w:val="28"/>
          <w:szCs w:val="28"/>
          <w:u w:val="single"/>
          <w:rtl/>
        </w:rPr>
        <w:t>–</w:t>
      </w:r>
      <w:r>
        <w:rPr>
          <w:rFonts w:cs="David" w:hint="cs"/>
          <w:sz w:val="28"/>
          <w:szCs w:val="28"/>
          <w:rtl/>
        </w:rPr>
        <w:t xml:space="preserve"> ההחלטה אינה סבירה באופן קיצוני, כיוון שבקצין דבק כתם מוסרי כבד, קידומו יפגע בדמות הקצין בצה"ל, באמון הציבור והמשרתים ובערכי היסוד של הצבא. בנוסף </w:t>
      </w:r>
      <w:r>
        <w:rPr>
          <w:rFonts w:cs="David"/>
          <w:sz w:val="28"/>
          <w:szCs w:val="28"/>
          <w:rtl/>
        </w:rPr>
        <w:t>–</w:t>
      </w:r>
      <w:r>
        <w:rPr>
          <w:rFonts w:cs="David" w:hint="cs"/>
          <w:sz w:val="28"/>
          <w:szCs w:val="28"/>
          <w:rtl/>
        </w:rPr>
        <w:t xml:space="preserve"> החלטת הצבא לקדמו עומדת בניגוד לחומרה הרבה שרואה המשפט הישראלי את עבירות המין </w:t>
      </w:r>
      <w:r w:rsidR="00B00E03">
        <w:rPr>
          <w:rFonts w:cs="David" w:hint="cs"/>
          <w:sz w:val="28"/>
          <w:szCs w:val="28"/>
          <w:rtl/>
        </w:rPr>
        <w:t>למיניהן</w:t>
      </w:r>
      <w:r>
        <w:rPr>
          <w:rFonts w:cs="David" w:hint="cs"/>
          <w:sz w:val="28"/>
          <w:szCs w:val="28"/>
          <w:rtl/>
        </w:rPr>
        <w:t>.</w:t>
      </w:r>
    </w:p>
    <w:p w:rsidR="00827E34" w:rsidRDefault="00827E34" w:rsidP="00B00E03">
      <w:pPr>
        <w:spacing w:line="360" w:lineRule="auto"/>
        <w:rPr>
          <w:rFonts w:cs="David"/>
          <w:sz w:val="28"/>
          <w:szCs w:val="28"/>
          <w:rtl/>
        </w:rPr>
      </w:pPr>
      <w:r w:rsidRPr="00B00E03">
        <w:rPr>
          <w:rFonts w:cs="David" w:hint="cs"/>
          <w:sz w:val="28"/>
          <w:szCs w:val="28"/>
          <w:u w:val="single"/>
          <w:rtl/>
        </w:rPr>
        <w:t xml:space="preserve">תשובת הרמטכ"ל והפצ"ר לבית המשפט </w:t>
      </w:r>
      <w:r w:rsidRPr="00B00E03">
        <w:rPr>
          <w:rFonts w:cs="David"/>
          <w:sz w:val="28"/>
          <w:szCs w:val="28"/>
          <w:u w:val="single"/>
          <w:rtl/>
        </w:rPr>
        <w:t>–</w:t>
      </w:r>
      <w:r>
        <w:rPr>
          <w:rFonts w:cs="David" w:hint="cs"/>
          <w:sz w:val="28"/>
          <w:szCs w:val="28"/>
          <w:rtl/>
        </w:rPr>
        <w:t xml:space="preserve"> אכן רואים בחומרה את העבירות, אולם בשקלול למול יכולותיו המקצועיות והפיקודיות של הקצין, ובתוקף הסמכות שניתנה להם, מחליטים לקדמו בצבא. בא כוחו של הקצין הוסיף כי הקצין שילם מחיר אישי ומשפחתי כבד וכי על בית המשפט </w:t>
      </w:r>
      <w:r w:rsidR="00B00E03">
        <w:rPr>
          <w:rFonts w:cs="David" w:hint="cs"/>
          <w:sz w:val="28"/>
          <w:szCs w:val="28"/>
          <w:rtl/>
        </w:rPr>
        <w:t>להימנע מלהחמיר את הפגיעה בקצין</w:t>
      </w:r>
      <w:r>
        <w:rPr>
          <w:rFonts w:cs="David" w:hint="cs"/>
          <w:sz w:val="28"/>
          <w:szCs w:val="28"/>
          <w:rtl/>
        </w:rPr>
        <w:t>.</w:t>
      </w:r>
    </w:p>
    <w:p w:rsidR="00827E34" w:rsidRDefault="00827E34" w:rsidP="00B00E03">
      <w:pPr>
        <w:spacing w:line="360" w:lineRule="auto"/>
        <w:rPr>
          <w:rFonts w:cs="David"/>
          <w:sz w:val="28"/>
          <w:szCs w:val="28"/>
          <w:rtl/>
        </w:rPr>
      </w:pPr>
      <w:r w:rsidRPr="005278E3">
        <w:rPr>
          <w:rFonts w:cs="David" w:hint="cs"/>
          <w:sz w:val="28"/>
          <w:szCs w:val="28"/>
          <w:u w:val="single"/>
          <w:rtl/>
        </w:rPr>
        <w:t xml:space="preserve">בית המשפט </w:t>
      </w:r>
      <w:r w:rsidR="00B00E03" w:rsidRPr="005278E3">
        <w:rPr>
          <w:rFonts w:cs="David" w:hint="cs"/>
          <w:sz w:val="28"/>
          <w:szCs w:val="28"/>
          <w:u w:val="single"/>
          <w:rtl/>
        </w:rPr>
        <w:t>מקבל את העתירה</w:t>
      </w:r>
      <w:r w:rsidR="00B00E03">
        <w:rPr>
          <w:rFonts w:cs="David" w:hint="cs"/>
          <w:sz w:val="28"/>
          <w:szCs w:val="28"/>
          <w:rtl/>
        </w:rPr>
        <w:t xml:space="preserve">, </w:t>
      </w:r>
      <w:r>
        <w:rPr>
          <w:rFonts w:cs="David" w:hint="cs"/>
          <w:sz w:val="28"/>
          <w:szCs w:val="28"/>
          <w:rtl/>
        </w:rPr>
        <w:t>מבטל את החלטת הרמטכ"ל ושר הביטחון ו</w:t>
      </w:r>
      <w:r w:rsidR="00B00E03">
        <w:rPr>
          <w:rFonts w:cs="David" w:hint="cs"/>
          <w:sz w:val="28"/>
          <w:szCs w:val="28"/>
          <w:rtl/>
        </w:rPr>
        <w:t>א</w:t>
      </w:r>
      <w:r>
        <w:rPr>
          <w:rFonts w:cs="David" w:hint="cs"/>
          <w:sz w:val="28"/>
          <w:szCs w:val="28"/>
          <w:rtl/>
        </w:rPr>
        <w:t>ת קידומו של הקצין בדרגה ובתפקיד.</w:t>
      </w:r>
    </w:p>
    <w:p w:rsidR="00827E34" w:rsidRDefault="00827E34" w:rsidP="00827E34">
      <w:pPr>
        <w:spacing w:line="360" w:lineRule="auto"/>
        <w:rPr>
          <w:rFonts w:cs="David"/>
          <w:sz w:val="28"/>
          <w:szCs w:val="28"/>
          <w:rtl/>
        </w:rPr>
      </w:pPr>
      <w:r>
        <w:rPr>
          <w:rFonts w:cs="David" w:hint="cs"/>
          <w:sz w:val="28"/>
          <w:szCs w:val="28"/>
          <w:rtl/>
        </w:rPr>
        <w:t>בית המשפט קובע</w:t>
      </w:r>
      <w:r w:rsidR="002143D2">
        <w:rPr>
          <w:rFonts w:cs="David" w:hint="cs"/>
          <w:sz w:val="28"/>
          <w:szCs w:val="28"/>
          <w:rtl/>
        </w:rPr>
        <w:t>/ מחזק</w:t>
      </w:r>
      <w:r>
        <w:rPr>
          <w:rFonts w:cs="David" w:hint="cs"/>
          <w:sz w:val="28"/>
          <w:szCs w:val="28"/>
          <w:rtl/>
        </w:rPr>
        <w:t xml:space="preserve"> בכך שני </w:t>
      </w:r>
      <w:r w:rsidR="002143D2">
        <w:rPr>
          <w:rFonts w:cs="David" w:hint="cs"/>
          <w:sz w:val="28"/>
          <w:szCs w:val="28"/>
          <w:rtl/>
        </w:rPr>
        <w:t xml:space="preserve">תקדימים משמעותיים ביותר. הראשון </w:t>
      </w:r>
      <w:r w:rsidR="002143D2">
        <w:rPr>
          <w:rFonts w:cs="David"/>
          <w:sz w:val="28"/>
          <w:szCs w:val="28"/>
          <w:rtl/>
        </w:rPr>
        <w:t>–</w:t>
      </w:r>
      <w:r w:rsidR="002143D2">
        <w:rPr>
          <w:rFonts w:cs="David" w:hint="cs"/>
          <w:sz w:val="28"/>
          <w:szCs w:val="28"/>
          <w:rtl/>
        </w:rPr>
        <w:t xml:space="preserve"> אקטיביזם </w:t>
      </w:r>
      <w:r w:rsidR="002143D2">
        <w:rPr>
          <w:rFonts w:cs="David"/>
          <w:sz w:val="28"/>
          <w:szCs w:val="28"/>
          <w:rtl/>
        </w:rPr>
        <w:t>–</w:t>
      </w:r>
      <w:r w:rsidR="002143D2">
        <w:rPr>
          <w:rFonts w:cs="David" w:hint="cs"/>
          <w:sz w:val="28"/>
          <w:szCs w:val="28"/>
          <w:rtl/>
        </w:rPr>
        <w:t xml:space="preserve"> בית המשפט מכיר בסמכו</w:t>
      </w:r>
      <w:bookmarkStart w:id="0" w:name="_GoBack"/>
      <w:bookmarkEnd w:id="0"/>
      <w:r w:rsidR="002143D2">
        <w:rPr>
          <w:rFonts w:cs="David" w:hint="cs"/>
          <w:sz w:val="28"/>
          <w:szCs w:val="28"/>
          <w:rtl/>
        </w:rPr>
        <w:t xml:space="preserve">ת הרמטכ"ל, מכיר בכך ששיקול דעתו רחב ביותר ובכך שהתערבות בית המשפט במקרים כאלו חריגה ביותר. ולמרות זאת </w:t>
      </w:r>
      <w:r w:rsidR="002143D2">
        <w:rPr>
          <w:rFonts w:cs="David"/>
          <w:sz w:val="28"/>
          <w:szCs w:val="28"/>
          <w:rtl/>
        </w:rPr>
        <w:t>–</w:t>
      </w:r>
      <w:r w:rsidR="002143D2">
        <w:rPr>
          <w:rFonts w:cs="David" w:hint="cs"/>
          <w:sz w:val="28"/>
          <w:szCs w:val="28"/>
          <w:rtl/>
        </w:rPr>
        <w:t xml:space="preserve"> קובע כי שיקול הדעת מוטעה ומבטל את ההחלטה. </w:t>
      </w:r>
      <w:r w:rsidR="002143D2" w:rsidRPr="00B00E03">
        <w:rPr>
          <w:rFonts w:cs="David" w:hint="cs"/>
          <w:b/>
          <w:bCs/>
          <w:sz w:val="28"/>
          <w:szCs w:val="28"/>
          <w:rtl/>
        </w:rPr>
        <w:t xml:space="preserve">משמעות החלטה זו להמשך הפסיקה </w:t>
      </w:r>
      <w:r w:rsidR="002143D2" w:rsidRPr="00B00E03">
        <w:rPr>
          <w:rFonts w:cs="David"/>
          <w:b/>
          <w:bCs/>
          <w:sz w:val="28"/>
          <w:szCs w:val="28"/>
          <w:rtl/>
        </w:rPr>
        <w:t>–</w:t>
      </w:r>
      <w:r w:rsidR="002143D2" w:rsidRPr="00B00E03">
        <w:rPr>
          <w:rFonts w:cs="David" w:hint="cs"/>
          <w:b/>
          <w:bCs/>
          <w:sz w:val="28"/>
          <w:szCs w:val="28"/>
          <w:rtl/>
        </w:rPr>
        <w:t xml:space="preserve"> תקדים להתערבות בית משפט בשיקול דעת בתחום המינויים בשירות הציבורי.</w:t>
      </w:r>
    </w:p>
    <w:p w:rsidR="002143D2" w:rsidRDefault="002143D2" w:rsidP="00827E34">
      <w:pPr>
        <w:spacing w:line="360" w:lineRule="auto"/>
        <w:rPr>
          <w:rFonts w:cs="David"/>
          <w:sz w:val="28"/>
          <w:szCs w:val="28"/>
          <w:rtl/>
        </w:rPr>
      </w:pPr>
      <w:r>
        <w:rPr>
          <w:rFonts w:cs="David" w:hint="cs"/>
          <w:sz w:val="28"/>
          <w:szCs w:val="28"/>
          <w:rtl/>
        </w:rPr>
        <w:t xml:space="preserve">התקדים השני </w:t>
      </w:r>
      <w:r>
        <w:rPr>
          <w:rFonts w:cs="David"/>
          <w:sz w:val="28"/>
          <w:szCs w:val="28"/>
          <w:rtl/>
        </w:rPr>
        <w:t>–</w:t>
      </w:r>
      <w:r>
        <w:rPr>
          <w:rFonts w:cs="David" w:hint="cs"/>
          <w:sz w:val="28"/>
          <w:szCs w:val="28"/>
          <w:rtl/>
        </w:rPr>
        <w:t xml:space="preserve"> במהות ההחלטה. בית  המשפט קובע למעשה כי </w:t>
      </w:r>
      <w:r w:rsidRPr="00B00E03">
        <w:rPr>
          <w:rFonts w:cs="David" w:hint="cs"/>
          <w:b/>
          <w:bCs/>
          <w:sz w:val="28"/>
          <w:szCs w:val="28"/>
          <w:rtl/>
        </w:rPr>
        <w:t xml:space="preserve">משקל השיקול הערכי גבוה בהרבה ממשקל השיקול המקצועי </w:t>
      </w:r>
      <w:r>
        <w:rPr>
          <w:rFonts w:cs="David" w:hint="cs"/>
          <w:sz w:val="28"/>
          <w:szCs w:val="28"/>
          <w:rtl/>
        </w:rPr>
        <w:t>ולכן אינו מאזן אותו.</w:t>
      </w:r>
      <w:r w:rsidR="00B00E03">
        <w:rPr>
          <w:rFonts w:cs="David" w:hint="cs"/>
          <w:sz w:val="28"/>
          <w:szCs w:val="28"/>
          <w:rtl/>
        </w:rPr>
        <w:t xml:space="preserve"> בית המשפט </w:t>
      </w:r>
      <w:r w:rsidR="00B00E03" w:rsidRPr="00E009F0">
        <w:rPr>
          <w:rFonts w:cs="David" w:hint="cs"/>
          <w:b/>
          <w:bCs/>
          <w:sz w:val="28"/>
          <w:szCs w:val="28"/>
          <w:rtl/>
        </w:rPr>
        <w:t>מגדיר את עבירת המין, בדגש על ניצול המרות כעבירה מוסרית חמורה</w:t>
      </w:r>
      <w:r w:rsidR="00B00E03">
        <w:rPr>
          <w:rFonts w:cs="David" w:hint="cs"/>
          <w:sz w:val="28"/>
          <w:szCs w:val="28"/>
          <w:rtl/>
        </w:rPr>
        <w:t xml:space="preserve"> ביותר וקובע בכך משקל לעבירה זו שמהווה תקדים לפסיקות בתחום זה בהמשך.</w:t>
      </w:r>
    </w:p>
    <w:p w:rsidR="005E1E57" w:rsidRPr="00827E34" w:rsidRDefault="00E009F0" w:rsidP="00E009F0">
      <w:pPr>
        <w:spacing w:line="360" w:lineRule="auto"/>
        <w:rPr>
          <w:rFonts w:cs="David"/>
          <w:sz w:val="28"/>
          <w:szCs w:val="28"/>
        </w:rPr>
      </w:pPr>
      <w:r w:rsidRPr="00E009F0">
        <w:rPr>
          <w:rFonts w:cs="David" w:hint="cs"/>
          <w:sz w:val="28"/>
          <w:szCs w:val="28"/>
          <w:u w:val="single"/>
          <w:rtl/>
        </w:rPr>
        <w:t>לסיכום -</w:t>
      </w:r>
      <w:r>
        <w:rPr>
          <w:rFonts w:cs="David" w:hint="cs"/>
          <w:sz w:val="28"/>
          <w:szCs w:val="28"/>
          <w:rtl/>
        </w:rPr>
        <w:t xml:space="preserve"> </w:t>
      </w:r>
      <w:r w:rsidR="00B00E03">
        <w:rPr>
          <w:rFonts w:cs="David" w:hint="cs"/>
          <w:sz w:val="28"/>
          <w:szCs w:val="28"/>
          <w:rtl/>
        </w:rPr>
        <w:t>ניכר כי השפעת פסק דין זה רבה ביותר</w:t>
      </w:r>
      <w:r>
        <w:rPr>
          <w:rFonts w:cs="David" w:hint="cs"/>
          <w:sz w:val="28"/>
          <w:szCs w:val="28"/>
          <w:rtl/>
        </w:rPr>
        <w:t>, היא מחזקת את אמון האזרח ביכול</w:t>
      </w:r>
      <w:r w:rsidR="00B00E03">
        <w:rPr>
          <w:rFonts w:cs="David" w:hint="cs"/>
          <w:sz w:val="28"/>
          <w:szCs w:val="28"/>
          <w:rtl/>
        </w:rPr>
        <w:t>ת</w:t>
      </w:r>
      <w:r>
        <w:rPr>
          <w:rFonts w:cs="David" w:hint="cs"/>
          <w:sz w:val="28"/>
          <w:szCs w:val="28"/>
          <w:rtl/>
        </w:rPr>
        <w:t>ו</w:t>
      </w:r>
      <w:r w:rsidR="00B00E03">
        <w:rPr>
          <w:rFonts w:cs="David" w:hint="cs"/>
          <w:sz w:val="28"/>
          <w:szCs w:val="28"/>
          <w:rtl/>
        </w:rPr>
        <w:t xml:space="preserve"> לקבל סעד מבית המשפט גם כשמדובר באדם פשוט (החיילת) למול אדם בכיר (הקצין) ומערכת אדירה (צה"ל). השפעתו מקרינה ללא ספק על מקבלי החלטות מינויים בצבא ובשירות הציבורי בשל הכרה כי לבית המשפט סמכות לדון בשיקול דעתם. ולבסוף, השפעת פסק הדין על חומרת משקלן של עבירות מין בכלל וכאלו ביחסי מרות בפרט, עצומה</w:t>
      </w:r>
      <w:r>
        <w:rPr>
          <w:rFonts w:cs="David" w:hint="cs"/>
          <w:sz w:val="28"/>
          <w:szCs w:val="28"/>
          <w:rtl/>
        </w:rPr>
        <w:t xml:space="preserve">. </w:t>
      </w:r>
      <w:r w:rsidR="00B00E03">
        <w:rPr>
          <w:rFonts w:cs="David" w:hint="cs"/>
          <w:sz w:val="28"/>
          <w:szCs w:val="28"/>
          <w:rtl/>
        </w:rPr>
        <w:t>כיום, בעל תפקיד שיוכח כלפיו מעשה כזה, יפרוש או יפוטר ואין לתאר בכלל כי חזקותיו המקצועיות יכריעו את הכף לטובתו.</w:t>
      </w:r>
    </w:p>
    <w:sectPr w:rsidR="005E1E57" w:rsidRPr="00827E34" w:rsidSect="00E009F0">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B1"/>
    <w:family w:val="swiss"/>
    <w:pitch w:val="variable"/>
    <w:sig w:usb0="00000801" w:usb1="00000000" w:usb2="00000000" w:usb3="00000000" w:csb0="0000002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F09"/>
    <w:rsid w:val="002143D2"/>
    <w:rsid w:val="005278E3"/>
    <w:rsid w:val="005E1E57"/>
    <w:rsid w:val="00827E34"/>
    <w:rsid w:val="00897F09"/>
    <w:rsid w:val="008C5410"/>
    <w:rsid w:val="00974B22"/>
    <w:rsid w:val="00AA5C3E"/>
    <w:rsid w:val="00B00E03"/>
    <w:rsid w:val="00D95BCF"/>
    <w:rsid w:val="00DD0526"/>
    <w:rsid w:val="00E009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EE590-4319-47E4-AF79-4DDFAD43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974B22"/>
    <w:pPr>
      <w:numPr>
        <w:ilvl w:val="1"/>
      </w:numPr>
    </w:pPr>
    <w:rPr>
      <w:rFonts w:eastAsiaTheme="minorEastAsia"/>
      <w:color w:val="5A5A5A" w:themeColor="text1" w:themeTint="A5"/>
      <w:spacing w:val="15"/>
    </w:rPr>
  </w:style>
  <w:style w:type="character" w:customStyle="1" w:styleId="a4">
    <w:name w:val="כותרת משנה תו"/>
    <w:basedOn w:val="a0"/>
    <w:link w:val="a3"/>
    <w:uiPriority w:val="11"/>
    <w:rsid w:val="00974B22"/>
    <w:rPr>
      <w:rFonts w:eastAsiaTheme="minorEastAsia"/>
      <w:color w:val="5A5A5A" w:themeColor="text1" w:themeTint="A5"/>
      <w:spacing w:val="15"/>
    </w:rPr>
  </w:style>
  <w:style w:type="paragraph" w:styleId="a5">
    <w:name w:val="Title"/>
    <w:basedOn w:val="a"/>
    <w:next w:val="a"/>
    <w:link w:val="a6"/>
    <w:uiPriority w:val="10"/>
    <w:qFormat/>
    <w:rsid w:val="00974B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כותרת טקסט תו"/>
    <w:basedOn w:val="a0"/>
    <w:link w:val="a5"/>
    <w:uiPriority w:val="10"/>
    <w:rsid w:val="00974B2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408</Words>
  <Characters>2041</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u26614</dc:creator>
  <cp:keywords/>
  <dc:description/>
  <cp:lastModifiedBy>u26614</cp:lastModifiedBy>
  <cp:revision>8</cp:revision>
  <dcterms:created xsi:type="dcterms:W3CDTF">2017-09-24T09:43:00Z</dcterms:created>
  <dcterms:modified xsi:type="dcterms:W3CDTF">2017-09-27T14:28:00Z</dcterms:modified>
</cp:coreProperties>
</file>