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C1" w:rsidRPr="0028620E" w:rsidRDefault="0028620E" w:rsidP="00A6006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04040"/>
          <w:sz w:val="28"/>
          <w:szCs w:val="28"/>
          <w:rtl/>
        </w:rPr>
      </w:pPr>
      <w:r>
        <w:rPr>
          <w:rFonts w:eastAsia="Times New Roman" w:hint="cs"/>
          <w:b/>
          <w:bCs/>
          <w:color w:val="404040"/>
          <w:sz w:val="28"/>
          <w:szCs w:val="28"/>
          <w:rtl/>
        </w:rPr>
        <w:t>יוש זרקא</w:t>
      </w:r>
    </w:p>
    <w:p w:rsidR="00F614C1" w:rsidRPr="00F614C1" w:rsidRDefault="0041512E" w:rsidP="00A600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04040"/>
          <w:sz w:val="24"/>
          <w:szCs w:val="24"/>
        </w:rPr>
      </w:pPr>
      <w:r>
        <w:rPr>
          <w:rFonts w:eastAsia="Times New Roman" w:hint="cs"/>
          <w:b/>
          <w:bCs/>
          <w:color w:val="404040"/>
          <w:sz w:val="28"/>
          <w:szCs w:val="28"/>
          <w:rtl/>
        </w:rPr>
        <w:t>סמנכ"ל</w:t>
      </w:r>
      <w:r w:rsidR="0028620E"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="0028620E"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לעניינים</w:t>
      </w:r>
      <w:r w:rsidR="0028620E"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="0028620E"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אסטרטגיים</w:t>
      </w:r>
    </w:p>
    <w:p w:rsidR="00F614C1" w:rsidRPr="00F614C1" w:rsidRDefault="00F614C1" w:rsidP="00A600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04040"/>
          <w:sz w:val="24"/>
          <w:szCs w:val="24"/>
        </w:rPr>
      </w:pPr>
      <w:r w:rsidRPr="00F614C1">
        <w:rPr>
          <w:rFonts w:eastAsia="Times New Roman" w:cstheme="minorHAnsi"/>
          <w:b/>
          <w:bCs/>
          <w:noProof/>
          <w:color w:val="404040"/>
          <w:sz w:val="24"/>
          <w:szCs w:val="24"/>
        </w:rPr>
        <w:drawing>
          <wp:inline distT="0" distB="0" distL="0" distR="0">
            <wp:extent cx="1807110" cy="2705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sh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32" cy="273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4C1" w:rsidRPr="00F614C1" w:rsidRDefault="00F614C1" w:rsidP="00A6006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24"/>
          <w:szCs w:val="24"/>
        </w:rPr>
      </w:pPr>
    </w:p>
    <w:p w:rsidR="00F614C1" w:rsidRDefault="00F614C1" w:rsidP="00A6006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</w:rPr>
      </w:pPr>
    </w:p>
    <w:p w:rsidR="0041512E" w:rsidRPr="0028620E" w:rsidRDefault="00A60066" w:rsidP="0041512E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מר </w:t>
      </w:r>
      <w:r w:rsidR="0028620E"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יוש</w:t>
      </w:r>
      <w:r w:rsidR="0028620E" w:rsidRPr="0028620E">
        <w:rPr>
          <w:rFonts w:asciiTheme="minorBidi" w:eastAsia="Times New Roman" w:hAnsiTheme="minorBidi"/>
          <w:b/>
          <w:bCs/>
          <w:color w:val="404040"/>
          <w:sz w:val="32"/>
          <w:szCs w:val="32"/>
          <w:rtl/>
        </w:rPr>
        <w:t xml:space="preserve">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זרקא החל את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תפקידו כסמנכ"ל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לעניינים אסטרטגיים ביולי 2018. לפני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כן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כיהן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ראש מחלקת </w:t>
      </w:r>
      <w:proofErr w:type="spellStart"/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צפ"א</w:t>
      </w:r>
      <w:proofErr w:type="spellEnd"/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 בחטיבת </w:t>
      </w:r>
      <w:proofErr w:type="spellStart"/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צפ"א</w:t>
      </w:r>
      <w:proofErr w:type="spellEnd"/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.</w:t>
      </w:r>
    </w:p>
    <w:p w:rsidR="00A60066" w:rsidRPr="0028620E" w:rsidRDefault="00A60066" w:rsidP="0041512E">
      <w:pPr>
        <w:shd w:val="clear" w:color="auto" w:fill="FFFFFF"/>
        <w:spacing w:before="150" w:after="0" w:line="240" w:lineRule="auto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מר זרקא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בעל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תואר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 </w:t>
      </w:r>
      <w:r w:rsidR="0041512E">
        <w:rPr>
          <w:rFonts w:asciiTheme="minorBidi" w:eastAsia="Times New Roman" w:hAnsiTheme="minorBidi"/>
          <w:color w:val="404040"/>
          <w:sz w:val="28"/>
          <w:szCs w:val="28"/>
          <w:rtl/>
        </w:rPr>
        <w:t>ראשון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 xml:space="preserve"> ב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כלכלה והיסטוריה מהאוניברסיטה העברית ותואר שני במדעי המדינה מאוניברסיטת חיפה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>.</w:t>
      </w:r>
    </w:p>
    <w:p w:rsidR="00373434" w:rsidRPr="0028620E" w:rsidRDefault="00A60066" w:rsidP="001B66C4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הוא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שמש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כ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כלכלן במשרד האוצר לפני שהצטרף ל</w:t>
      </w:r>
      <w:r w:rsidR="001B66C4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משרד החוץ בשנת 1991. מר זרקא 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בצע מגוון תפקידים בשירות הדיפלומטי הן בחו"ל (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חוף ה</w:t>
      </w:r>
      <w:r w:rsidR="001B66C4">
        <w:rPr>
          <w:rFonts w:asciiTheme="minorBidi" w:eastAsia="Times New Roman" w:hAnsiTheme="minorBidi"/>
          <w:color w:val="404040"/>
          <w:sz w:val="28"/>
          <w:szCs w:val="28"/>
          <w:rtl/>
        </w:rPr>
        <w:t>שנהב ומונטריאול בשנים 1993-1998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) והן במטה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 כסגן מנהל במחלקה לתיאום במשרד החוץ בירושלים בשנים 1998-2002, </w:t>
      </w:r>
      <w:r w:rsidR="0041512E">
        <w:rPr>
          <w:rFonts w:asciiTheme="minorBidi" w:eastAsia="Times New Roman" w:hAnsiTheme="minorBidi" w:hint="cs"/>
          <w:color w:val="404040"/>
          <w:sz w:val="28"/>
          <w:szCs w:val="28"/>
          <w:rtl/>
        </w:rPr>
        <w:t>וכ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אחראי על פיתוח היחסים הדיפלומטיים עם ה-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>GCC</w:t>
      </w:r>
      <w:r w:rsidR="00373434"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 </w:t>
      </w:r>
    </w:p>
    <w:p w:rsidR="004D391B" w:rsidRPr="0028620E" w:rsidRDefault="004D391B" w:rsidP="001B66C4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הוא המשיך את עבודתו בחו"ל כנציג ישראל לכנס בנושא פירוק נשק בג'נבה בשנים 2002-2006, ולאחר מכן בתפקידו כיועץ באגף לעניינים אסטרטגיים במשרד החוץ (2006-2007) ומנהל קשרי חוץ 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ל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וועדה לאנרגיה אטומית (2007-2009).</w:t>
      </w:r>
    </w:p>
    <w:p w:rsidR="00373434" w:rsidRPr="0028620E" w:rsidRDefault="004D391B" w:rsidP="001B66C4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משנת 2009 ועד שנת 2011 כיהן כש</w:t>
      </w:r>
      <w:r w:rsidR="001B66C4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ליח מיוחד של שר החוץ </w:t>
      </w:r>
      <w:proofErr w:type="spellStart"/>
      <w:r w:rsidR="001B66C4">
        <w:rPr>
          <w:rFonts w:asciiTheme="minorBidi" w:eastAsia="Times New Roman" w:hAnsiTheme="minorBidi"/>
          <w:color w:val="404040"/>
          <w:sz w:val="28"/>
          <w:szCs w:val="28"/>
          <w:rtl/>
        </w:rPr>
        <w:t>למפר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ציות</w:t>
      </w:r>
      <w:proofErr w:type="spellEnd"/>
      <w:r w:rsidR="001B66C4">
        <w:rPr>
          <w:rFonts w:asciiTheme="minorBidi" w:eastAsia="Times New Roman" w:hAnsiTheme="minorBidi"/>
          <w:color w:val="404040"/>
          <w:sz w:val="28"/>
          <w:szCs w:val="28"/>
          <w:rtl/>
        </w:rPr>
        <w:t>, בין השנים 2011 עד 2015 כ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ציר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 לענייני הקונגרס בוושינגטון, ומ- 2015 עד 2016, כ</w:t>
      </w:r>
      <w:r w:rsidR="001B66C4">
        <w:rPr>
          <w:rFonts w:asciiTheme="minorBidi" w:eastAsia="Times New Roman" w:hAnsiTheme="minorBidi" w:hint="cs"/>
          <w:color w:val="404040"/>
          <w:sz w:val="28"/>
          <w:szCs w:val="28"/>
          <w:rtl/>
        </w:rPr>
        <w:t>עמית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 במכללה לביטחון לאומי</w:t>
      </w:r>
      <w:r w:rsidR="00621F83"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. </w:t>
      </w:r>
    </w:p>
    <w:p w:rsidR="00561EBD" w:rsidRPr="0028620E" w:rsidRDefault="004D391B" w:rsidP="00A60066">
      <w:pPr>
        <w:rPr>
          <w:rFonts w:asciiTheme="minorBidi" w:hAnsiTheme="minorBidi"/>
          <w:sz w:val="24"/>
          <w:szCs w:val="24"/>
          <w:rtl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מר זרקא דובר עברית, אנגלית וצרפתית. הוא נשוי לאסתר ויש לו ארבעה ילדים.</w:t>
      </w:r>
      <w:bookmarkStart w:id="0" w:name="_GoBack"/>
      <w:bookmarkEnd w:id="0"/>
    </w:p>
    <w:sectPr w:rsidR="00561EBD" w:rsidRPr="0028620E" w:rsidSect="00037E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34"/>
    <w:rsid w:val="00037EAA"/>
    <w:rsid w:val="001B66C4"/>
    <w:rsid w:val="0028620E"/>
    <w:rsid w:val="00373434"/>
    <w:rsid w:val="0041512E"/>
    <w:rsid w:val="00490E70"/>
    <w:rsid w:val="004D391B"/>
    <w:rsid w:val="00561EBD"/>
    <w:rsid w:val="00621F83"/>
    <w:rsid w:val="00A60066"/>
    <w:rsid w:val="00F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AAE1"/>
  <w15:chartTrackingRefBased/>
  <w15:docId w15:val="{FDB41AAD-962F-4D66-A78B-DBF3241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7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Joshua</dc:creator>
  <cp:keywords/>
  <dc:description/>
  <cp:lastModifiedBy>u26697</cp:lastModifiedBy>
  <cp:revision>3</cp:revision>
  <dcterms:created xsi:type="dcterms:W3CDTF">2019-05-29T11:10:00Z</dcterms:created>
  <dcterms:modified xsi:type="dcterms:W3CDTF">2019-05-29T13:08:00Z</dcterms:modified>
</cp:coreProperties>
</file>