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FB" w:rsidRPr="003E7BFB" w:rsidRDefault="003E7BFB" w:rsidP="00FE0C25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3E7BFB">
        <w:rPr>
          <w:rFonts w:ascii="David" w:hAnsi="David" w:cs="David"/>
          <w:sz w:val="24"/>
          <w:szCs w:val="24"/>
          <w:rtl/>
        </w:rPr>
        <w:t>28.10</w:t>
      </w:r>
    </w:p>
    <w:p w:rsidR="00D156DE" w:rsidRDefault="003E7BFB" w:rsidP="00FE0C2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E7BFB">
        <w:rPr>
          <w:rFonts w:ascii="David" w:hAnsi="David" w:cs="David"/>
          <w:b/>
          <w:bCs/>
          <w:sz w:val="24"/>
          <w:szCs w:val="24"/>
          <w:u w:val="single"/>
          <w:rtl/>
        </w:rPr>
        <w:t>ד</w:t>
      </w:r>
      <w:r w:rsidR="003918B5">
        <w:rPr>
          <w:rFonts w:ascii="David" w:hAnsi="David" w:cs="David" w:hint="cs"/>
          <w:b/>
          <w:bCs/>
          <w:sz w:val="24"/>
          <w:szCs w:val="24"/>
          <w:u w:val="single"/>
          <w:rtl/>
        </w:rPr>
        <w:t>"</w:t>
      </w:r>
      <w:r w:rsidRPr="003E7BFB">
        <w:rPr>
          <w:rFonts w:ascii="David" w:hAnsi="David" w:cs="David"/>
          <w:b/>
          <w:bCs/>
          <w:sz w:val="24"/>
          <w:szCs w:val="24"/>
          <w:u w:val="single"/>
          <w:rtl/>
        </w:rPr>
        <w:t>ר נבות גישות ואסכולות</w:t>
      </w:r>
    </w:p>
    <w:p w:rsidR="007D2E61" w:rsidRDefault="007D2E61" w:rsidP="00FE0C2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D2E61" w:rsidRPr="00FC2092" w:rsidRDefault="007D2E61" w:rsidP="00FE0C2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C2092">
        <w:rPr>
          <w:rFonts w:ascii="David" w:hAnsi="David" w:cs="David" w:hint="cs"/>
          <w:b/>
          <w:bCs/>
          <w:sz w:val="24"/>
          <w:szCs w:val="24"/>
          <w:u w:val="single"/>
          <w:rtl/>
        </w:rPr>
        <w:t>גישה</w:t>
      </w:r>
      <w:r w:rsidR="003918B5" w:rsidRPr="00FC209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היסטורית </w:t>
      </w:r>
      <w:r w:rsidRPr="00FC209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נאו מוסדית</w:t>
      </w:r>
      <w:r w:rsidR="003918B5" w:rsidRPr="00FC2092">
        <w:rPr>
          <w:rFonts w:ascii="David" w:hAnsi="David" w:cs="David" w:hint="cs"/>
          <w:b/>
          <w:bCs/>
          <w:sz w:val="24"/>
          <w:szCs w:val="24"/>
          <w:u w:val="single"/>
          <w:rtl/>
        </w:rPr>
        <w:t>-</w:t>
      </w:r>
    </w:p>
    <w:p w:rsidR="003918B5" w:rsidRDefault="003918B5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גישה זו מייחסת חשיבות רבה למוסדות.</w:t>
      </w:r>
    </w:p>
    <w:p w:rsidR="000F764F" w:rsidRDefault="003918B5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אחד הדברים שמאפיינים את מדעי המדינה  ביחס למדעי החברה זה העיסוק במוסדות .</w:t>
      </w:r>
    </w:p>
    <w:p w:rsidR="00FC2092" w:rsidRPr="00FC2092" w:rsidRDefault="000F764F" w:rsidP="00FE0C25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FC2092">
        <w:rPr>
          <w:rFonts w:ascii="David" w:hAnsi="David" w:cs="David" w:hint="cs"/>
          <w:sz w:val="24"/>
          <w:szCs w:val="24"/>
          <w:u w:val="single"/>
          <w:rtl/>
        </w:rPr>
        <w:t xml:space="preserve">ההגדרה למוסד </w:t>
      </w:r>
      <w:r w:rsidRPr="00FC2092">
        <w:rPr>
          <w:rFonts w:ascii="David" w:hAnsi="David" w:cs="David"/>
          <w:sz w:val="24"/>
          <w:szCs w:val="24"/>
          <w:u w:val="single"/>
          <w:rtl/>
        </w:rPr>
        <w:t>–</w:t>
      </w:r>
      <w:r w:rsidRPr="00FC2092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</w:p>
    <w:p w:rsidR="00FE0C25" w:rsidRPr="00FC2092" w:rsidRDefault="000F764F" w:rsidP="00FE0C25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אנשים מתנהגים כתוצאה מהמוסד בצורה שהופכת </w:t>
      </w:r>
      <w:r w:rsidRPr="00FC2092">
        <w:rPr>
          <w:rFonts w:ascii="David" w:hAnsi="David" w:cs="David" w:hint="cs"/>
          <w:b/>
          <w:bCs/>
          <w:sz w:val="24"/>
          <w:szCs w:val="24"/>
          <w:rtl/>
        </w:rPr>
        <w:t xml:space="preserve">את ההתנהגות שלהם לצפויה. </w:t>
      </w:r>
    </w:p>
    <w:p w:rsidR="000F764F" w:rsidRDefault="000F764F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מוסד מייצר הסדרה של האינטראקציו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האנושיות.</w:t>
      </w:r>
    </w:p>
    <w:p w:rsidR="00D94C8F" w:rsidRDefault="00D94C8F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לדוג' אם לעידו יש משפחה, אז נדע לומר שעידו לן בבית במרבית המקרים. זאת משמעות מוסד המשפחה. </w:t>
      </w:r>
    </w:p>
    <w:p w:rsidR="00946A9A" w:rsidRDefault="00946A9A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החיים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שופעי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מוסדות- אקדמיה, צבא, משפחה, קניין פרטי וכסף הם גם מוסדות.</w:t>
      </w:r>
    </w:p>
    <w:p w:rsidR="00C61E7F" w:rsidRDefault="00026FE5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מוסדות מייצרים כללים שמייצרים שיווי משקל.</w:t>
      </w:r>
      <w:r w:rsidR="00C61E7F">
        <w:rPr>
          <w:rFonts w:ascii="David" w:hAnsi="David" w:cs="David" w:hint="cs"/>
          <w:sz w:val="24"/>
          <w:szCs w:val="24"/>
          <w:rtl/>
        </w:rPr>
        <w:t xml:space="preserve"> לא ניתן להפריד בין הגדרה לתוצאה לעניין מוסד. שיווי משקל זה הכרחי לעניין מוסד. מוסד זה מייצר שיווי משקל.</w:t>
      </w:r>
      <w:r w:rsidR="005C4F83">
        <w:rPr>
          <w:rFonts w:ascii="David" w:hAnsi="David" w:cs="David" w:hint="cs"/>
          <w:sz w:val="24"/>
          <w:szCs w:val="24"/>
          <w:rtl/>
        </w:rPr>
        <w:t xml:space="preserve"> השיווי משקל נוצר בין האינטראקצי</w:t>
      </w:r>
      <w:r w:rsidR="005C4F83">
        <w:rPr>
          <w:rFonts w:ascii="David" w:hAnsi="David" w:cs="David" w:hint="eastAsia"/>
          <w:sz w:val="24"/>
          <w:szCs w:val="24"/>
          <w:rtl/>
        </w:rPr>
        <w:t>ה</w:t>
      </w:r>
      <w:r w:rsidR="005C4F83">
        <w:rPr>
          <w:rFonts w:ascii="David" w:hAnsi="David" w:cs="David" w:hint="cs"/>
          <w:sz w:val="24"/>
          <w:szCs w:val="24"/>
          <w:rtl/>
        </w:rPr>
        <w:t xml:space="preserve"> של האנשים.</w:t>
      </w:r>
    </w:p>
    <w:p w:rsidR="005C4F83" w:rsidRDefault="005C4F83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גם עניין קוגניטיב</w:t>
      </w:r>
      <w:r>
        <w:rPr>
          <w:rFonts w:ascii="David" w:hAnsi="David" w:cs="David" w:hint="eastAsia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של אנשים שמשתתפים במוסד.</w:t>
      </w:r>
    </w:p>
    <w:p w:rsidR="005C4F83" w:rsidRDefault="005C4F83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הבדל בין חוקים וכללים למוסד. כי כללים פועלים שונה בכל מדינה .</w:t>
      </w:r>
      <w:r w:rsidR="00FE0C25">
        <w:rPr>
          <w:rFonts w:ascii="David" w:hAnsi="David" w:cs="David" w:hint="cs"/>
          <w:sz w:val="24"/>
          <w:szCs w:val="24"/>
          <w:rtl/>
        </w:rPr>
        <w:t xml:space="preserve"> </w:t>
      </w:r>
      <w:r w:rsidR="00AE7DC5">
        <w:rPr>
          <w:rFonts w:ascii="David" w:hAnsi="David" w:cs="David" w:hint="cs"/>
          <w:sz w:val="24"/>
          <w:szCs w:val="24"/>
          <w:rtl/>
        </w:rPr>
        <w:t>לא ניתן להבין מוסד רק אם מתייחסים לחוקים ולכללים שלו אלא מוסד נוצר גם בין אינטראקצי</w:t>
      </w:r>
      <w:r w:rsidR="00AE7DC5">
        <w:rPr>
          <w:rFonts w:ascii="David" w:hAnsi="David" w:cs="David" w:hint="eastAsia"/>
          <w:sz w:val="24"/>
          <w:szCs w:val="24"/>
          <w:rtl/>
        </w:rPr>
        <w:t>ה</w:t>
      </w:r>
      <w:r w:rsidR="00AE7DC5">
        <w:rPr>
          <w:rFonts w:ascii="David" w:hAnsi="David" w:cs="David" w:hint="cs"/>
          <w:sz w:val="24"/>
          <w:szCs w:val="24"/>
          <w:rtl/>
        </w:rPr>
        <w:t xml:space="preserve"> בין אנשים, ויש להבין גם את </w:t>
      </w:r>
      <w:proofErr w:type="spellStart"/>
      <w:r w:rsidR="00AE7DC5">
        <w:rPr>
          <w:rFonts w:ascii="David" w:hAnsi="David" w:cs="David" w:hint="cs"/>
          <w:sz w:val="24"/>
          <w:szCs w:val="24"/>
          <w:rtl/>
        </w:rPr>
        <w:t>המימד</w:t>
      </w:r>
      <w:proofErr w:type="spellEnd"/>
      <w:r w:rsidR="00AE7DC5">
        <w:rPr>
          <w:rFonts w:ascii="David" w:hAnsi="David" w:cs="David" w:hint="cs"/>
          <w:sz w:val="24"/>
          <w:szCs w:val="24"/>
          <w:rtl/>
        </w:rPr>
        <w:t xml:space="preserve"> ההיסטורי והמקום.</w:t>
      </w:r>
    </w:p>
    <w:p w:rsidR="00FC2092" w:rsidRDefault="00FC2092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לתפיסת המרה, המציאות האנושית מושפעת ממוסדות.</w:t>
      </w:r>
    </w:p>
    <w:p w:rsidR="006D3AB1" w:rsidRDefault="006D3AB1" w:rsidP="00FE0C2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D3AB1" w:rsidRDefault="006D3AB1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דוג' לחשיבה מוסדית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הגבלת משך הכהונות לרה"מ- זוהי חשיבה מוסדית כיון שאתה זוקף את התוצאה של ההתנהגות של רה"מ זה בגלל מספר הקדנציות.</w:t>
      </w:r>
    </w:p>
    <w:p w:rsidR="006D3AB1" w:rsidRDefault="006D3AB1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דוג' נוספת לחשיבה מוסדית- יצירת נהלים ושינוי נהלים כי קרה אירוע . לא חשיבה שייתכן שהאיש אינו מתאים, אלא הצורך בלשנות נהלים.</w:t>
      </w:r>
    </w:p>
    <w:p w:rsidR="00FA3FC0" w:rsidRDefault="00FA3FC0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המוסד מייצר שיווי משקל כך שהאנשים המשתתפים במוסד אינם יכולים לחרוג  ללא זאת שיפסידו. מוסד אינו חוק</w:t>
      </w:r>
    </w:p>
    <w:p w:rsidR="00FA3FC0" w:rsidRDefault="00FA3FC0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חוק שלא מייצר שיווי משקל זה לא מוסד. חוק שמייצר </w:t>
      </w:r>
      <w:r w:rsidRPr="00FA3FC0">
        <w:rPr>
          <w:rFonts w:ascii="David" w:hAnsi="David" w:cs="David" w:hint="cs"/>
          <w:b/>
          <w:bCs/>
          <w:sz w:val="24"/>
          <w:szCs w:val="24"/>
          <w:rtl/>
        </w:rPr>
        <w:t>שיווי משקל</w:t>
      </w:r>
      <w:r>
        <w:rPr>
          <w:rFonts w:ascii="David" w:hAnsi="David" w:cs="David" w:hint="cs"/>
          <w:sz w:val="24"/>
          <w:szCs w:val="24"/>
          <w:rtl/>
        </w:rPr>
        <w:t xml:space="preserve"> זה מוסד.</w:t>
      </w:r>
    </w:p>
    <w:p w:rsidR="00F671DB" w:rsidRDefault="00F671DB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671DB" w:rsidRDefault="00F671DB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671DB" w:rsidRDefault="00F671DB" w:rsidP="006D3AB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671DB" w:rsidRDefault="00F671DB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מתפתח דיון עם המשתתפים . לדעת המשתתפים לא מדובר במוסד אלא  נורמות או  ערכים או תרבות ארגונית ולא מוסד.</w:t>
      </w:r>
    </w:p>
    <w:p w:rsidR="00DA7C51" w:rsidRDefault="00DA7C51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לדברי המשתתפים- המוסד זה ארגון, גוף.</w:t>
      </w:r>
    </w:p>
    <w:p w:rsidR="00DA7C51" w:rsidRDefault="00DA7C51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לדברי המרצה נורמה זוהי תופעה "מצומצמת", וחסר כיצד נוצרה הנורמה. לנורמה יש קונוטציה של דברים טובים.</w:t>
      </w:r>
    </w:p>
    <w:p w:rsidR="00DA7C51" w:rsidRDefault="00DA7C51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במוסד יש מריצים שליליים וחיוביים. נורמה זה רק תוצאה של מוסד. </w:t>
      </w:r>
    </w:p>
    <w:p w:rsidR="00DA7C51" w:rsidRDefault="00615390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חסר למה אנשים פועלים בהתאם לנורמה? מהי הדינמיקה שפועלים בהתאם לנורמה? על כן, המושג מוסד יותר רחב.</w:t>
      </w:r>
    </w:p>
    <w:p w:rsidR="000966FA" w:rsidRDefault="00AE2E10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דוג נוספת לחשיבה מוסדית-</w:t>
      </w:r>
      <w:r w:rsidR="005C2313">
        <w:rPr>
          <w:rFonts w:ascii="David" w:hAnsi="David" w:cs="David" w:hint="cs"/>
          <w:sz w:val="24"/>
          <w:szCs w:val="24"/>
          <w:rtl/>
        </w:rPr>
        <w:t xml:space="preserve">במערב התפתח מוסד הקניין הפרטי שלא התפתח במזרח- התפתחות הקניין הפרטי היווה תמריץ לכך שאנשים עבדו קשה , </w:t>
      </w:r>
      <w:r>
        <w:rPr>
          <w:rFonts w:ascii="David" w:hAnsi="David" w:cs="David" w:hint="cs"/>
          <w:sz w:val="24"/>
          <w:szCs w:val="24"/>
          <w:rtl/>
        </w:rPr>
        <w:t>וזה הביא להתפתחות כלכלית.</w:t>
      </w:r>
    </w:p>
    <w:p w:rsidR="008600FA" w:rsidRDefault="008600FA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גם בהתאם למוסד- יש</w:t>
      </w:r>
      <w:r w:rsidR="002E5EAB">
        <w:rPr>
          <w:rFonts w:ascii="David" w:hAnsi="David" w:cs="David" w:hint="cs"/>
          <w:sz w:val="24"/>
          <w:szCs w:val="24"/>
          <w:rtl/>
        </w:rPr>
        <w:t xml:space="preserve"> אבולוציה שמתפתחת מתוך אינטרסים</w:t>
      </w:r>
    </w:p>
    <w:p w:rsidR="008600FA" w:rsidRDefault="002E5EAB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במדעי המדינה מה שרלוונטי זה מוסדות שמייצרים עוצמה קולקטיבית.</w:t>
      </w:r>
    </w:p>
    <w:p w:rsidR="002E5EAB" w:rsidRDefault="002E5EAB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דוג' לחשיבה מוסדית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רה"מ שמגישים נגדו כתב אישום אז יתפטר. לדברי נבות זו חשיבה מוסדית לא טובה כי אז </w:t>
      </w:r>
      <w:r w:rsidR="008C1F7A">
        <w:rPr>
          <w:rFonts w:ascii="David" w:hAnsi="David" w:cs="David" w:hint="cs"/>
          <w:sz w:val="24"/>
          <w:szCs w:val="24"/>
          <w:rtl/>
        </w:rPr>
        <w:t>היועמ"ש</w:t>
      </w:r>
      <w:r>
        <w:rPr>
          <w:rFonts w:ascii="David" w:hAnsi="David" w:cs="David" w:hint="cs"/>
          <w:sz w:val="24"/>
          <w:szCs w:val="24"/>
          <w:rtl/>
        </w:rPr>
        <w:t xml:space="preserve"> הוא זה שמכריע, ואז </w:t>
      </w:r>
      <w:r w:rsidR="008C1F7A">
        <w:rPr>
          <w:rFonts w:ascii="David" w:hAnsi="David" w:cs="David" w:hint="cs"/>
          <w:sz w:val="24"/>
          <w:szCs w:val="24"/>
          <w:rtl/>
        </w:rPr>
        <w:t>יועמ"ש</w:t>
      </w:r>
      <w:r>
        <w:rPr>
          <w:rFonts w:ascii="David" w:hAnsi="David" w:cs="David" w:hint="cs"/>
          <w:sz w:val="24"/>
          <w:szCs w:val="24"/>
          <w:rtl/>
        </w:rPr>
        <w:t xml:space="preserve"> אולי יחליט שלא להגיש כי אם יגיש זה לא אחראי כי מביא להתפטרות רה"מ.</w:t>
      </w:r>
    </w:p>
    <w:p w:rsidR="00C96CCC" w:rsidRDefault="00C96CCC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96CCC" w:rsidRDefault="001C5FB4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לדברי המרצה, בחמש /עשר שנים אחרונות </w:t>
      </w:r>
      <w:r w:rsidR="00C96CCC">
        <w:rPr>
          <w:rFonts w:ascii="David" w:hAnsi="David" w:cs="David" w:hint="cs"/>
          <w:sz w:val="24"/>
          <w:szCs w:val="24"/>
          <w:rtl/>
        </w:rPr>
        <w:t>יש</w:t>
      </w:r>
      <w:r w:rsidR="000C1EBC">
        <w:rPr>
          <w:rFonts w:ascii="David" w:hAnsi="David" w:cs="David" w:hint="cs"/>
          <w:sz w:val="24"/>
          <w:szCs w:val="24"/>
          <w:rtl/>
        </w:rPr>
        <w:t xml:space="preserve"> תופעה של </w:t>
      </w:r>
      <w:r w:rsidR="00C96CCC">
        <w:rPr>
          <w:rFonts w:ascii="David" w:hAnsi="David" w:cs="David" w:hint="cs"/>
          <w:sz w:val="24"/>
          <w:szCs w:val="24"/>
          <w:rtl/>
        </w:rPr>
        <w:t xml:space="preserve"> עלייה של ראשי מדינות </w:t>
      </w:r>
      <w:r w:rsidR="000C1EBC">
        <w:rPr>
          <w:rFonts w:ascii="David" w:hAnsi="David" w:cs="David" w:hint="cs"/>
          <w:sz w:val="24"/>
          <w:szCs w:val="24"/>
          <w:rtl/>
        </w:rPr>
        <w:t>ה</w:t>
      </w:r>
      <w:r w:rsidR="00C96CCC">
        <w:rPr>
          <w:rFonts w:ascii="David" w:hAnsi="David" w:cs="David" w:hint="cs"/>
          <w:sz w:val="24"/>
          <w:szCs w:val="24"/>
          <w:rtl/>
        </w:rPr>
        <w:t>מוגדרים כמנהיגים פופוליסטי</w:t>
      </w:r>
      <w:r w:rsidR="00C96CCC">
        <w:rPr>
          <w:rFonts w:ascii="David" w:hAnsi="David" w:cs="David" w:hint="eastAsia"/>
          <w:sz w:val="24"/>
          <w:szCs w:val="24"/>
          <w:rtl/>
        </w:rPr>
        <w:t>ם</w:t>
      </w:r>
      <w:r w:rsidR="00C96CCC">
        <w:rPr>
          <w:rFonts w:ascii="David" w:hAnsi="David" w:cs="David" w:hint="cs"/>
          <w:sz w:val="24"/>
          <w:szCs w:val="24"/>
          <w:rtl/>
        </w:rPr>
        <w:t xml:space="preserve"> </w:t>
      </w:r>
      <w:r w:rsidR="000C1EBC">
        <w:rPr>
          <w:rFonts w:ascii="David" w:hAnsi="David" w:cs="David" w:hint="cs"/>
          <w:sz w:val="24"/>
          <w:szCs w:val="24"/>
          <w:rtl/>
        </w:rPr>
        <w:t>, וה</w:t>
      </w:r>
      <w:r w:rsidR="00C96CCC">
        <w:rPr>
          <w:rFonts w:ascii="David" w:hAnsi="David" w:cs="David" w:hint="cs"/>
          <w:sz w:val="24"/>
          <w:szCs w:val="24"/>
          <w:rtl/>
        </w:rPr>
        <w:t>מנהיגים הללו נמצאים תחת סוג של מגננה</w:t>
      </w:r>
      <w:r w:rsidR="000C1EBC">
        <w:rPr>
          <w:rFonts w:ascii="David" w:hAnsi="David" w:cs="David" w:hint="cs"/>
          <w:sz w:val="24"/>
          <w:szCs w:val="24"/>
          <w:rtl/>
        </w:rPr>
        <w:t>.</w:t>
      </w:r>
    </w:p>
    <w:p w:rsidR="00A05EAE" w:rsidRDefault="00A05EAE" w:rsidP="00F671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בישראל בעשור האחרון מכהן אותו רה"מ משנת 2009 (קדנציה רביעית ברציפות). רה"מ נבחר בשנת 2015 לכהונה הרביעית, ובסמוך לתחילת כהונה זו נמצא תחת חקירות פליליות.</w:t>
      </w:r>
    </w:p>
    <w:p w:rsidR="001C25B4" w:rsidRDefault="00A05EAE" w:rsidP="001C25B4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התייחסות מוסדית- יש מדינות בעולם שרה"מ מכהן  לא יכול להיחקר  בעבירות שרה"מ חשוד בהן אלא רק שמסיים כהונה.</w:t>
      </w:r>
    </w:p>
    <w:p w:rsidR="001C25B4" w:rsidRPr="001C25B4" w:rsidRDefault="001C25B4" w:rsidP="001C25B4">
      <w:pPr>
        <w:spacing w:line="360" w:lineRule="auto"/>
        <w:rPr>
          <w:rFonts w:ascii="David" w:hAnsi="David" w:cs="David" w:hint="cs"/>
          <w:sz w:val="24"/>
          <w:szCs w:val="24"/>
          <w:u w:val="single"/>
          <w:rtl/>
        </w:rPr>
      </w:pPr>
      <w:r w:rsidRPr="001C25B4">
        <w:rPr>
          <w:rFonts w:ascii="David" w:hAnsi="David" w:cs="David" w:hint="cs"/>
          <w:sz w:val="24"/>
          <w:szCs w:val="24"/>
          <w:u w:val="single"/>
          <w:rtl/>
        </w:rPr>
        <w:t>דיון במליאה- ניתוח חקירות רה"מ בהתאם לגישות הש</w:t>
      </w:r>
      <w:r>
        <w:rPr>
          <w:rFonts w:ascii="David" w:hAnsi="David" w:cs="David" w:hint="cs"/>
          <w:sz w:val="24"/>
          <w:szCs w:val="24"/>
          <w:u w:val="single"/>
          <w:rtl/>
        </w:rPr>
        <w:t>ו</w:t>
      </w:r>
      <w:r w:rsidRPr="001C25B4">
        <w:rPr>
          <w:rFonts w:ascii="David" w:hAnsi="David" w:cs="David" w:hint="cs"/>
          <w:sz w:val="24"/>
          <w:szCs w:val="24"/>
          <w:u w:val="single"/>
          <w:rtl/>
        </w:rPr>
        <w:t>נות:</w:t>
      </w:r>
    </w:p>
    <w:p w:rsidR="00D91D24" w:rsidRDefault="00A05EAE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בישראל ההסדר המוסדי הוא שכן ניתן לחקור רה"מ מכהן.</w:t>
      </w:r>
      <w:r w:rsidR="00EC6E2C">
        <w:rPr>
          <w:rFonts w:ascii="David" w:hAnsi="David" w:cs="David" w:hint="cs"/>
          <w:sz w:val="24"/>
          <w:szCs w:val="24"/>
          <w:rtl/>
        </w:rPr>
        <w:t xml:space="preserve"> רה"</w:t>
      </w:r>
      <w:r w:rsidR="00373B32">
        <w:rPr>
          <w:rFonts w:ascii="David" w:hAnsi="David" w:cs="David" w:hint="cs"/>
          <w:sz w:val="24"/>
          <w:szCs w:val="24"/>
          <w:rtl/>
        </w:rPr>
        <w:t>מ מעורב פלילית ב- 3 חקירות (תיק 1000, תיק 2000</w:t>
      </w:r>
      <w:r w:rsidR="00C16ADE">
        <w:rPr>
          <w:rFonts w:ascii="David" w:hAnsi="David" w:cs="David" w:hint="cs"/>
          <w:sz w:val="24"/>
          <w:szCs w:val="24"/>
          <w:rtl/>
        </w:rPr>
        <w:t xml:space="preserve"> ותיק 4000).</w:t>
      </w:r>
    </w:p>
    <w:p w:rsidR="007A304B" w:rsidRDefault="007A304B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לנתח את כל המקרים הללו מגישות ואסכולות שונות ( גישה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מרקיסטית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גישה אליטיסטית , גישה פלורליסטית, גישה </w:t>
      </w:r>
      <w:r>
        <w:rPr>
          <w:rFonts w:ascii="David" w:hAnsi="David" w:cs="David" w:hint="cs"/>
          <w:sz w:val="24"/>
          <w:szCs w:val="24"/>
        </w:rPr>
        <w:t>P</w:t>
      </w:r>
      <w:r>
        <w:rPr>
          <w:rFonts w:ascii="David" w:hAnsi="David" w:cs="David"/>
          <w:sz w:val="24"/>
          <w:szCs w:val="24"/>
        </w:rPr>
        <w:t>ublic choice</w:t>
      </w:r>
      <w:r>
        <w:rPr>
          <w:rFonts w:ascii="David" w:hAnsi="David" w:cs="David" w:hint="cs"/>
          <w:sz w:val="24"/>
          <w:szCs w:val="24"/>
          <w:rtl/>
        </w:rPr>
        <w:t xml:space="preserve"> והגישה הנאו מוסדית).</w:t>
      </w:r>
    </w:p>
    <w:p w:rsidR="0045392C" w:rsidRDefault="0045392C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ניתוח תיק לפי </w:t>
      </w:r>
      <w:r>
        <w:rPr>
          <w:rFonts w:ascii="David" w:hAnsi="David" w:cs="David" w:hint="cs"/>
          <w:sz w:val="24"/>
          <w:szCs w:val="24"/>
        </w:rPr>
        <w:t>P</w:t>
      </w:r>
      <w:r>
        <w:rPr>
          <w:rFonts w:ascii="David" w:hAnsi="David" w:cs="David"/>
          <w:sz w:val="24"/>
          <w:szCs w:val="24"/>
        </w:rPr>
        <w:t xml:space="preserve">ublic choice </w:t>
      </w:r>
      <w:r>
        <w:rPr>
          <w:rFonts w:ascii="David" w:hAnsi="David" w:cs="David"/>
          <w:sz w:val="24"/>
          <w:szCs w:val="24"/>
          <w:rtl/>
        </w:rPr>
        <w:t>–</w:t>
      </w:r>
    </w:p>
    <w:p w:rsidR="0045392C" w:rsidRDefault="0045392C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שמנתחים תיק אירוע לפי גישה מסוימת אז צריך לשאול שאלות שלכאורה לא מסתדרות עם הגישה </w:t>
      </w:r>
      <w:r w:rsidR="00C36151">
        <w:rPr>
          <w:rFonts w:ascii="David" w:hAnsi="David" w:cs="David" w:hint="cs"/>
          <w:sz w:val="24"/>
          <w:szCs w:val="24"/>
          <w:rtl/>
        </w:rPr>
        <w:t xml:space="preserve">, ולענות תשובות דרך הגישה </w:t>
      </w:r>
      <w:r>
        <w:rPr>
          <w:rFonts w:ascii="David" w:hAnsi="David" w:cs="David" w:hint="cs"/>
          <w:sz w:val="24"/>
          <w:szCs w:val="24"/>
          <w:rtl/>
        </w:rPr>
        <w:t>כגון:</w:t>
      </w:r>
    </w:p>
    <w:p w:rsidR="0045392C" w:rsidRDefault="0045392C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אם הפוליטיקאי רוצה רק להיבחר אז מדוע רוצה סיגרים?</w:t>
      </w:r>
    </w:p>
    <w:p w:rsidR="0045392C" w:rsidRDefault="0045392C" w:rsidP="00E146A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w:r w:rsidR="00E146A5">
        <w:rPr>
          <w:rFonts w:ascii="David" w:hAnsi="David" w:cs="David" w:hint="cs"/>
          <w:sz w:val="24"/>
          <w:szCs w:val="24"/>
          <w:rtl/>
        </w:rPr>
        <w:t>הגישה המתאימה היא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</w:rPr>
        <w:t>P</w:t>
      </w:r>
      <w:r>
        <w:rPr>
          <w:rFonts w:ascii="David" w:hAnsi="David" w:cs="David"/>
          <w:sz w:val="24"/>
          <w:szCs w:val="24"/>
        </w:rPr>
        <w:t xml:space="preserve">ublic choice </w:t>
      </w:r>
      <w:r>
        <w:rPr>
          <w:rFonts w:ascii="David" w:hAnsi="David" w:cs="David" w:hint="cs"/>
          <w:sz w:val="24"/>
          <w:szCs w:val="24"/>
          <w:rtl/>
        </w:rPr>
        <w:t xml:space="preserve"> אז מדוע המו"ל (העיתון) וביבי (הפוליטיקאי) אינם בחיבור טוב?</w:t>
      </w:r>
    </w:p>
    <w:p w:rsidR="00CD5EB7" w:rsidRDefault="00CD5EB7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אפשר להשיב דרך הגישה הזו לומר שביבי לא עושה מה שקב' האינטרס רוצות ממנו, ואז נפגע.</w:t>
      </w:r>
    </w:p>
    <w:p w:rsidR="00CD5EB7" w:rsidRDefault="00CD5EB7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צריך לזהות מי מחזיק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בכח</w:t>
      </w:r>
      <w:proofErr w:type="spellEnd"/>
      <w:r>
        <w:rPr>
          <w:rFonts w:ascii="David" w:hAnsi="David" w:cs="David" w:hint="cs"/>
          <w:sz w:val="24"/>
          <w:szCs w:val="24"/>
          <w:rtl/>
        </w:rPr>
        <w:t>, ומה האינטרס שלו.</w:t>
      </w:r>
    </w:p>
    <w:p w:rsidR="00330995" w:rsidRDefault="00330995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ייתכן שנגיע למסקנה , שהגישה אינה מתאימה. </w:t>
      </w:r>
    </w:p>
    <w:p w:rsidR="00755B2B" w:rsidRDefault="00D97075" w:rsidP="001C599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צריך להראות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שהכל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ניתן להסביר דרך הגישה שבחרנו.</w:t>
      </w:r>
      <w:r w:rsidR="00001A93">
        <w:rPr>
          <w:rFonts w:ascii="David" w:hAnsi="David" w:cs="David" w:hint="cs"/>
          <w:sz w:val="24"/>
          <w:szCs w:val="24"/>
          <w:rtl/>
        </w:rPr>
        <w:t xml:space="preserve"> </w:t>
      </w:r>
      <w:r w:rsidR="00755B2B">
        <w:rPr>
          <w:rFonts w:ascii="David" w:hAnsi="David" w:cs="David" w:hint="cs"/>
          <w:sz w:val="24"/>
          <w:szCs w:val="24"/>
          <w:rtl/>
        </w:rPr>
        <w:t>ב</w:t>
      </w:r>
      <w:r w:rsidR="00755B2B">
        <w:rPr>
          <w:rFonts w:ascii="David" w:hAnsi="David" w:cs="David"/>
          <w:sz w:val="24"/>
          <w:szCs w:val="24"/>
        </w:rPr>
        <w:t>Public choice</w:t>
      </w:r>
      <w:r w:rsidR="00001A93">
        <w:rPr>
          <w:rFonts w:ascii="David" w:hAnsi="David" w:cs="David"/>
          <w:sz w:val="24"/>
          <w:szCs w:val="24"/>
        </w:rPr>
        <w:t>-</w:t>
      </w:r>
      <w:r w:rsidR="00755B2B">
        <w:rPr>
          <w:rFonts w:ascii="David" w:hAnsi="David" w:cs="David"/>
          <w:sz w:val="24"/>
          <w:szCs w:val="24"/>
        </w:rPr>
        <w:t xml:space="preserve"> </w:t>
      </w:r>
      <w:r w:rsidR="00755B2B">
        <w:rPr>
          <w:rFonts w:ascii="David" w:hAnsi="David" w:cs="David" w:hint="cs"/>
          <w:sz w:val="24"/>
          <w:szCs w:val="24"/>
          <w:rtl/>
        </w:rPr>
        <w:t xml:space="preserve"> כל השחקנים מונעים מאינטרסים.</w:t>
      </w:r>
    </w:p>
    <w:p w:rsidR="00001A93" w:rsidRDefault="00001A93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לדברי המרצה, מזהה דפוס שרה"מ פועל כדי להחליש את המוסדות</w:t>
      </w:r>
    </w:p>
    <w:p w:rsidR="00FF1DE8" w:rsidRDefault="00FF1DE8" w:rsidP="00D91D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שמנתחים אירוע אז ההתבוננות לא מהמישור הפרסונלי האישי של כל דמות אלא מהיבט של מדינה .</w:t>
      </w:r>
    </w:p>
    <w:p w:rsidR="007D2E61" w:rsidRDefault="00743438" w:rsidP="00787328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שמנתחים אירוע יש לשאול שאלות שלכאורה לא מסתדרים עם הגישה, ואז לנסות להסביר את התשובות דרך הגישה.</w:t>
      </w:r>
      <w:bookmarkStart w:id="0" w:name="_GoBack"/>
      <w:bookmarkEnd w:id="0"/>
    </w:p>
    <w:sectPr w:rsidR="007D2E61" w:rsidSect="004079A1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B1" w:rsidRDefault="00C263B1" w:rsidP="00FC2092">
      <w:pPr>
        <w:spacing w:after="0" w:line="240" w:lineRule="auto"/>
      </w:pPr>
      <w:r>
        <w:separator/>
      </w:r>
    </w:p>
  </w:endnote>
  <w:endnote w:type="continuationSeparator" w:id="0">
    <w:p w:rsidR="00C263B1" w:rsidRDefault="00C263B1" w:rsidP="00FC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613998"/>
      <w:docPartObj>
        <w:docPartGallery w:val="Page Numbers (Bottom of Page)"/>
        <w:docPartUnique/>
      </w:docPartObj>
    </w:sdtPr>
    <w:sdtEndPr>
      <w:rPr>
        <w:cs/>
      </w:rPr>
    </w:sdtEndPr>
    <w:sdtContent>
      <w:p w:rsidR="00FC2092" w:rsidRDefault="00FC2092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C25B4" w:rsidRPr="001C25B4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FC2092" w:rsidRDefault="00FC2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B1" w:rsidRDefault="00C263B1" w:rsidP="00FC2092">
      <w:pPr>
        <w:spacing w:after="0" w:line="240" w:lineRule="auto"/>
      </w:pPr>
      <w:r>
        <w:separator/>
      </w:r>
    </w:p>
  </w:footnote>
  <w:footnote w:type="continuationSeparator" w:id="0">
    <w:p w:rsidR="00C263B1" w:rsidRDefault="00C263B1" w:rsidP="00FC2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DA"/>
    <w:rsid w:val="00001A93"/>
    <w:rsid w:val="000253D3"/>
    <w:rsid w:val="00026FE5"/>
    <w:rsid w:val="00035577"/>
    <w:rsid w:val="00046C63"/>
    <w:rsid w:val="00067DB0"/>
    <w:rsid w:val="00093305"/>
    <w:rsid w:val="000966FA"/>
    <w:rsid w:val="000A2D94"/>
    <w:rsid w:val="000C1EBC"/>
    <w:rsid w:val="000F764F"/>
    <w:rsid w:val="001212D9"/>
    <w:rsid w:val="001353D7"/>
    <w:rsid w:val="001362F4"/>
    <w:rsid w:val="001A35DB"/>
    <w:rsid w:val="001C25B4"/>
    <w:rsid w:val="001C599E"/>
    <w:rsid w:val="001C5FB4"/>
    <w:rsid w:val="0025081B"/>
    <w:rsid w:val="002556BA"/>
    <w:rsid w:val="002626E1"/>
    <w:rsid w:val="00263407"/>
    <w:rsid w:val="002E1C29"/>
    <w:rsid w:val="002E5EAB"/>
    <w:rsid w:val="00330995"/>
    <w:rsid w:val="00373B32"/>
    <w:rsid w:val="003918B5"/>
    <w:rsid w:val="003B6CDA"/>
    <w:rsid w:val="003E0E58"/>
    <w:rsid w:val="003E7BFB"/>
    <w:rsid w:val="004079A1"/>
    <w:rsid w:val="00445BD0"/>
    <w:rsid w:val="0045392C"/>
    <w:rsid w:val="0049449E"/>
    <w:rsid w:val="004B628B"/>
    <w:rsid w:val="004D3782"/>
    <w:rsid w:val="00587807"/>
    <w:rsid w:val="005C2313"/>
    <w:rsid w:val="005C4F83"/>
    <w:rsid w:val="00615390"/>
    <w:rsid w:val="006323C5"/>
    <w:rsid w:val="006A12A0"/>
    <w:rsid w:val="006D1088"/>
    <w:rsid w:val="006D3AB1"/>
    <w:rsid w:val="00743438"/>
    <w:rsid w:val="00755B2B"/>
    <w:rsid w:val="00787328"/>
    <w:rsid w:val="007A304B"/>
    <w:rsid w:val="007D2E61"/>
    <w:rsid w:val="00811539"/>
    <w:rsid w:val="0082694C"/>
    <w:rsid w:val="008600FA"/>
    <w:rsid w:val="008C1F7A"/>
    <w:rsid w:val="00917DFB"/>
    <w:rsid w:val="00946A9A"/>
    <w:rsid w:val="009A7CCD"/>
    <w:rsid w:val="00A05EAE"/>
    <w:rsid w:val="00A35066"/>
    <w:rsid w:val="00AD18DF"/>
    <w:rsid w:val="00AE2E10"/>
    <w:rsid w:val="00AE7DC5"/>
    <w:rsid w:val="00AF3133"/>
    <w:rsid w:val="00BC142F"/>
    <w:rsid w:val="00BC15EA"/>
    <w:rsid w:val="00C06B77"/>
    <w:rsid w:val="00C16ADE"/>
    <w:rsid w:val="00C263B1"/>
    <w:rsid w:val="00C36151"/>
    <w:rsid w:val="00C5578B"/>
    <w:rsid w:val="00C61E7F"/>
    <w:rsid w:val="00C96CCC"/>
    <w:rsid w:val="00CD4148"/>
    <w:rsid w:val="00CD5EB7"/>
    <w:rsid w:val="00D156DE"/>
    <w:rsid w:val="00D91D24"/>
    <w:rsid w:val="00D94C8F"/>
    <w:rsid w:val="00D97075"/>
    <w:rsid w:val="00DA7C51"/>
    <w:rsid w:val="00DE5EE5"/>
    <w:rsid w:val="00E146A5"/>
    <w:rsid w:val="00E14CD7"/>
    <w:rsid w:val="00E47535"/>
    <w:rsid w:val="00EC629D"/>
    <w:rsid w:val="00EC6E2C"/>
    <w:rsid w:val="00F33359"/>
    <w:rsid w:val="00F55932"/>
    <w:rsid w:val="00F671DB"/>
    <w:rsid w:val="00F67D16"/>
    <w:rsid w:val="00F72507"/>
    <w:rsid w:val="00FA3FC0"/>
    <w:rsid w:val="00FC1413"/>
    <w:rsid w:val="00FC2092"/>
    <w:rsid w:val="00FC6F3A"/>
    <w:rsid w:val="00FE0C25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FFFF"/>
  <w15:chartTrackingRefBased/>
  <w15:docId w15:val="{03D1645A-7998-4441-A150-5E6F51E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C2092"/>
  </w:style>
  <w:style w:type="paragraph" w:styleId="a5">
    <w:name w:val="footer"/>
    <w:basedOn w:val="a"/>
    <w:link w:val="a6"/>
    <w:uiPriority w:val="99"/>
    <w:unhideWhenUsed/>
    <w:rsid w:val="00FC2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C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132</cp:revision>
  <dcterms:created xsi:type="dcterms:W3CDTF">2019-10-28T06:53:00Z</dcterms:created>
  <dcterms:modified xsi:type="dcterms:W3CDTF">2019-11-02T09:44:00Z</dcterms:modified>
</cp:coreProperties>
</file>