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B34" w:rsidRPr="00A163BD" w:rsidRDefault="00A163BD" w:rsidP="00A163BD">
      <w:pPr>
        <w:jc w:val="right"/>
        <w:rPr>
          <w:rFonts w:hint="cs"/>
          <w:b/>
          <w:bCs/>
          <w:u w:val="single"/>
          <w:rtl/>
        </w:rPr>
      </w:pPr>
      <w:r w:rsidRPr="00A163BD">
        <w:rPr>
          <w:rFonts w:hint="cs"/>
          <w:b/>
          <w:bCs/>
          <w:u w:val="single"/>
          <w:rtl/>
        </w:rPr>
        <w:t xml:space="preserve">חומר קריאה מס' 1: החלטת ההתנחלויות שארה"ב הטילה עליה וטו בפברואר 2011. </w:t>
      </w:r>
    </w:p>
    <w:p w:rsidR="00A163BD" w:rsidRPr="00A163BD" w:rsidRDefault="00A163BD" w:rsidP="00A163BD">
      <w:pPr>
        <w:jc w:val="right"/>
        <w:rPr>
          <w:i/>
          <w:iCs/>
        </w:rPr>
      </w:pPr>
      <w:r w:rsidRPr="00A163BD">
        <w:rPr>
          <w:i/>
          <w:iCs/>
        </w:rPr>
        <w:t>The Security Council,</w:t>
      </w:r>
    </w:p>
    <w:p w:rsidR="00A163BD" w:rsidRPr="00A163BD" w:rsidRDefault="00A163BD" w:rsidP="00A163BD">
      <w:pPr>
        <w:jc w:val="right"/>
      </w:pPr>
      <w:r w:rsidRPr="00A163BD">
        <w:rPr>
          <w:i/>
          <w:iCs/>
        </w:rPr>
        <w:t xml:space="preserve">Recalling </w:t>
      </w:r>
      <w:r w:rsidRPr="00A163BD">
        <w:t>its relevant resolutions, including resolutions 242 (1967), 338 (1973), 446 (1979), 452 (1979), 465 (1980), 476 (1980), 478 (1980), 1397 (2002), 1515 (2003), and 1850 (2008),</w:t>
      </w:r>
    </w:p>
    <w:p w:rsidR="00A163BD" w:rsidRPr="00A163BD" w:rsidRDefault="00A163BD" w:rsidP="00A163BD">
      <w:pPr>
        <w:jc w:val="right"/>
      </w:pPr>
      <w:r w:rsidRPr="00A163BD">
        <w:rPr>
          <w:i/>
          <w:iCs/>
        </w:rPr>
        <w:t xml:space="preserve">Reaffirming </w:t>
      </w:r>
      <w:r w:rsidRPr="00A163BD">
        <w:t xml:space="preserve">the applicability of the Geneva Convention relative to the Protection of Civilian Persons in Time of War, of 12 August 1949, to the Palestinian Territory, including East </w:t>
      </w:r>
      <w:proofErr w:type="gramStart"/>
      <w:r w:rsidRPr="00A163BD">
        <w:t>Jerusalem,</w:t>
      </w:r>
      <w:proofErr w:type="gramEnd"/>
      <w:r w:rsidRPr="00A163BD">
        <w:t xml:space="preserve"> and the other Arab territories occupied since 1967,</w:t>
      </w:r>
    </w:p>
    <w:p w:rsidR="00A163BD" w:rsidRPr="00A163BD" w:rsidRDefault="00A163BD" w:rsidP="00A163BD">
      <w:pPr>
        <w:jc w:val="right"/>
      </w:pPr>
      <w:r w:rsidRPr="00A163BD">
        <w:rPr>
          <w:i/>
          <w:iCs/>
        </w:rPr>
        <w:t>Reaffirming</w:t>
      </w:r>
      <w:r w:rsidRPr="00A163BD">
        <w:t xml:space="preserve"> that all Israeli settlement activities in the Occupied Palestinian Territory, including East Jerusalem, are illegal and constitute a major obstacle to the achievement of peace on the basis of the two-State solution,</w:t>
      </w:r>
    </w:p>
    <w:p w:rsidR="00A163BD" w:rsidRPr="00A163BD" w:rsidRDefault="00A163BD" w:rsidP="00A163BD">
      <w:pPr>
        <w:jc w:val="right"/>
      </w:pPr>
      <w:r w:rsidRPr="00A163BD">
        <w:rPr>
          <w:i/>
          <w:iCs/>
        </w:rPr>
        <w:t>Condemning</w:t>
      </w:r>
      <w:r w:rsidRPr="00A163BD">
        <w:t xml:space="preserve"> the continuation of settlement activities by Israel, the occupying Power, in the Occupied Palestinian Territory, including East Jerusalem, and of all other measures aimed at altering the demographic composition, character and status of the Territory, in violation of international humanitarian law and relevant resolutions,</w:t>
      </w:r>
    </w:p>
    <w:p w:rsidR="00A163BD" w:rsidRPr="00A163BD" w:rsidRDefault="00A163BD" w:rsidP="00A163BD">
      <w:pPr>
        <w:jc w:val="right"/>
      </w:pPr>
      <w:r w:rsidRPr="00A163BD">
        <w:rPr>
          <w:i/>
          <w:iCs/>
        </w:rPr>
        <w:t>Bearing in mind also</w:t>
      </w:r>
      <w:r w:rsidRPr="00A163BD">
        <w:t xml:space="preserve"> the obligation under the Quartet Roadmap, endorsed by its resolution 1515 (2003), for a freeze by Isra</w:t>
      </w:r>
      <w:bookmarkStart w:id="0" w:name="_GoBack"/>
      <w:bookmarkEnd w:id="0"/>
      <w:r w:rsidRPr="00A163BD">
        <w:t>el of all settlement activity, including “natural growth”, and the dismantlement of all settlement outposts erected since March 2001,</w:t>
      </w:r>
    </w:p>
    <w:p w:rsidR="00A163BD" w:rsidRPr="00A163BD" w:rsidRDefault="00A163BD" w:rsidP="00A163BD">
      <w:pPr>
        <w:jc w:val="right"/>
      </w:pPr>
      <w:r w:rsidRPr="00A163BD">
        <w:rPr>
          <w:i/>
          <w:iCs/>
        </w:rPr>
        <w:t>Reiterating</w:t>
      </w:r>
      <w:r w:rsidRPr="00A163BD">
        <w:t xml:space="preserve"> its vision of a region where two democratic States, Israel and Palestine, live side by side in peace within secure and recognized borders,</w:t>
      </w:r>
    </w:p>
    <w:p w:rsidR="00A163BD" w:rsidRPr="00A163BD" w:rsidRDefault="00A163BD" w:rsidP="00A163BD">
      <w:pPr>
        <w:jc w:val="right"/>
      </w:pPr>
      <w:r w:rsidRPr="00A163BD">
        <w:rPr>
          <w:i/>
          <w:iCs/>
        </w:rPr>
        <w:t xml:space="preserve">Taking note </w:t>
      </w:r>
      <w:r w:rsidRPr="00A163BD">
        <w:t>of the strong support expressed by the Quartet for the resumption of Israeli-Palestinian negotiations for the resolution of all final status issues within one year,</w:t>
      </w:r>
    </w:p>
    <w:p w:rsidR="00A163BD" w:rsidRPr="00A163BD" w:rsidRDefault="00A163BD" w:rsidP="00A163BD">
      <w:pPr>
        <w:jc w:val="right"/>
      </w:pPr>
      <w:r w:rsidRPr="00A163BD">
        <w:rPr>
          <w:i/>
          <w:iCs/>
        </w:rPr>
        <w:t>Stressing</w:t>
      </w:r>
      <w:r w:rsidRPr="00A163BD">
        <w:t xml:space="preserve"> the urgency of achieving a just, comprehensive and lasting peace on the basis of the relevant resolutions, the Madrid terms of reference, including the principle of land for peace, the Arab Peace Initiative and the Quartet Roadmap,</w:t>
      </w:r>
    </w:p>
    <w:p w:rsidR="00A163BD" w:rsidRPr="00A163BD" w:rsidRDefault="00A163BD" w:rsidP="00A163BD">
      <w:pPr>
        <w:jc w:val="right"/>
      </w:pPr>
      <w:r w:rsidRPr="00A163BD">
        <w:rPr>
          <w:i/>
          <w:iCs/>
        </w:rPr>
        <w:t xml:space="preserve">Reaffirms </w:t>
      </w:r>
      <w:r w:rsidRPr="00A163BD">
        <w:t>that the Israeli settlements established in the Palestinian Territory occupied since 1967, including East Jerusalem, are illegal and constitute a major obstacle to the achievement of a just, lasting and comprehensive peace;</w:t>
      </w:r>
    </w:p>
    <w:p w:rsidR="00A163BD" w:rsidRPr="00A163BD" w:rsidRDefault="00A163BD" w:rsidP="00A163BD">
      <w:pPr>
        <w:jc w:val="right"/>
      </w:pPr>
      <w:r w:rsidRPr="00A163BD">
        <w:rPr>
          <w:i/>
          <w:iCs/>
        </w:rPr>
        <w:t>Reiterates</w:t>
      </w:r>
      <w:r w:rsidRPr="00A163BD">
        <w:t xml:space="preserve"> its demand that Israel, the occupying Power, immediately and completely ceases all settlement activities in the Occupied Palestinian Territory, including East Jerusalem, and that it fully respect all of its legal obligations in this regard;</w:t>
      </w:r>
    </w:p>
    <w:p w:rsidR="00A163BD" w:rsidRPr="00A163BD" w:rsidRDefault="00A163BD" w:rsidP="00A163BD">
      <w:pPr>
        <w:jc w:val="right"/>
      </w:pPr>
      <w:r w:rsidRPr="00A163BD">
        <w:rPr>
          <w:i/>
          <w:iCs/>
        </w:rPr>
        <w:t xml:space="preserve">Calls upon </w:t>
      </w:r>
      <w:r w:rsidRPr="00A163BD">
        <w:t>both parties to act on the basis of international law and their previous agreements and obligations, including under the Roadmap, aimed, inter alia, at improving the situation on the ground, building confidence and creating the conditions necessary for promoting the peace process;</w:t>
      </w:r>
    </w:p>
    <w:p w:rsidR="00A163BD" w:rsidRPr="00A163BD" w:rsidRDefault="00A163BD" w:rsidP="00A163BD">
      <w:pPr>
        <w:jc w:val="right"/>
      </w:pPr>
      <w:r w:rsidRPr="00A163BD">
        <w:rPr>
          <w:i/>
          <w:iCs/>
        </w:rPr>
        <w:t xml:space="preserve">Calls upon </w:t>
      </w:r>
      <w:r w:rsidRPr="00A163BD">
        <w:t xml:space="preserve">all parties to continue, in the interest of the promotion of peace and security, with their negotiations on the final status issues in the Middle East peace process according </w:t>
      </w:r>
      <w:r w:rsidRPr="00A163BD">
        <w:lastRenderedPageBreak/>
        <w:t>to its agreed terms of reference and within the timeframe specified by the Quartet in its statement of 21 September 2010;</w:t>
      </w:r>
    </w:p>
    <w:p w:rsidR="00A163BD" w:rsidRPr="00A163BD" w:rsidRDefault="00A163BD" w:rsidP="00A163BD">
      <w:pPr>
        <w:jc w:val="right"/>
      </w:pPr>
      <w:r w:rsidRPr="00A163BD">
        <w:rPr>
          <w:i/>
          <w:iCs/>
        </w:rPr>
        <w:t>Urges in this regard</w:t>
      </w:r>
      <w:r w:rsidRPr="00A163BD">
        <w:t xml:space="preserve"> the intensification of international and regional diplomatic efforts to support and invigorate the peace process towards the achievement of a comprehensive, just and lasting peace in the Middle East;</w:t>
      </w:r>
    </w:p>
    <w:p w:rsidR="00A163BD" w:rsidRDefault="00A163BD" w:rsidP="00A163BD">
      <w:pPr>
        <w:jc w:val="right"/>
        <w:rPr>
          <w:rFonts w:hint="cs"/>
        </w:rPr>
      </w:pPr>
      <w:proofErr w:type="gramStart"/>
      <w:r w:rsidRPr="00A163BD">
        <w:rPr>
          <w:i/>
          <w:iCs/>
        </w:rPr>
        <w:t>Decides</w:t>
      </w:r>
      <w:r w:rsidRPr="00A163BD">
        <w:t xml:space="preserve"> to remain seized of the matter.</w:t>
      </w:r>
      <w:proofErr w:type="gramEnd"/>
    </w:p>
    <w:sectPr w:rsidR="00A163BD" w:rsidSect="00AE017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3BD"/>
    <w:rsid w:val="00623B34"/>
    <w:rsid w:val="00A163BD"/>
    <w:rsid w:val="00AE01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566363">
      <w:bodyDiv w:val="1"/>
      <w:marLeft w:val="0"/>
      <w:marRight w:val="0"/>
      <w:marTop w:val="0"/>
      <w:marBottom w:val="0"/>
      <w:divBdr>
        <w:top w:val="none" w:sz="0" w:space="0" w:color="auto"/>
        <w:left w:val="none" w:sz="0" w:space="0" w:color="auto"/>
        <w:bottom w:val="none" w:sz="0" w:space="0" w:color="auto"/>
        <w:right w:val="none" w:sz="0" w:space="0" w:color="auto"/>
      </w:divBdr>
      <w:divsChild>
        <w:div w:id="9331612">
          <w:marLeft w:val="0"/>
          <w:marRight w:val="0"/>
          <w:marTop w:val="0"/>
          <w:marBottom w:val="0"/>
          <w:divBdr>
            <w:top w:val="single" w:sz="24" w:space="0" w:color="auto"/>
            <w:left w:val="single" w:sz="24" w:space="0" w:color="auto"/>
            <w:bottom w:val="single" w:sz="24" w:space="0" w:color="auto"/>
            <w:right w:val="single" w:sz="24" w:space="0" w:color="auto"/>
          </w:divBdr>
          <w:divsChild>
            <w:div w:id="66390627">
              <w:marLeft w:val="0"/>
              <w:marRight w:val="0"/>
              <w:marTop w:val="0"/>
              <w:marBottom w:val="150"/>
              <w:divBdr>
                <w:top w:val="single" w:sz="2" w:space="0" w:color="ECECEC"/>
                <w:left w:val="single" w:sz="2" w:space="0" w:color="ECECEC"/>
                <w:bottom w:val="single" w:sz="2" w:space="0" w:color="ECECEC"/>
                <w:right w:val="single" w:sz="2" w:space="0" w:color="ECECEC"/>
              </w:divBdr>
              <w:divsChild>
                <w:div w:id="706176607">
                  <w:marLeft w:val="0"/>
                  <w:marRight w:val="0"/>
                  <w:marTop w:val="0"/>
                  <w:marBottom w:val="0"/>
                  <w:divBdr>
                    <w:top w:val="single" w:sz="24" w:space="0" w:color="auto"/>
                    <w:left w:val="single" w:sz="24" w:space="0" w:color="auto"/>
                    <w:bottom w:val="single" w:sz="24" w:space="0" w:color="auto"/>
                    <w:right w:val="dotted" w:sz="6" w:space="8" w:color="CCCCCC"/>
                  </w:divBdr>
                  <w:divsChild>
                    <w:div w:id="1575779514">
                      <w:marLeft w:val="0"/>
                      <w:marRight w:val="0"/>
                      <w:marTop w:val="0"/>
                      <w:marBottom w:val="0"/>
                      <w:divBdr>
                        <w:top w:val="single" w:sz="6" w:space="8" w:color="ECECEC"/>
                        <w:left w:val="single" w:sz="6" w:space="8" w:color="ECECEC"/>
                        <w:bottom w:val="single" w:sz="6" w:space="8" w:color="ECECEC"/>
                        <w:right w:val="single" w:sz="6" w:space="8" w:color="ECECEC"/>
                      </w:divBdr>
                      <w:divsChild>
                        <w:div w:id="271405861">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543</Words>
  <Characters>2719</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Mofa</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2017-01-22T07:44:00Z</dcterms:created>
  <dcterms:modified xsi:type="dcterms:W3CDTF">2017-01-22T07:46:00Z</dcterms:modified>
</cp:coreProperties>
</file>