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82" w:rsidRPr="001971AE" w:rsidRDefault="00A772CE" w:rsidP="00A772CE">
      <w:pPr>
        <w:spacing w:line="360" w:lineRule="auto"/>
        <w:rPr>
          <w:rFonts w:cs="David" w:hint="cs"/>
          <w:b/>
          <w:bCs/>
          <w:szCs w:val="24"/>
          <w:u w:val="single"/>
          <w:rtl/>
        </w:rPr>
      </w:pPr>
      <w:r w:rsidRPr="001971AE">
        <w:rPr>
          <w:rFonts w:cs="David" w:hint="cs"/>
          <w:b/>
          <w:bCs/>
          <w:szCs w:val="24"/>
          <w:u w:val="single"/>
          <w:rtl/>
        </w:rPr>
        <w:t>אקטואליה משפטית</w:t>
      </w:r>
    </w:p>
    <w:p w:rsidR="007E1D5B" w:rsidRPr="001971AE" w:rsidRDefault="007E1D5B" w:rsidP="00A772CE">
      <w:pPr>
        <w:spacing w:line="360" w:lineRule="auto"/>
        <w:rPr>
          <w:rFonts w:cs="David" w:hint="cs"/>
          <w:b/>
          <w:bCs/>
          <w:szCs w:val="24"/>
          <w:u w:val="single"/>
          <w:rtl/>
        </w:rPr>
      </w:pPr>
      <w:r w:rsidRPr="001971AE">
        <w:rPr>
          <w:rFonts w:cs="David" w:hint="cs"/>
          <w:b/>
          <w:bCs/>
          <w:szCs w:val="24"/>
          <w:u w:val="single"/>
          <w:rtl/>
        </w:rPr>
        <w:t>מינוי הרמטכ"ל</w:t>
      </w:r>
    </w:p>
    <w:p w:rsidR="007E1D5B" w:rsidRDefault="007E1D5B" w:rsidP="00C83E7A">
      <w:pPr>
        <w:spacing w:line="360" w:lineRule="auto"/>
        <w:rPr>
          <w:rFonts w:cs="David" w:hint="cs"/>
          <w:szCs w:val="24"/>
          <w:rtl/>
        </w:rPr>
      </w:pPr>
      <w:r>
        <w:rPr>
          <w:rFonts w:cs="David" w:hint="cs"/>
          <w:szCs w:val="24"/>
          <w:rtl/>
        </w:rPr>
        <w:t xml:space="preserve">עפ"י חוק יסוד הצבא, הממשלה ממנה את הרמטכ"ל בהמלצת שר הביטחון. לאור אירועי עבר, </w:t>
      </w:r>
      <w:proofErr w:type="spellStart"/>
      <w:r>
        <w:rPr>
          <w:rFonts w:cs="David" w:hint="cs"/>
          <w:szCs w:val="24"/>
          <w:rtl/>
        </w:rPr>
        <w:t>שהב"ט</w:t>
      </w:r>
      <w:proofErr w:type="spellEnd"/>
      <w:r>
        <w:rPr>
          <w:rFonts w:cs="David" w:hint="cs"/>
          <w:szCs w:val="24"/>
          <w:rtl/>
        </w:rPr>
        <w:t xml:space="preserve"> החליט שהוא מבקש את </w:t>
      </w:r>
      <w:proofErr w:type="spellStart"/>
      <w:r>
        <w:rPr>
          <w:rFonts w:cs="David" w:hint="cs"/>
          <w:szCs w:val="24"/>
          <w:rtl/>
        </w:rPr>
        <w:t>חוו"ד</w:t>
      </w:r>
      <w:proofErr w:type="spellEnd"/>
      <w:r>
        <w:rPr>
          <w:rFonts w:cs="David" w:hint="cs"/>
          <w:szCs w:val="24"/>
          <w:rtl/>
        </w:rPr>
        <w:t xml:space="preserve"> היועץ המשפטי לממשלה למועמדים שלו. המשמעות של המעשה היא בעייתית, שכן החלטה על שיקולי מינוי הרמטכ"ל היא מקצועית, וגם מבחינה אתית האחריות היא של השר. היועץ אינו אמור להיות חלק מתהליך קבלת ההחלטות. </w:t>
      </w:r>
      <w:proofErr w:type="spellStart"/>
      <w:r>
        <w:rPr>
          <w:rFonts w:cs="David" w:hint="cs"/>
          <w:szCs w:val="24"/>
          <w:rtl/>
        </w:rPr>
        <w:t>משפטיזציית</w:t>
      </w:r>
      <w:proofErr w:type="spellEnd"/>
      <w:r>
        <w:rPr>
          <w:rFonts w:cs="David" w:hint="cs"/>
          <w:szCs w:val="24"/>
          <w:rtl/>
        </w:rPr>
        <w:t xml:space="preserve"> התהליך היא בעייתית </w:t>
      </w:r>
      <w:r>
        <w:rPr>
          <w:rFonts w:cs="David"/>
          <w:szCs w:val="24"/>
          <w:rtl/>
        </w:rPr>
        <w:t>–</w:t>
      </w:r>
      <w:r>
        <w:rPr>
          <w:rFonts w:cs="David" w:hint="cs"/>
          <w:szCs w:val="24"/>
          <w:rtl/>
        </w:rPr>
        <w:t xml:space="preserve"> ויוצרת תקדים שקשה יהיה לחזור ממנו. סמכות היועץ היא לקבוע אם משהו הוא חוקי או לא. הקביעה אם משהו הוא אתי הנו חריגה מהסמכות הזו. התקדים מעביר כוח מהרשות השלטת לרשות המשפטית, ללא צורך. </w:t>
      </w:r>
      <w:r w:rsidR="00D56B40">
        <w:rPr>
          <w:rFonts w:cs="David" w:hint="cs"/>
          <w:szCs w:val="24"/>
          <w:rtl/>
        </w:rPr>
        <w:t xml:space="preserve">המהלך נוצר עקב אירוע גלנט </w:t>
      </w:r>
      <w:r w:rsidR="00D56B40">
        <w:rPr>
          <w:rFonts w:cs="David"/>
          <w:szCs w:val="24"/>
          <w:rtl/>
        </w:rPr>
        <w:t>–</w:t>
      </w:r>
      <w:r w:rsidR="00D56B40">
        <w:rPr>
          <w:rFonts w:cs="David" w:hint="cs"/>
          <w:szCs w:val="24"/>
          <w:rtl/>
        </w:rPr>
        <w:t xml:space="preserve"> שם היועץ הביע ספק לגבי היכולת שלו להגן על המינוי בבג"צ </w:t>
      </w:r>
      <w:r w:rsidR="00D56B40">
        <w:rPr>
          <w:rFonts w:cs="David"/>
          <w:szCs w:val="24"/>
          <w:rtl/>
        </w:rPr>
        <w:t>–</w:t>
      </w:r>
      <w:r w:rsidR="00D56B40">
        <w:rPr>
          <w:rFonts w:cs="David" w:hint="cs"/>
          <w:szCs w:val="24"/>
          <w:rtl/>
        </w:rPr>
        <w:t xml:space="preserve"> וזו עוד דוגמא כיצד החשש מבג"צ מגביר את </w:t>
      </w:r>
      <w:r w:rsidR="00C83E7A">
        <w:rPr>
          <w:rFonts w:cs="David" w:hint="cs"/>
          <w:szCs w:val="24"/>
          <w:rtl/>
        </w:rPr>
        <w:t>כוחם</w:t>
      </w:r>
      <w:r w:rsidR="00D56B40">
        <w:rPr>
          <w:rFonts w:cs="David" w:hint="cs"/>
          <w:szCs w:val="24"/>
          <w:rtl/>
        </w:rPr>
        <w:t xml:space="preserve"> של היועצים המשפטיים. </w:t>
      </w:r>
    </w:p>
    <w:p w:rsidR="00265C47" w:rsidRPr="001971AE" w:rsidRDefault="00265C47" w:rsidP="00A772CE">
      <w:pPr>
        <w:spacing w:line="360" w:lineRule="auto"/>
        <w:rPr>
          <w:rFonts w:cs="David" w:hint="cs"/>
          <w:b/>
          <w:bCs/>
          <w:szCs w:val="24"/>
          <w:u w:val="single"/>
          <w:rtl/>
        </w:rPr>
      </w:pPr>
      <w:r w:rsidRPr="001971AE">
        <w:rPr>
          <w:rFonts w:cs="David" w:hint="cs"/>
          <w:b/>
          <w:bCs/>
          <w:szCs w:val="24"/>
          <w:u w:val="single"/>
          <w:rtl/>
        </w:rPr>
        <w:t>חוק עוקף בג"צ</w:t>
      </w:r>
    </w:p>
    <w:p w:rsidR="00265C47" w:rsidRDefault="00265C47" w:rsidP="00A772CE">
      <w:pPr>
        <w:spacing w:line="360" w:lineRule="auto"/>
        <w:rPr>
          <w:rFonts w:cs="David" w:hint="cs"/>
          <w:szCs w:val="24"/>
          <w:rtl/>
        </w:rPr>
      </w:pPr>
      <w:r>
        <w:rPr>
          <w:rFonts w:cs="David" w:hint="cs"/>
          <w:szCs w:val="24"/>
          <w:rtl/>
        </w:rPr>
        <w:t xml:space="preserve">כאמור בפרקים הקודמים, המערכת הישראלית היא מערכת כמו חוקתית, כאשר בתפקיד החוקה משמשים חוקי היסוד. חוקי היסוד המשמעותיים ביותר בהקשר זה הם חוקי היסוד העוסקים בזכויות האדם </w:t>
      </w:r>
      <w:r>
        <w:rPr>
          <w:rFonts w:cs="David"/>
          <w:szCs w:val="24"/>
          <w:rtl/>
        </w:rPr>
        <w:t>–</w:t>
      </w:r>
      <w:r>
        <w:rPr>
          <w:rFonts w:cs="David" w:hint="cs"/>
          <w:szCs w:val="24"/>
          <w:rtl/>
        </w:rPr>
        <w:t xml:space="preserve"> חופש העיסוק וכבוד האדם וחירותו. </w:t>
      </w:r>
    </w:p>
    <w:p w:rsidR="00265C47" w:rsidRDefault="00265C47" w:rsidP="00A772CE">
      <w:pPr>
        <w:spacing w:line="360" w:lineRule="auto"/>
        <w:rPr>
          <w:rFonts w:cs="David" w:hint="cs"/>
          <w:szCs w:val="24"/>
          <w:rtl/>
        </w:rPr>
      </w:pPr>
      <w:r>
        <w:rPr>
          <w:rFonts w:cs="David" w:hint="cs"/>
          <w:szCs w:val="24"/>
          <w:rtl/>
        </w:rPr>
        <w:t>הנחת היסוד בישראל היא ש</w:t>
      </w:r>
      <w:r w:rsidRPr="00265C47">
        <w:rPr>
          <w:rFonts w:cs="David" w:hint="cs"/>
          <w:b/>
          <w:bCs/>
          <w:szCs w:val="24"/>
          <w:u w:val="single"/>
          <w:rtl/>
        </w:rPr>
        <w:t>מותר</w:t>
      </w:r>
      <w:r>
        <w:rPr>
          <w:rFonts w:cs="David" w:hint="cs"/>
          <w:szCs w:val="24"/>
          <w:rtl/>
        </w:rPr>
        <w:t xml:space="preserve"> לפגוע בזכויות האדם, בתנאי כפול </w:t>
      </w:r>
      <w:r>
        <w:rPr>
          <w:rFonts w:cs="David"/>
          <w:szCs w:val="24"/>
          <w:rtl/>
        </w:rPr>
        <w:t>–</w:t>
      </w:r>
      <w:r>
        <w:rPr>
          <w:rFonts w:cs="David" w:hint="cs"/>
          <w:szCs w:val="24"/>
          <w:rtl/>
        </w:rPr>
        <w:t xml:space="preserve"> שהחוק הפוגע מטרתו ראויה, ושהפגיעה מידתית. </w:t>
      </w:r>
    </w:p>
    <w:p w:rsidR="00265C47" w:rsidRDefault="00265C47" w:rsidP="00A772CE">
      <w:pPr>
        <w:spacing w:line="360" w:lineRule="auto"/>
        <w:rPr>
          <w:rFonts w:cs="David" w:hint="cs"/>
          <w:szCs w:val="24"/>
          <w:rtl/>
        </w:rPr>
      </w:pPr>
      <w:r>
        <w:rPr>
          <w:rFonts w:cs="David" w:hint="cs"/>
          <w:szCs w:val="24"/>
          <w:rtl/>
        </w:rPr>
        <w:t xml:space="preserve">הטריגר למקרה הנוכחי הנו החוק למניעת </w:t>
      </w:r>
      <w:r w:rsidR="00793746">
        <w:rPr>
          <w:rFonts w:cs="David" w:hint="cs"/>
          <w:szCs w:val="24"/>
          <w:rtl/>
        </w:rPr>
        <w:t>הסתננות. החוק המקורי למניעת הסת</w:t>
      </w:r>
      <w:r>
        <w:rPr>
          <w:rFonts w:cs="David" w:hint="cs"/>
          <w:szCs w:val="24"/>
          <w:rtl/>
        </w:rPr>
        <w:t xml:space="preserve">ננות נועד במקור, בשנות החמישים, נגד הפח"ע. בעיית מהגרי העבודה של השנים האחרונות נובעת מכך שהכללים המחייבים בהתנהגות מול מהגרים </w:t>
      </w:r>
      <w:r w:rsidR="001971AE">
        <w:rPr>
          <w:rFonts w:cs="David" w:hint="cs"/>
          <w:szCs w:val="24"/>
          <w:rtl/>
        </w:rPr>
        <w:t xml:space="preserve">הלא חוקיים </w:t>
      </w:r>
      <w:r>
        <w:rPr>
          <w:rFonts w:cs="David" w:hint="cs"/>
          <w:szCs w:val="24"/>
          <w:rtl/>
        </w:rPr>
        <w:t xml:space="preserve">מחייבים לבדוק את מעמדם ולא להחזיר פליטים למקום מוצאם, אם הדבר מסכן אותם. התוצאה היא שהמדינה אינה יכולה להחזיר את רוב המהגרים למקום מוצאם. </w:t>
      </w:r>
    </w:p>
    <w:p w:rsidR="00265C47" w:rsidRDefault="00265C47" w:rsidP="00A772CE">
      <w:pPr>
        <w:spacing w:line="360" w:lineRule="auto"/>
        <w:rPr>
          <w:rFonts w:cs="David" w:hint="cs"/>
          <w:szCs w:val="24"/>
          <w:rtl/>
        </w:rPr>
      </w:pPr>
      <w:r>
        <w:rPr>
          <w:rFonts w:cs="David" w:hint="cs"/>
          <w:szCs w:val="24"/>
          <w:rtl/>
        </w:rPr>
        <w:t xml:space="preserve">הדיון המשפטי בנושא החל כאשר התופעה של </w:t>
      </w:r>
      <w:r w:rsidRPr="001971AE">
        <w:rPr>
          <w:rFonts w:cs="David" w:hint="cs"/>
          <w:szCs w:val="24"/>
          <w:u w:val="single"/>
          <w:rtl/>
        </w:rPr>
        <w:t>כניסת</w:t>
      </w:r>
      <w:r>
        <w:rPr>
          <w:rFonts w:cs="David" w:hint="cs"/>
          <w:szCs w:val="24"/>
          <w:rtl/>
        </w:rPr>
        <w:t xml:space="preserve"> מהגרים כבר אינה קיימת. המכשול הפיזי חיסל את הבעיה. בית המשפט מודע לכך בבואו לדון במכשול המשפטי שהמדינה רוצה לשים. </w:t>
      </w:r>
    </w:p>
    <w:p w:rsidR="00265C47" w:rsidRPr="00265C47" w:rsidRDefault="00265C47" w:rsidP="00A772CE">
      <w:pPr>
        <w:spacing w:line="360" w:lineRule="auto"/>
        <w:rPr>
          <w:rFonts w:cs="David" w:hint="cs"/>
          <w:szCs w:val="24"/>
          <w:u w:val="single"/>
          <w:rtl/>
        </w:rPr>
      </w:pPr>
      <w:r w:rsidRPr="00265C47">
        <w:rPr>
          <w:rFonts w:cs="David" w:hint="cs"/>
          <w:szCs w:val="24"/>
          <w:u w:val="single"/>
          <w:rtl/>
        </w:rPr>
        <w:t xml:space="preserve">חוק ההסתננות הראשון </w:t>
      </w:r>
      <w:r w:rsidRPr="00265C47">
        <w:rPr>
          <w:rFonts w:cs="David"/>
          <w:szCs w:val="24"/>
          <w:u w:val="single"/>
          <w:rtl/>
        </w:rPr>
        <w:t>–</w:t>
      </w:r>
      <w:r w:rsidRPr="00265C47">
        <w:rPr>
          <w:rFonts w:cs="David" w:hint="cs"/>
          <w:szCs w:val="24"/>
          <w:u w:val="single"/>
          <w:rtl/>
        </w:rPr>
        <w:t xml:space="preserve"> </w:t>
      </w:r>
    </w:p>
    <w:p w:rsidR="00265C47" w:rsidRDefault="00265C47" w:rsidP="00A772CE">
      <w:pPr>
        <w:spacing w:line="360" w:lineRule="auto"/>
        <w:rPr>
          <w:rFonts w:cs="David" w:hint="cs"/>
          <w:szCs w:val="24"/>
          <w:rtl/>
        </w:rPr>
      </w:pPr>
      <w:r>
        <w:rPr>
          <w:rFonts w:cs="David" w:hint="cs"/>
          <w:szCs w:val="24"/>
          <w:rtl/>
        </w:rPr>
        <w:t xml:space="preserve">נחקק </w:t>
      </w:r>
      <w:r w:rsidRPr="00265C47">
        <w:rPr>
          <w:rFonts w:cs="David" w:hint="cs"/>
          <w:szCs w:val="24"/>
          <w:u w:val="single"/>
          <w:rtl/>
        </w:rPr>
        <w:t>כהוראת שעה</w:t>
      </w:r>
      <w:r>
        <w:rPr>
          <w:rFonts w:cs="David" w:hint="cs"/>
          <w:szCs w:val="24"/>
          <w:rtl/>
        </w:rPr>
        <w:t xml:space="preserve"> לשלוש שנים </w:t>
      </w:r>
      <w:r>
        <w:rPr>
          <w:rFonts w:cs="David"/>
          <w:szCs w:val="24"/>
          <w:rtl/>
        </w:rPr>
        <w:t>–</w:t>
      </w:r>
      <w:r>
        <w:rPr>
          <w:rFonts w:cs="David" w:hint="cs"/>
          <w:szCs w:val="24"/>
          <w:rtl/>
        </w:rPr>
        <w:t xml:space="preserve"> כדי להצהיר בפני המשפט על מידתיות החוק. </w:t>
      </w:r>
      <w:r w:rsidR="001971AE">
        <w:rPr>
          <w:rFonts w:cs="David" w:hint="cs"/>
          <w:szCs w:val="24"/>
          <w:rtl/>
        </w:rPr>
        <w:t xml:space="preserve">בית המשפט מעולם לא ביטל חוק שנחקק כהוראת שעה בפעם הראשונה שבה נחקק </w:t>
      </w:r>
      <w:r w:rsidR="001971AE">
        <w:rPr>
          <w:rFonts w:cs="David"/>
          <w:szCs w:val="24"/>
          <w:rtl/>
        </w:rPr>
        <w:t>–</w:t>
      </w:r>
      <w:r w:rsidR="001971AE">
        <w:rPr>
          <w:rFonts w:cs="David" w:hint="cs"/>
          <w:szCs w:val="24"/>
          <w:rtl/>
        </w:rPr>
        <w:t xml:space="preserve"> ההתערבות באה רק </w:t>
      </w:r>
      <w:proofErr w:type="spellStart"/>
      <w:r w:rsidR="001971AE">
        <w:rPr>
          <w:rFonts w:cs="David" w:hint="cs"/>
          <w:szCs w:val="24"/>
          <w:rtl/>
        </w:rPr>
        <w:t>בנסיונות</w:t>
      </w:r>
      <w:proofErr w:type="spellEnd"/>
      <w:r w:rsidR="001971AE">
        <w:rPr>
          <w:rFonts w:cs="David" w:hint="cs"/>
          <w:szCs w:val="24"/>
          <w:rtl/>
        </w:rPr>
        <w:t xml:space="preserve"> להאריך הוראות שעה. </w:t>
      </w:r>
    </w:p>
    <w:p w:rsidR="001971AE" w:rsidRDefault="001971AE" w:rsidP="001971AE">
      <w:pPr>
        <w:spacing w:line="360" w:lineRule="auto"/>
        <w:rPr>
          <w:rFonts w:cs="David" w:hint="cs"/>
          <w:szCs w:val="24"/>
          <w:rtl/>
        </w:rPr>
      </w:pPr>
      <w:r>
        <w:rPr>
          <w:rFonts w:cs="David" w:hint="cs"/>
          <w:szCs w:val="24"/>
          <w:rtl/>
        </w:rPr>
        <w:t xml:space="preserve">סעיף 30 לחוק קובע כי ניתן להחזיק מסתנן במשמורת 3 שנים. המשמעות </w:t>
      </w:r>
      <w:r>
        <w:rPr>
          <w:rFonts w:cs="David"/>
          <w:szCs w:val="24"/>
          <w:rtl/>
        </w:rPr>
        <w:t>–</w:t>
      </w:r>
      <w:r>
        <w:rPr>
          <w:rFonts w:cs="David" w:hint="cs"/>
          <w:szCs w:val="24"/>
          <w:rtl/>
        </w:rPr>
        <w:t xml:space="preserve"> מעצר של עד שלוש שנים, בלי משפט. </w:t>
      </w:r>
    </w:p>
    <w:p w:rsidR="008337FA" w:rsidRDefault="008337FA" w:rsidP="001971AE">
      <w:pPr>
        <w:spacing w:line="360" w:lineRule="auto"/>
        <w:rPr>
          <w:rFonts w:cs="David" w:hint="cs"/>
          <w:szCs w:val="24"/>
          <w:rtl/>
        </w:rPr>
      </w:pPr>
      <w:r>
        <w:rPr>
          <w:rFonts w:cs="David" w:hint="cs"/>
          <w:szCs w:val="24"/>
          <w:rtl/>
        </w:rPr>
        <w:t xml:space="preserve">בית המשפט ביטל את החוק ברוב של 9 מול אפס מתנגדים. עדנה ארבל, שכתבה את פסק הדין, טרחה להנחות את הכנסת כיצד עליה לפעול מבחינה משפטית, בהתאם לדוגמאות מחו"ל. </w:t>
      </w:r>
    </w:p>
    <w:p w:rsidR="008337FA" w:rsidRPr="008337FA" w:rsidRDefault="008337FA" w:rsidP="001971AE">
      <w:pPr>
        <w:spacing w:line="360" w:lineRule="auto"/>
        <w:rPr>
          <w:rFonts w:cs="David" w:hint="cs"/>
          <w:szCs w:val="24"/>
          <w:u w:val="single"/>
          <w:rtl/>
        </w:rPr>
      </w:pPr>
      <w:r w:rsidRPr="008337FA">
        <w:rPr>
          <w:rFonts w:cs="David" w:hint="cs"/>
          <w:szCs w:val="24"/>
          <w:u w:val="single"/>
          <w:rtl/>
        </w:rPr>
        <w:lastRenderedPageBreak/>
        <w:t xml:space="preserve">חוק ההסתננות השני </w:t>
      </w:r>
      <w:r w:rsidRPr="008337FA">
        <w:rPr>
          <w:rFonts w:cs="David"/>
          <w:szCs w:val="24"/>
          <w:u w:val="single"/>
          <w:rtl/>
        </w:rPr>
        <w:t>–</w:t>
      </w:r>
      <w:r w:rsidRPr="008337FA">
        <w:rPr>
          <w:rFonts w:cs="David" w:hint="cs"/>
          <w:szCs w:val="24"/>
          <w:u w:val="single"/>
          <w:rtl/>
        </w:rPr>
        <w:t xml:space="preserve"> </w:t>
      </w:r>
    </w:p>
    <w:p w:rsidR="008337FA" w:rsidRDefault="008337FA" w:rsidP="001971AE">
      <w:pPr>
        <w:spacing w:line="360" w:lineRule="auto"/>
        <w:rPr>
          <w:rFonts w:cs="David" w:hint="cs"/>
          <w:szCs w:val="24"/>
          <w:rtl/>
        </w:rPr>
      </w:pPr>
      <w:r>
        <w:rPr>
          <w:rFonts w:cs="David" w:hint="cs"/>
          <w:szCs w:val="24"/>
          <w:rtl/>
        </w:rPr>
        <w:t xml:space="preserve">נחקק שלושה שבועות אחרי ביטול החוק הראשון, גם כהוראת שעה. הכנסת סברה שאין סיכוי שבית המשפט יבטל את החוק פעם </w:t>
      </w:r>
      <w:proofErr w:type="spellStart"/>
      <w:r>
        <w:rPr>
          <w:rFonts w:cs="David" w:hint="cs"/>
          <w:szCs w:val="24"/>
          <w:rtl/>
        </w:rPr>
        <w:t>שניה</w:t>
      </w:r>
      <w:proofErr w:type="spellEnd"/>
      <w:r>
        <w:rPr>
          <w:rFonts w:cs="David" w:hint="cs"/>
          <w:szCs w:val="24"/>
          <w:rtl/>
        </w:rPr>
        <w:t xml:space="preserve">, דבר שאין לו תקדים. </w:t>
      </w:r>
    </w:p>
    <w:p w:rsidR="008337FA" w:rsidRDefault="008337FA" w:rsidP="002B2CB2">
      <w:pPr>
        <w:spacing w:line="360" w:lineRule="auto"/>
        <w:rPr>
          <w:rFonts w:cs="David" w:hint="cs"/>
          <w:szCs w:val="24"/>
          <w:rtl/>
        </w:rPr>
      </w:pPr>
      <w:r>
        <w:rPr>
          <w:rFonts w:cs="David" w:hint="cs"/>
          <w:szCs w:val="24"/>
          <w:rtl/>
        </w:rPr>
        <w:t xml:space="preserve">השינויים בחוק </w:t>
      </w:r>
      <w:r>
        <w:rPr>
          <w:rFonts w:cs="David"/>
          <w:szCs w:val="24"/>
          <w:rtl/>
        </w:rPr>
        <w:t>–</w:t>
      </w:r>
      <w:r>
        <w:rPr>
          <w:rFonts w:cs="David" w:hint="cs"/>
          <w:szCs w:val="24"/>
          <w:rtl/>
        </w:rPr>
        <w:t xml:space="preserve"> סעיף 30 נשאר, אך תקופת המשמורת נקבעה לשנה, והוחלה רק על מי </w:t>
      </w:r>
      <w:r w:rsidR="002B2CB2">
        <w:rPr>
          <w:rFonts w:cs="David" w:hint="cs"/>
          <w:szCs w:val="24"/>
          <w:rtl/>
        </w:rPr>
        <w:t xml:space="preserve">שיגיע אחרי החלת החוק. עבור השאר </w:t>
      </w:r>
      <w:r>
        <w:rPr>
          <w:rFonts w:cs="David" w:hint="cs"/>
          <w:szCs w:val="24"/>
          <w:rtl/>
        </w:rPr>
        <w:t xml:space="preserve">הומצא פתרון אחר </w:t>
      </w:r>
      <w:r>
        <w:rPr>
          <w:rFonts w:cs="David"/>
          <w:szCs w:val="24"/>
          <w:rtl/>
        </w:rPr>
        <w:t>–</w:t>
      </w:r>
      <w:r>
        <w:rPr>
          <w:rFonts w:cs="David" w:hint="cs"/>
          <w:szCs w:val="24"/>
          <w:rtl/>
        </w:rPr>
        <w:t xml:space="preserve"> הקמת "מתקן שהייה" (מתקן חולות) שבו יהיו חייבים לשהות בשעות הלילה (שש עד שש), בשש בבוקר השוהים מורשים לצאת </w:t>
      </w:r>
      <w:r>
        <w:rPr>
          <w:rFonts w:cs="David"/>
          <w:szCs w:val="24"/>
          <w:rtl/>
        </w:rPr>
        <w:t>–</w:t>
      </w:r>
      <w:r>
        <w:rPr>
          <w:rFonts w:cs="David" w:hint="cs"/>
          <w:szCs w:val="24"/>
          <w:rtl/>
        </w:rPr>
        <w:t xml:space="preserve"> ולחזור ב-12 לספירה, וכך שוב עד שש בערב. </w:t>
      </w:r>
      <w:r w:rsidR="002B2CB2">
        <w:rPr>
          <w:rFonts w:cs="David" w:hint="cs"/>
          <w:szCs w:val="24"/>
          <w:rtl/>
        </w:rPr>
        <w:t xml:space="preserve">המשמעות </w:t>
      </w:r>
      <w:r w:rsidR="002B2CB2">
        <w:rPr>
          <w:rFonts w:cs="David"/>
          <w:szCs w:val="24"/>
          <w:rtl/>
        </w:rPr>
        <w:t>–</w:t>
      </w:r>
      <w:r w:rsidR="002B2CB2">
        <w:rPr>
          <w:rFonts w:cs="David" w:hint="cs"/>
          <w:szCs w:val="24"/>
          <w:rtl/>
        </w:rPr>
        <w:t xml:space="preserve"> אין אפשרות ריאלית לצאת לעבוד או לקיים אורח חיים של חופש. </w:t>
      </w:r>
    </w:p>
    <w:p w:rsidR="002B2CB2" w:rsidRDefault="002B2CB2" w:rsidP="002B2CB2">
      <w:pPr>
        <w:spacing w:line="360" w:lineRule="auto"/>
        <w:rPr>
          <w:rFonts w:cs="David" w:hint="cs"/>
          <w:szCs w:val="24"/>
          <w:rtl/>
        </w:rPr>
      </w:pPr>
      <w:r>
        <w:rPr>
          <w:rFonts w:cs="David" w:hint="cs"/>
          <w:szCs w:val="24"/>
          <w:rtl/>
        </w:rPr>
        <w:t xml:space="preserve">בפסק הדין של בג"צ יותר ממאתיים עמודים. בית המשפט החליט לבטל את החוק ברוב של שישה מול שלושה. פסק הדין מפרט את כל הדינים החלים בכל המדינות בעולם ביחס להחזקת מסתננים, במטרה להראות שהחוק חורג מכל המקובל במדינות דמוקרטית </w:t>
      </w:r>
      <w:r>
        <w:rPr>
          <w:rFonts w:cs="David"/>
          <w:szCs w:val="24"/>
          <w:rtl/>
        </w:rPr>
        <w:t>–</w:t>
      </w:r>
      <w:r>
        <w:rPr>
          <w:rFonts w:cs="David" w:hint="cs"/>
          <w:szCs w:val="24"/>
          <w:rtl/>
        </w:rPr>
        <w:t xml:space="preserve"> שימוש בכלי של </w:t>
      </w:r>
      <w:r w:rsidRPr="002B2CB2">
        <w:rPr>
          <w:rFonts w:cs="David" w:hint="cs"/>
          <w:szCs w:val="24"/>
          <w:u w:val="single"/>
          <w:rtl/>
        </w:rPr>
        <w:t>המשפט המשווה</w:t>
      </w:r>
      <w:r>
        <w:rPr>
          <w:rFonts w:cs="David" w:hint="cs"/>
          <w:szCs w:val="24"/>
          <w:rtl/>
        </w:rPr>
        <w:t xml:space="preserve">. </w:t>
      </w:r>
    </w:p>
    <w:p w:rsidR="002B2CB2" w:rsidRDefault="002B2CB2" w:rsidP="002B2CB2">
      <w:pPr>
        <w:spacing w:line="360" w:lineRule="auto"/>
        <w:rPr>
          <w:rFonts w:cs="David" w:hint="cs"/>
          <w:szCs w:val="24"/>
          <w:rtl/>
        </w:rPr>
      </w:pPr>
      <w:r>
        <w:rPr>
          <w:rFonts w:cs="David" w:hint="cs"/>
          <w:szCs w:val="24"/>
          <w:rtl/>
        </w:rPr>
        <w:t xml:space="preserve">בית המשפט מתחשב בניסוח עמדתו בכך שמדובר בבעיה שכבר טופלה </w:t>
      </w:r>
      <w:r>
        <w:rPr>
          <w:rFonts w:cs="David"/>
          <w:szCs w:val="24"/>
          <w:rtl/>
        </w:rPr>
        <w:t>–</w:t>
      </w:r>
      <w:r>
        <w:rPr>
          <w:rFonts w:cs="David" w:hint="cs"/>
          <w:szCs w:val="24"/>
          <w:rtl/>
        </w:rPr>
        <w:t xml:space="preserve"> לפחות מבחינת המשך כניסת המהגרים הלא חוקיים. הוא קובע שהחוק שולל את הזכות לחירות </w:t>
      </w:r>
      <w:r>
        <w:rPr>
          <w:rFonts w:cs="David"/>
          <w:szCs w:val="24"/>
          <w:rtl/>
        </w:rPr>
        <w:t>–</w:t>
      </w:r>
      <w:r>
        <w:rPr>
          <w:rFonts w:cs="David" w:hint="cs"/>
          <w:szCs w:val="24"/>
          <w:rtl/>
        </w:rPr>
        <w:t xml:space="preserve"> וזו פגיעה אנושה בזכויות האדם של המהגרים. השאלה היא האם המטרה היא ראויה. </w:t>
      </w:r>
    </w:p>
    <w:p w:rsidR="002B2CB2" w:rsidRDefault="002B2CB2" w:rsidP="002B2CB2">
      <w:pPr>
        <w:spacing w:line="360" w:lineRule="auto"/>
        <w:rPr>
          <w:rFonts w:cs="David" w:hint="cs"/>
          <w:szCs w:val="24"/>
          <w:rtl/>
        </w:rPr>
      </w:pPr>
      <w:r>
        <w:rPr>
          <w:rFonts w:cs="David" w:hint="cs"/>
          <w:szCs w:val="24"/>
          <w:rtl/>
        </w:rPr>
        <w:t xml:space="preserve">מטרות החוק, לפי העותרים, הנן עידוד יציאה מרצון, והרתעת מהגרים נוספים מהגעה לארץ. המדינה, לעומת זאת, טענה שהפגיעה בזכויות היא ראויה שכן המטרה של החוק היא לתת למהגרים תנאי מחייה מינימאליים. </w:t>
      </w:r>
    </w:p>
    <w:p w:rsidR="002B2CB2" w:rsidRDefault="002B2CB2" w:rsidP="002B2CB2">
      <w:pPr>
        <w:spacing w:line="360" w:lineRule="auto"/>
        <w:rPr>
          <w:rFonts w:cs="David" w:hint="cs"/>
          <w:szCs w:val="24"/>
          <w:rtl/>
        </w:rPr>
      </w:pPr>
      <w:r>
        <w:rPr>
          <w:rFonts w:cs="David" w:hint="cs"/>
          <w:szCs w:val="24"/>
          <w:rtl/>
        </w:rPr>
        <w:t xml:space="preserve">בית המשפט קיבל את עמדת העותרים לגבי המטרות, וטען שאלו מטרות בעייתיות מאוד. למרות זאת, בית המשפט לא רצה לפסוק אם התכלית היא ראויה, והשאיר את הסוגיה פתוחה. </w:t>
      </w:r>
      <w:r w:rsidR="002D252B">
        <w:rPr>
          <w:rFonts w:cs="David" w:hint="cs"/>
          <w:szCs w:val="24"/>
          <w:rtl/>
        </w:rPr>
        <w:t xml:space="preserve">זאת מאחר שלטעמו החוק ממילא אינו מידתי. </w:t>
      </w:r>
    </w:p>
    <w:p w:rsidR="002D252B" w:rsidRDefault="002D252B" w:rsidP="002B2CB2">
      <w:pPr>
        <w:spacing w:line="360" w:lineRule="auto"/>
        <w:rPr>
          <w:rFonts w:cs="David" w:hint="cs"/>
          <w:szCs w:val="24"/>
          <w:rtl/>
        </w:rPr>
      </w:pPr>
      <w:r>
        <w:rPr>
          <w:rFonts w:cs="David" w:hint="cs"/>
          <w:szCs w:val="24"/>
          <w:rtl/>
        </w:rPr>
        <w:t xml:space="preserve">המידתיות נבדקה, לפי בית המשפט, לפי השאלה אם האמצעי שנבחר תואם את התכלית מבחינת רמת הפגיעה </w:t>
      </w:r>
      <w:r>
        <w:rPr>
          <w:rFonts w:cs="David"/>
          <w:szCs w:val="24"/>
          <w:rtl/>
        </w:rPr>
        <w:t>–</w:t>
      </w:r>
      <w:r>
        <w:rPr>
          <w:rFonts w:cs="David" w:hint="cs"/>
          <w:szCs w:val="24"/>
          <w:rtl/>
        </w:rPr>
        <w:t xml:space="preserve"> ועשה זאת לפי השוואה לאמצעים שנבחרו במדינות אחרות </w:t>
      </w:r>
      <w:r>
        <w:rPr>
          <w:rFonts w:cs="David"/>
          <w:szCs w:val="24"/>
          <w:rtl/>
        </w:rPr>
        <w:t>–</w:t>
      </w:r>
      <w:r>
        <w:rPr>
          <w:rFonts w:cs="David" w:hint="cs"/>
          <w:szCs w:val="24"/>
          <w:rtl/>
        </w:rPr>
        <w:t xml:space="preserve"> והראה ששם הם הרבה יותר סבירים. </w:t>
      </w:r>
    </w:p>
    <w:p w:rsidR="002B2CB2" w:rsidRDefault="002B2CB2" w:rsidP="008337FA">
      <w:pPr>
        <w:spacing w:line="360" w:lineRule="auto"/>
        <w:rPr>
          <w:rFonts w:cs="David" w:hint="cs"/>
          <w:szCs w:val="24"/>
          <w:rtl/>
        </w:rPr>
      </w:pPr>
      <w:r>
        <w:rPr>
          <w:rFonts w:cs="David" w:hint="cs"/>
          <w:szCs w:val="24"/>
          <w:rtl/>
        </w:rPr>
        <w:t>הכנסת קיבלה את ההחלטה באופן קשה מאוד</w:t>
      </w:r>
      <w:r w:rsidR="002D252B">
        <w:rPr>
          <w:rFonts w:cs="David" w:hint="cs"/>
          <w:szCs w:val="24"/>
          <w:rtl/>
        </w:rPr>
        <w:t xml:space="preserve"> </w:t>
      </w:r>
      <w:r w:rsidR="00E605EB">
        <w:rPr>
          <w:rFonts w:cs="David"/>
          <w:szCs w:val="24"/>
          <w:rtl/>
        </w:rPr>
        <w:t>–</w:t>
      </w:r>
      <w:r w:rsidR="002D252B">
        <w:rPr>
          <w:rFonts w:cs="David" w:hint="cs"/>
          <w:szCs w:val="24"/>
          <w:rtl/>
        </w:rPr>
        <w:t xml:space="preserve"> </w:t>
      </w:r>
      <w:r w:rsidR="00E605EB">
        <w:rPr>
          <w:rFonts w:cs="David" w:hint="cs"/>
          <w:szCs w:val="24"/>
          <w:rtl/>
        </w:rPr>
        <w:t xml:space="preserve">והפתרון שהוצע עתה אינו עוסק בחוק ובסוגיית המסתננים, אלא ב"בעיית בג"צ". </w:t>
      </w:r>
    </w:p>
    <w:p w:rsidR="00E605EB" w:rsidRPr="00E605EB" w:rsidRDefault="00E605EB" w:rsidP="008337FA">
      <w:pPr>
        <w:spacing w:line="360" w:lineRule="auto"/>
        <w:rPr>
          <w:rFonts w:cs="David" w:hint="cs"/>
          <w:szCs w:val="24"/>
          <w:u w:val="single"/>
          <w:rtl/>
        </w:rPr>
      </w:pPr>
      <w:r w:rsidRPr="00E605EB">
        <w:rPr>
          <w:rFonts w:cs="David" w:hint="cs"/>
          <w:szCs w:val="24"/>
          <w:u w:val="single"/>
          <w:rtl/>
        </w:rPr>
        <w:t>ההצעה:</w:t>
      </w:r>
    </w:p>
    <w:p w:rsidR="00E605EB" w:rsidRDefault="00E605EB" w:rsidP="008337FA">
      <w:pPr>
        <w:spacing w:line="360" w:lineRule="auto"/>
        <w:rPr>
          <w:rFonts w:cs="David" w:hint="cs"/>
          <w:szCs w:val="24"/>
          <w:rtl/>
        </w:rPr>
      </w:pPr>
      <w:r>
        <w:rPr>
          <w:rFonts w:cs="David" w:hint="cs"/>
          <w:szCs w:val="24"/>
          <w:rtl/>
        </w:rPr>
        <w:t xml:space="preserve">חוק יסוד כבוד האדם וחוק יסוד חופש העיסוק מנוסחים באותו אופן לגבי התנאים שבהם מותר לפגוע בחופש. </w:t>
      </w:r>
    </w:p>
    <w:p w:rsidR="00E605EB" w:rsidRDefault="00E605EB" w:rsidP="008337FA">
      <w:pPr>
        <w:spacing w:line="360" w:lineRule="auto"/>
        <w:rPr>
          <w:rFonts w:cs="David" w:hint="cs"/>
          <w:szCs w:val="24"/>
          <w:rtl/>
        </w:rPr>
      </w:pPr>
      <w:r>
        <w:rPr>
          <w:rFonts w:cs="David" w:hint="cs"/>
          <w:szCs w:val="24"/>
          <w:rtl/>
        </w:rPr>
        <w:t xml:space="preserve">ב-1994, במסגרת חקיקת חוק הבשר, הכנסת תיקנה את חוק יסוד: חופש העיסוק, וקבע כי חוק רע, שאינו לתכלית ראויה ואינו מידתי יהיה תקף אם יחוקק לארבע שנים וברוב של 61 ח"כים. זו </w:t>
      </w:r>
      <w:r w:rsidRPr="00E605EB">
        <w:rPr>
          <w:rFonts w:cs="David" w:hint="cs"/>
          <w:szCs w:val="24"/>
          <w:u w:val="single"/>
          <w:rtl/>
        </w:rPr>
        <w:t>פסקת ההתגברות</w:t>
      </w:r>
      <w:r>
        <w:rPr>
          <w:rFonts w:cs="David" w:hint="cs"/>
          <w:szCs w:val="24"/>
          <w:rtl/>
        </w:rPr>
        <w:t xml:space="preserve">, שנלקחה מהחוקה הקנדית. פסקה זו </w:t>
      </w:r>
      <w:proofErr w:type="spellStart"/>
      <w:r>
        <w:rPr>
          <w:rFonts w:cs="David" w:hint="cs"/>
          <w:szCs w:val="24"/>
          <w:rtl/>
        </w:rPr>
        <w:t>איפשרה</w:t>
      </w:r>
      <w:proofErr w:type="spellEnd"/>
      <w:r>
        <w:rPr>
          <w:rFonts w:cs="David" w:hint="cs"/>
          <w:szCs w:val="24"/>
          <w:rtl/>
        </w:rPr>
        <w:t xml:space="preserve"> לחוקק את חוק הבשר.</w:t>
      </w:r>
    </w:p>
    <w:p w:rsidR="00E605EB" w:rsidRDefault="00E605EB" w:rsidP="008337FA">
      <w:pPr>
        <w:spacing w:line="360" w:lineRule="auto"/>
        <w:rPr>
          <w:rFonts w:cs="David" w:hint="cs"/>
          <w:szCs w:val="24"/>
          <w:rtl/>
        </w:rPr>
      </w:pPr>
      <w:r>
        <w:rPr>
          <w:rFonts w:cs="David" w:hint="cs"/>
          <w:szCs w:val="24"/>
          <w:rtl/>
        </w:rPr>
        <w:lastRenderedPageBreak/>
        <w:t xml:space="preserve">הצעת איילת שקד היא להוסיף את פסקת ההתגברות גם לחוק יסוד: כבוד האדם וחירותו. </w:t>
      </w:r>
    </w:p>
    <w:p w:rsidR="00E605EB" w:rsidRDefault="00E605EB" w:rsidP="008337FA">
      <w:pPr>
        <w:spacing w:line="360" w:lineRule="auto"/>
        <w:rPr>
          <w:rFonts w:cs="David" w:hint="cs"/>
          <w:szCs w:val="24"/>
          <w:rtl/>
        </w:rPr>
      </w:pPr>
      <w:r>
        <w:rPr>
          <w:rFonts w:cs="David" w:hint="cs"/>
          <w:szCs w:val="24"/>
          <w:rtl/>
        </w:rPr>
        <w:t xml:space="preserve">זו המהות של חוק עוקף בג"צ ותכליתו היא למנוע מבג"צ לבטל את חוק ההסתננות בפעם השלישית, שכן יהיה מוגבל על ידי פסקת ההתגברות. </w:t>
      </w:r>
    </w:p>
    <w:p w:rsidR="00BE5A7D" w:rsidRDefault="00BE5A7D" w:rsidP="009003B0">
      <w:pPr>
        <w:spacing w:line="360" w:lineRule="auto"/>
        <w:rPr>
          <w:rFonts w:cs="David" w:hint="cs"/>
          <w:szCs w:val="24"/>
          <w:rtl/>
        </w:rPr>
      </w:pPr>
      <w:r>
        <w:rPr>
          <w:rFonts w:cs="David" w:hint="cs"/>
          <w:szCs w:val="24"/>
          <w:rtl/>
        </w:rPr>
        <w:t>הבעייתיות היא שחוק יסוד: כבוד האדם וחירותו הינו חוק הרבה יותר רחב ומשמעותי בהגנה על זכויות האדם בישראל</w:t>
      </w:r>
      <w:r w:rsidR="009003B0">
        <w:rPr>
          <w:rFonts w:cs="David" w:hint="cs"/>
          <w:szCs w:val="24"/>
          <w:rtl/>
        </w:rPr>
        <w:t xml:space="preserve"> מאשר חוק יסוד: חופש העיסוק</w:t>
      </w:r>
      <w:r>
        <w:rPr>
          <w:rFonts w:cs="David" w:hint="cs"/>
          <w:szCs w:val="24"/>
          <w:rtl/>
        </w:rPr>
        <w:t>,</w:t>
      </w:r>
      <w:r w:rsidR="009003B0">
        <w:rPr>
          <w:rFonts w:cs="David" w:hint="cs"/>
          <w:szCs w:val="24"/>
          <w:rtl/>
        </w:rPr>
        <w:t xml:space="preserve"> ולכן הגבלתו תאפשר פגיעה הרבה יותר רחבה בזכויות האדם. </w:t>
      </w:r>
    </w:p>
    <w:p w:rsidR="00BE5A7D" w:rsidRDefault="00BE5A7D" w:rsidP="008337FA">
      <w:pPr>
        <w:spacing w:line="360" w:lineRule="auto"/>
        <w:rPr>
          <w:rFonts w:cs="David" w:hint="cs"/>
          <w:szCs w:val="24"/>
          <w:rtl/>
        </w:rPr>
      </w:pPr>
      <w:r>
        <w:rPr>
          <w:rFonts w:cs="David" w:hint="cs"/>
          <w:szCs w:val="24"/>
          <w:rtl/>
        </w:rPr>
        <w:t xml:space="preserve">פתרון אפשרי </w:t>
      </w:r>
      <w:r>
        <w:rPr>
          <w:rFonts w:cs="David"/>
          <w:szCs w:val="24"/>
          <w:rtl/>
        </w:rPr>
        <w:t>–</w:t>
      </w:r>
      <w:r>
        <w:rPr>
          <w:rFonts w:cs="David" w:hint="cs"/>
          <w:szCs w:val="24"/>
          <w:rtl/>
        </w:rPr>
        <w:t xml:space="preserve"> החלת פסקת התגברות שמחייבת רוב גדול יותר מהרוב הקואליציוני הרגיל. דבר זה יאפשר להגביל פגיעות דרמטיות בזכויות האדם למקרים שבהם יש קונצנזוס אמיתי. </w:t>
      </w:r>
    </w:p>
    <w:p w:rsidR="009003B0" w:rsidRPr="009003B0" w:rsidRDefault="009003B0" w:rsidP="008337FA">
      <w:pPr>
        <w:spacing w:line="360" w:lineRule="auto"/>
        <w:rPr>
          <w:rFonts w:cs="David" w:hint="cs"/>
          <w:b/>
          <w:bCs/>
          <w:szCs w:val="24"/>
          <w:u w:val="single"/>
          <w:rtl/>
        </w:rPr>
      </w:pPr>
      <w:r w:rsidRPr="009003B0">
        <w:rPr>
          <w:rFonts w:cs="David" w:hint="cs"/>
          <w:b/>
          <w:bCs/>
          <w:szCs w:val="24"/>
          <w:u w:val="single"/>
          <w:rtl/>
        </w:rPr>
        <w:t>חוק ישראל היום</w:t>
      </w:r>
    </w:p>
    <w:p w:rsidR="00793746" w:rsidRDefault="009003B0" w:rsidP="009003B0">
      <w:pPr>
        <w:spacing w:line="360" w:lineRule="auto"/>
        <w:rPr>
          <w:rFonts w:cs="David" w:hint="cs"/>
          <w:szCs w:val="24"/>
          <w:rtl/>
        </w:rPr>
      </w:pPr>
      <w:r>
        <w:rPr>
          <w:rFonts w:cs="David" w:hint="cs"/>
          <w:szCs w:val="24"/>
          <w:rtl/>
        </w:rPr>
        <w:t xml:space="preserve">החוק מכונה "החוק להגנה וקידום העיתונות הכתובה בישראל". </w:t>
      </w:r>
    </w:p>
    <w:p w:rsidR="009003B0" w:rsidRDefault="009003B0" w:rsidP="009003B0">
      <w:pPr>
        <w:spacing w:line="360" w:lineRule="auto"/>
        <w:rPr>
          <w:rFonts w:cs="David" w:hint="cs"/>
          <w:szCs w:val="24"/>
          <w:rtl/>
        </w:rPr>
      </w:pPr>
      <w:r>
        <w:rPr>
          <w:rFonts w:cs="David" w:hint="cs"/>
          <w:szCs w:val="24"/>
          <w:rtl/>
        </w:rPr>
        <w:t xml:space="preserve">על מנת להגן על משהו, צריך להוכיח שהוא נמצא בסכנה </w:t>
      </w:r>
      <w:r>
        <w:rPr>
          <w:rFonts w:cs="David"/>
          <w:szCs w:val="24"/>
          <w:rtl/>
        </w:rPr>
        <w:t>–</w:t>
      </w:r>
      <w:r>
        <w:rPr>
          <w:rFonts w:cs="David" w:hint="cs"/>
          <w:szCs w:val="24"/>
          <w:rtl/>
        </w:rPr>
        <w:t xml:space="preserve"> מה שלא ממש נעשה. </w:t>
      </w:r>
    </w:p>
    <w:p w:rsidR="009003B0" w:rsidRDefault="009003B0" w:rsidP="009003B0">
      <w:pPr>
        <w:spacing w:line="360" w:lineRule="auto"/>
        <w:rPr>
          <w:rFonts w:cs="David" w:hint="cs"/>
          <w:szCs w:val="24"/>
          <w:rtl/>
        </w:rPr>
      </w:pPr>
      <w:r>
        <w:rPr>
          <w:rFonts w:cs="David" w:hint="cs"/>
          <w:szCs w:val="24"/>
          <w:rtl/>
        </w:rPr>
        <w:t xml:space="preserve">בנוסף - חוק אמור להיות כללי ולא פרסונאלי. </w:t>
      </w:r>
    </w:p>
    <w:p w:rsidR="009003B0" w:rsidRDefault="009003B0" w:rsidP="009003B0">
      <w:pPr>
        <w:spacing w:line="360" w:lineRule="auto"/>
        <w:rPr>
          <w:rFonts w:cs="David" w:hint="cs"/>
          <w:szCs w:val="24"/>
          <w:rtl/>
        </w:rPr>
      </w:pPr>
      <w:r>
        <w:rPr>
          <w:rFonts w:cs="David" w:hint="cs"/>
          <w:szCs w:val="24"/>
          <w:rtl/>
        </w:rPr>
        <w:t xml:space="preserve">החוק קובע שאדם לא יוציא לאור ולא יפיץ עיתון יומי, בעל תפוצה רחבה, חינם. </w:t>
      </w:r>
    </w:p>
    <w:p w:rsidR="009003B0" w:rsidRDefault="009003B0" w:rsidP="009003B0">
      <w:pPr>
        <w:spacing w:line="360" w:lineRule="auto"/>
        <w:rPr>
          <w:rFonts w:cs="David" w:hint="cs"/>
          <w:szCs w:val="24"/>
          <w:rtl/>
        </w:rPr>
      </w:pPr>
      <w:r>
        <w:rPr>
          <w:rFonts w:cs="David" w:hint="cs"/>
          <w:szCs w:val="24"/>
          <w:rtl/>
        </w:rPr>
        <w:t>שאר סעיפי החוק עוסקים בעונשים הנקבעים, ולכך נוסף סעיף הגדרות. לפי סעיף ההגדרות עיתון יומי הנו עיתון היוצא לאור שישה ימים בשבוע לפחות ולו לפחות 30 עמודים בימי השבוע ולפחות 100 עמודים בסוף שבוע; בעל תפוצה רחבה מוגדר כ"אחד מארבעת העיתונים היומיים בעלי התפוצה הרחבה ביותר"</w:t>
      </w:r>
      <w:r w:rsidR="00506222">
        <w:rPr>
          <w:rFonts w:cs="David" w:hint="cs"/>
          <w:szCs w:val="24"/>
          <w:rtl/>
        </w:rPr>
        <w:t xml:space="preserve">; ובחינם מוגדר  "לרבות תמורה סמלית </w:t>
      </w:r>
      <w:r w:rsidR="00506222">
        <w:rPr>
          <w:rFonts w:cs="David"/>
          <w:szCs w:val="24"/>
          <w:rtl/>
        </w:rPr>
        <w:t>–</w:t>
      </w:r>
      <w:r w:rsidR="00506222">
        <w:rPr>
          <w:rFonts w:cs="David" w:hint="cs"/>
          <w:szCs w:val="24"/>
          <w:rtl/>
        </w:rPr>
        <w:t xml:space="preserve"> פחות משבעים אחוזים ממחיר המתחרים". </w:t>
      </w:r>
    </w:p>
    <w:p w:rsidR="00506222" w:rsidRPr="00506222" w:rsidRDefault="00506222" w:rsidP="009003B0">
      <w:pPr>
        <w:spacing w:line="360" w:lineRule="auto"/>
        <w:rPr>
          <w:rFonts w:cs="David" w:hint="cs"/>
          <w:szCs w:val="24"/>
          <w:u w:val="single"/>
          <w:rtl/>
        </w:rPr>
      </w:pPr>
      <w:r w:rsidRPr="00506222">
        <w:rPr>
          <w:rFonts w:cs="David" w:hint="cs"/>
          <w:szCs w:val="24"/>
          <w:u w:val="single"/>
          <w:rtl/>
        </w:rPr>
        <w:t>ניתוח החוק:</w:t>
      </w:r>
    </w:p>
    <w:p w:rsidR="00506222" w:rsidRDefault="00506222" w:rsidP="00506222">
      <w:pPr>
        <w:spacing w:line="360" w:lineRule="auto"/>
        <w:rPr>
          <w:rFonts w:cs="David" w:hint="cs"/>
          <w:szCs w:val="24"/>
          <w:rtl/>
        </w:rPr>
      </w:pPr>
      <w:r w:rsidRPr="00506222">
        <w:rPr>
          <w:rFonts w:cs="David" w:hint="cs"/>
          <w:b/>
          <w:bCs/>
          <w:szCs w:val="24"/>
          <w:rtl/>
        </w:rPr>
        <w:t>האם החוק פוגע בזכויות האדם?</w:t>
      </w:r>
      <w:r>
        <w:rPr>
          <w:rFonts w:cs="David" w:hint="cs"/>
          <w:szCs w:val="24"/>
          <w:rtl/>
        </w:rPr>
        <w:t xml:space="preserve"> החוק פוגע בחופש העיסוק וחופש הקניין של בעליו, בחופש הביטוי של כותביו, בזכות הקוראים לקבל מידע, ולכן בחופש העיתונות. בנוסף, הוא פוגע בעקרון השוויון </w:t>
      </w:r>
      <w:r w:rsidR="007A2C68">
        <w:rPr>
          <w:rFonts w:cs="David" w:hint="cs"/>
          <w:szCs w:val="24"/>
          <w:rtl/>
        </w:rPr>
        <w:t xml:space="preserve">- </w:t>
      </w:r>
      <w:r>
        <w:rPr>
          <w:rFonts w:cs="David" w:hint="cs"/>
          <w:szCs w:val="24"/>
          <w:rtl/>
        </w:rPr>
        <w:t xml:space="preserve">מול עיתונים אחרים הניתנים בחינם. </w:t>
      </w:r>
    </w:p>
    <w:p w:rsidR="00506222" w:rsidRDefault="00506222" w:rsidP="00506222">
      <w:pPr>
        <w:spacing w:line="360" w:lineRule="auto"/>
        <w:rPr>
          <w:rFonts w:cs="David" w:hint="cs"/>
          <w:szCs w:val="24"/>
          <w:rtl/>
        </w:rPr>
      </w:pPr>
      <w:r w:rsidRPr="00506222">
        <w:rPr>
          <w:rFonts w:cs="David" w:hint="cs"/>
          <w:b/>
          <w:bCs/>
          <w:szCs w:val="24"/>
          <w:rtl/>
        </w:rPr>
        <w:t>האם המטרה ראויה?</w:t>
      </w:r>
      <w:r>
        <w:rPr>
          <w:rFonts w:cs="David" w:hint="cs"/>
          <w:b/>
          <w:bCs/>
          <w:szCs w:val="24"/>
          <w:rtl/>
        </w:rPr>
        <w:t xml:space="preserve"> </w:t>
      </w:r>
      <w:r>
        <w:rPr>
          <w:rFonts w:cs="David" w:hint="cs"/>
          <w:szCs w:val="24"/>
          <w:rtl/>
        </w:rPr>
        <w:t xml:space="preserve">אם המטרה היא להגן על עובדי העיתונים האחרים, הרי שהגנה זו נעשית על חשבונם של עובדי העיתון, ולכן היא לא ראויה. אם המטרה היא לסגור את ישראל היום, מדובר במטרה פרסונאלית </w:t>
      </w:r>
      <w:r>
        <w:rPr>
          <w:rFonts w:cs="David"/>
          <w:szCs w:val="24"/>
          <w:rtl/>
        </w:rPr>
        <w:t>–</w:t>
      </w:r>
      <w:r>
        <w:rPr>
          <w:rFonts w:cs="David" w:hint="cs"/>
          <w:szCs w:val="24"/>
          <w:rtl/>
        </w:rPr>
        <w:t xml:space="preserve"> ובוודאי שהיא אינה ראויה</w:t>
      </w:r>
      <w:r w:rsidR="007A2C68">
        <w:rPr>
          <w:rFonts w:cs="David" w:hint="cs"/>
          <w:szCs w:val="24"/>
          <w:rtl/>
        </w:rPr>
        <w:t xml:space="preserve">. עקרון זה נקבע כאשר המדינה רצתה לאפשר לערוץ 7 לקבל </w:t>
      </w:r>
      <w:proofErr w:type="spellStart"/>
      <w:r w:rsidR="007A2C68">
        <w:rPr>
          <w:rFonts w:cs="David" w:hint="cs"/>
          <w:szCs w:val="24"/>
          <w:rtl/>
        </w:rPr>
        <w:t>רשיון</w:t>
      </w:r>
      <w:proofErr w:type="spellEnd"/>
      <w:r w:rsidR="007A2C68">
        <w:rPr>
          <w:rFonts w:cs="David" w:hint="cs"/>
          <w:szCs w:val="24"/>
          <w:rtl/>
        </w:rPr>
        <w:t xml:space="preserve"> שידור, על ידי חקיקת חוק הקובע התחנה ששידרה הכי הרבה זמן בניגוד לחוק תקבל </w:t>
      </w:r>
      <w:proofErr w:type="spellStart"/>
      <w:r w:rsidR="007A2C68">
        <w:rPr>
          <w:rFonts w:cs="David" w:hint="cs"/>
          <w:szCs w:val="24"/>
          <w:rtl/>
        </w:rPr>
        <w:t>רשיון</w:t>
      </w:r>
      <w:proofErr w:type="spellEnd"/>
      <w:r w:rsidR="007A2C68">
        <w:rPr>
          <w:rFonts w:cs="David" w:hint="cs"/>
          <w:szCs w:val="24"/>
          <w:rtl/>
        </w:rPr>
        <w:t xml:space="preserve">. בג"צ ביטל את החוק (פס"ד אורון) בטענה שהוא פרסונאלי. </w:t>
      </w:r>
    </w:p>
    <w:p w:rsidR="007A2C68" w:rsidRDefault="007A2C68" w:rsidP="00506222">
      <w:pPr>
        <w:spacing w:line="360" w:lineRule="auto"/>
        <w:rPr>
          <w:rFonts w:cs="David" w:hint="cs"/>
          <w:szCs w:val="24"/>
          <w:rtl/>
        </w:rPr>
      </w:pPr>
      <w:r>
        <w:rPr>
          <w:rFonts w:cs="David" w:hint="cs"/>
          <w:szCs w:val="24"/>
          <w:rtl/>
        </w:rPr>
        <w:t xml:space="preserve">בדיקה משווה </w:t>
      </w:r>
      <w:r>
        <w:rPr>
          <w:rFonts w:cs="David"/>
          <w:szCs w:val="24"/>
          <w:rtl/>
        </w:rPr>
        <w:t>–</w:t>
      </w:r>
      <w:r>
        <w:rPr>
          <w:rFonts w:cs="David" w:hint="cs"/>
          <w:szCs w:val="24"/>
          <w:rtl/>
        </w:rPr>
        <w:t xml:space="preserve"> מדינות אחרות שהחליטו להגן על העיתונות הכתובה עשו זאת על ידי מתן סיוע </w:t>
      </w:r>
      <w:r>
        <w:rPr>
          <w:rFonts w:cs="David"/>
          <w:szCs w:val="24"/>
          <w:rtl/>
        </w:rPr>
        <w:t>–</w:t>
      </w:r>
      <w:r>
        <w:rPr>
          <w:rFonts w:cs="David" w:hint="cs"/>
          <w:szCs w:val="24"/>
          <w:rtl/>
        </w:rPr>
        <w:t xml:space="preserve"> תמריצי מס ועזרה כלכלית, ובשום מקום לא נמצא חוק הפוסל עיתון חינמי. מה שהמדינה עושה היא שקידום העיתונות הכתובה יהיה במימון האזרחים. </w:t>
      </w:r>
    </w:p>
    <w:p w:rsidR="007A2C68" w:rsidRPr="00506222" w:rsidRDefault="007A2C68" w:rsidP="00506222">
      <w:pPr>
        <w:spacing w:line="360" w:lineRule="auto"/>
        <w:rPr>
          <w:rFonts w:cs="David" w:hint="cs"/>
          <w:szCs w:val="24"/>
          <w:rtl/>
        </w:rPr>
      </w:pPr>
      <w:r>
        <w:rPr>
          <w:rFonts w:cs="David" w:hint="cs"/>
          <w:szCs w:val="24"/>
          <w:rtl/>
        </w:rPr>
        <w:lastRenderedPageBreak/>
        <w:t xml:space="preserve">משפט אולמרט </w:t>
      </w:r>
      <w:r>
        <w:rPr>
          <w:rFonts w:cs="David"/>
          <w:szCs w:val="24"/>
          <w:rtl/>
        </w:rPr>
        <w:t>–</w:t>
      </w:r>
      <w:r>
        <w:rPr>
          <w:rFonts w:cs="David" w:hint="cs"/>
          <w:szCs w:val="24"/>
          <w:rtl/>
        </w:rPr>
        <w:t xml:space="preserve"> פרשת </w:t>
      </w:r>
      <w:proofErr w:type="spellStart"/>
      <w:r>
        <w:rPr>
          <w:rFonts w:cs="David" w:hint="cs"/>
          <w:szCs w:val="24"/>
          <w:rtl/>
        </w:rPr>
        <w:t>טלנסקי</w:t>
      </w:r>
      <w:proofErr w:type="spellEnd"/>
      <w:r>
        <w:rPr>
          <w:rFonts w:cs="David" w:hint="cs"/>
          <w:szCs w:val="24"/>
          <w:rtl/>
        </w:rPr>
        <w:t xml:space="preserve"> היא אחת מארבעה תיקים שנוהלו מול אולמרט. בית המשפט המחוזי זיכה את אולמרט בפרשה זו. על הזיכוי הוגש ערעור לביהמ"ש העליון, שכן הזיכוי קובע נורמות מסוכנות מאוד. במהלך הזמן שנדרש הדיון בערעור שולה זקן חתמה על הסכם עדת מדינה. המדינה ביקשה, באופן תקדימי, לשמוע עדויות חדשות במסגרת הערעור ובמסגרתן להביא את הקלטות לבית המשפט. מהלך כזה שמרע את מצבו של הנאשם הנו מאוד לא מקובל, ובית המשפט ישב בהרכב של חמישה שופטים ושמע את הקלטות, ולכן החליט בתמימות דעים להחזיר את התיק למחוזי, כדי </w:t>
      </w:r>
      <w:proofErr w:type="spellStart"/>
      <w:r>
        <w:rPr>
          <w:rFonts w:cs="David" w:hint="cs"/>
          <w:szCs w:val="24"/>
          <w:rtl/>
        </w:rPr>
        <w:t>שיתן</w:t>
      </w:r>
      <w:proofErr w:type="spellEnd"/>
      <w:r>
        <w:rPr>
          <w:rFonts w:cs="David" w:hint="cs"/>
          <w:szCs w:val="24"/>
          <w:rtl/>
        </w:rPr>
        <w:t xml:space="preserve"> פס"ד משלים. </w:t>
      </w:r>
    </w:p>
    <w:p w:rsidR="00506222" w:rsidRDefault="00506222" w:rsidP="00506222">
      <w:pPr>
        <w:spacing w:line="360" w:lineRule="auto"/>
        <w:rPr>
          <w:rFonts w:cs="David" w:hint="cs"/>
          <w:szCs w:val="24"/>
          <w:rtl/>
        </w:rPr>
      </w:pPr>
    </w:p>
    <w:p w:rsidR="001971AE" w:rsidRPr="00265C47" w:rsidRDefault="001971AE" w:rsidP="001971AE">
      <w:pPr>
        <w:spacing w:line="360" w:lineRule="auto"/>
        <w:rPr>
          <w:rFonts w:cs="David" w:hint="cs"/>
          <w:szCs w:val="24"/>
          <w:rtl/>
        </w:rPr>
      </w:pPr>
    </w:p>
    <w:p w:rsidR="007E1D5B" w:rsidRPr="007E1D5B" w:rsidRDefault="007E1D5B" w:rsidP="00A772CE">
      <w:pPr>
        <w:spacing w:line="360" w:lineRule="auto"/>
        <w:rPr>
          <w:rFonts w:cs="David"/>
          <w:szCs w:val="24"/>
          <w:rtl/>
        </w:rPr>
      </w:pPr>
    </w:p>
    <w:sectPr w:rsidR="007E1D5B" w:rsidRPr="007E1D5B" w:rsidSect="00C23C1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D3" w:rsidRDefault="00650BD3" w:rsidP="004C3965">
      <w:pPr>
        <w:spacing w:after="0" w:line="240" w:lineRule="auto"/>
      </w:pPr>
      <w:r>
        <w:separator/>
      </w:r>
    </w:p>
  </w:endnote>
  <w:endnote w:type="continuationSeparator" w:id="0">
    <w:p w:rsidR="00650BD3" w:rsidRDefault="00650BD3"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BD3" w:rsidRDefault="00650BD3" w:rsidP="004C3965">
      <w:pPr>
        <w:spacing w:after="0" w:line="240" w:lineRule="auto"/>
      </w:pPr>
      <w:r>
        <w:separator/>
      </w:r>
    </w:p>
  </w:footnote>
  <w:footnote w:type="continuationSeparator" w:id="0">
    <w:p w:rsidR="00650BD3" w:rsidRDefault="00650BD3"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1C21BD">
    <w:pPr>
      <w:jc w:val="center"/>
      <w:rPr>
        <w:rFonts w:cs="David"/>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proofErr w:type="spellStart"/>
    <w:r>
      <w:rPr>
        <w:rFonts w:cs="David" w:hint="cs"/>
        <w:sz w:val="24"/>
        <w:szCs w:val="24"/>
        <w:rtl/>
      </w:rPr>
      <w:t>פרופ</w:t>
    </w:r>
    <w:proofErr w:type="spellEnd"/>
    <w:r>
      <w:rPr>
        <w:rFonts w:cs="David" w:hint="cs"/>
        <w:sz w:val="24"/>
        <w:szCs w:val="24"/>
        <w:rtl/>
      </w:rPr>
      <w:t xml:space="preserve">' סוזי נבות, שיעור </w:t>
    </w:r>
    <w:r w:rsidR="00D56B40">
      <w:rPr>
        <w:rFonts w:cs="David" w:hint="cs"/>
        <w:sz w:val="24"/>
        <w:szCs w:val="24"/>
        <w:rtl/>
      </w:rPr>
      <w:t xml:space="preserve">8, </w:t>
    </w:r>
    <w:r w:rsidR="001C21BD">
      <w:rPr>
        <w:rFonts w:cs="David" w:hint="cs"/>
        <w:sz w:val="24"/>
        <w:szCs w:val="24"/>
        <w:rtl/>
      </w:rPr>
      <w:t>5.11</w:t>
    </w:r>
    <w:r w:rsidR="001A421A">
      <w:rPr>
        <w:rFonts w:cs="David" w:hint="cs"/>
        <w:sz w:val="24"/>
        <w:szCs w:val="24"/>
        <w:rtl/>
      </w:rPr>
      <w:t>.14</w:t>
    </w:r>
  </w:p>
  <w:p w:rsidR="004C3965" w:rsidRDefault="004C3965" w:rsidP="004C3965">
    <w:pPr>
      <w:pStyle w:val="a3"/>
    </w:pPr>
  </w:p>
  <w:p w:rsidR="004C3965" w:rsidRDefault="004C39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E79"/>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A3D"/>
    <w:multiLevelType w:val="hybridMultilevel"/>
    <w:tmpl w:val="FFD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93C31"/>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773B3"/>
    <w:multiLevelType w:val="hybridMultilevel"/>
    <w:tmpl w:val="B8C2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75F72"/>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76537"/>
    <w:multiLevelType w:val="hybridMultilevel"/>
    <w:tmpl w:val="8B2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4844"/>
    <w:multiLevelType w:val="hybridMultilevel"/>
    <w:tmpl w:val="0996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7C0FA3"/>
    <w:multiLevelType w:val="hybridMultilevel"/>
    <w:tmpl w:val="2DEE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33FBB"/>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92645"/>
    <w:multiLevelType w:val="hybridMultilevel"/>
    <w:tmpl w:val="A2B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750B8"/>
    <w:multiLevelType w:val="hybridMultilevel"/>
    <w:tmpl w:val="C11C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10"/>
  </w:num>
  <w:num w:numId="6">
    <w:abstractNumId w:val="7"/>
  </w:num>
  <w:num w:numId="7">
    <w:abstractNumId w:val="4"/>
  </w:num>
  <w:num w:numId="8">
    <w:abstractNumId w:val="0"/>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C3965"/>
    <w:rsid w:val="000423E2"/>
    <w:rsid w:val="00056AF8"/>
    <w:rsid w:val="000A1E04"/>
    <w:rsid w:val="000B71CA"/>
    <w:rsid w:val="000D477E"/>
    <w:rsid w:val="00114E7B"/>
    <w:rsid w:val="00121322"/>
    <w:rsid w:val="001331CC"/>
    <w:rsid w:val="0017055F"/>
    <w:rsid w:val="001971AE"/>
    <w:rsid w:val="001A421A"/>
    <w:rsid w:val="001C21BD"/>
    <w:rsid w:val="001C2481"/>
    <w:rsid w:val="00224D66"/>
    <w:rsid w:val="00225E23"/>
    <w:rsid w:val="00256720"/>
    <w:rsid w:val="00265C47"/>
    <w:rsid w:val="002752BE"/>
    <w:rsid w:val="002862BB"/>
    <w:rsid w:val="002A6F6E"/>
    <w:rsid w:val="002B256A"/>
    <w:rsid w:val="002B2CB2"/>
    <w:rsid w:val="002D252B"/>
    <w:rsid w:val="002D4B9A"/>
    <w:rsid w:val="002E5390"/>
    <w:rsid w:val="00301AEC"/>
    <w:rsid w:val="00352A07"/>
    <w:rsid w:val="003737BA"/>
    <w:rsid w:val="00381B53"/>
    <w:rsid w:val="003D1E5F"/>
    <w:rsid w:val="003F1E1E"/>
    <w:rsid w:val="004129BF"/>
    <w:rsid w:val="00436001"/>
    <w:rsid w:val="0044008F"/>
    <w:rsid w:val="00456872"/>
    <w:rsid w:val="004600CD"/>
    <w:rsid w:val="00484FB4"/>
    <w:rsid w:val="00494BAA"/>
    <w:rsid w:val="004A4784"/>
    <w:rsid w:val="004C3965"/>
    <w:rsid w:val="004C7290"/>
    <w:rsid w:val="004D74B7"/>
    <w:rsid w:val="00506222"/>
    <w:rsid w:val="00542E0A"/>
    <w:rsid w:val="00581F71"/>
    <w:rsid w:val="005C12AD"/>
    <w:rsid w:val="005F460E"/>
    <w:rsid w:val="005F68C1"/>
    <w:rsid w:val="006059FD"/>
    <w:rsid w:val="006433A0"/>
    <w:rsid w:val="00645E1F"/>
    <w:rsid w:val="00650BD3"/>
    <w:rsid w:val="00691B8F"/>
    <w:rsid w:val="00695382"/>
    <w:rsid w:val="006A22C0"/>
    <w:rsid w:val="006B5D67"/>
    <w:rsid w:val="006B6730"/>
    <w:rsid w:val="006C6437"/>
    <w:rsid w:val="006D0013"/>
    <w:rsid w:val="006D4457"/>
    <w:rsid w:val="006E2BEB"/>
    <w:rsid w:val="00710FF2"/>
    <w:rsid w:val="007663BF"/>
    <w:rsid w:val="00781458"/>
    <w:rsid w:val="00783C9E"/>
    <w:rsid w:val="00784C9A"/>
    <w:rsid w:val="007905E5"/>
    <w:rsid w:val="00793746"/>
    <w:rsid w:val="007A2C68"/>
    <w:rsid w:val="007C1898"/>
    <w:rsid w:val="007E0264"/>
    <w:rsid w:val="007E1D5B"/>
    <w:rsid w:val="008237F3"/>
    <w:rsid w:val="00832369"/>
    <w:rsid w:val="008337FA"/>
    <w:rsid w:val="00833D63"/>
    <w:rsid w:val="00885B1D"/>
    <w:rsid w:val="0089259F"/>
    <w:rsid w:val="00896C2F"/>
    <w:rsid w:val="008B3AE3"/>
    <w:rsid w:val="008B4D02"/>
    <w:rsid w:val="008D4942"/>
    <w:rsid w:val="008D6335"/>
    <w:rsid w:val="009003B0"/>
    <w:rsid w:val="00913BF1"/>
    <w:rsid w:val="00922989"/>
    <w:rsid w:val="009307A4"/>
    <w:rsid w:val="0093418E"/>
    <w:rsid w:val="009638C8"/>
    <w:rsid w:val="00963ABA"/>
    <w:rsid w:val="00965879"/>
    <w:rsid w:val="009B15A5"/>
    <w:rsid w:val="009B5544"/>
    <w:rsid w:val="00A30BDF"/>
    <w:rsid w:val="00A361B6"/>
    <w:rsid w:val="00A50C8B"/>
    <w:rsid w:val="00A554C5"/>
    <w:rsid w:val="00A74B7A"/>
    <w:rsid w:val="00A772CE"/>
    <w:rsid w:val="00A91E6B"/>
    <w:rsid w:val="00AF24D3"/>
    <w:rsid w:val="00B7789F"/>
    <w:rsid w:val="00BE5A7D"/>
    <w:rsid w:val="00BE7EC8"/>
    <w:rsid w:val="00BF7BF1"/>
    <w:rsid w:val="00C23C1F"/>
    <w:rsid w:val="00C55BF8"/>
    <w:rsid w:val="00C83E7A"/>
    <w:rsid w:val="00CC363B"/>
    <w:rsid w:val="00D56B40"/>
    <w:rsid w:val="00D67700"/>
    <w:rsid w:val="00D7306B"/>
    <w:rsid w:val="00D80B42"/>
    <w:rsid w:val="00D80F4D"/>
    <w:rsid w:val="00D93157"/>
    <w:rsid w:val="00DA5973"/>
    <w:rsid w:val="00DA6930"/>
    <w:rsid w:val="00DA6FF3"/>
    <w:rsid w:val="00DB5263"/>
    <w:rsid w:val="00DD7767"/>
    <w:rsid w:val="00DE10AA"/>
    <w:rsid w:val="00DF7277"/>
    <w:rsid w:val="00E02308"/>
    <w:rsid w:val="00E13E4C"/>
    <w:rsid w:val="00E145D4"/>
    <w:rsid w:val="00E255E6"/>
    <w:rsid w:val="00E53908"/>
    <w:rsid w:val="00E53975"/>
    <w:rsid w:val="00E605EB"/>
    <w:rsid w:val="00EC22B7"/>
    <w:rsid w:val="00F20C9C"/>
    <w:rsid w:val="00F23478"/>
    <w:rsid w:val="00F30353"/>
    <w:rsid w:val="00F321D1"/>
    <w:rsid w:val="00F419BD"/>
    <w:rsid w:val="00F67D8C"/>
    <w:rsid w:val="00FB23B9"/>
    <w:rsid w:val="00FE12F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 w:type="paragraph" w:styleId="a9">
    <w:name w:val="List Paragraph"/>
    <w:basedOn w:val="a"/>
    <w:uiPriority w:val="34"/>
    <w:qFormat/>
    <w:rsid w:val="0092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229E5-D9C8-42FA-AF0C-C1C3DADA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1074</Words>
  <Characters>5370</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10</cp:revision>
  <dcterms:created xsi:type="dcterms:W3CDTF">2014-11-06T12:30:00Z</dcterms:created>
  <dcterms:modified xsi:type="dcterms:W3CDTF">2014-11-06T14:04:00Z</dcterms:modified>
</cp:coreProperties>
</file>