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E0" w:rsidRPr="009E7EB7" w:rsidRDefault="009E7EB7" w:rsidP="00880420">
      <w:pPr>
        <w:rPr>
          <w:rFonts w:cs="David"/>
          <w:b/>
          <w:bCs/>
          <w:szCs w:val="24"/>
          <w:u w:val="single"/>
          <w:rtl/>
        </w:rPr>
      </w:pPr>
      <w:r w:rsidRPr="009E7EB7">
        <w:rPr>
          <w:rFonts w:cs="David" w:hint="cs"/>
          <w:b/>
          <w:bCs/>
          <w:szCs w:val="24"/>
          <w:u w:val="single"/>
          <w:rtl/>
        </w:rPr>
        <w:t>אקטואליה משפטית</w:t>
      </w:r>
    </w:p>
    <w:p w:rsidR="009E7EB7" w:rsidRDefault="00216D4E" w:rsidP="00880420">
      <w:pPr>
        <w:rPr>
          <w:rFonts w:cs="David"/>
          <w:szCs w:val="24"/>
          <w:rtl/>
        </w:rPr>
      </w:pPr>
      <w:r w:rsidRPr="00216D4E">
        <w:rPr>
          <w:rFonts w:cs="David" w:hint="cs"/>
          <w:szCs w:val="24"/>
          <w:u w:val="single"/>
          <w:rtl/>
        </w:rPr>
        <w:t xml:space="preserve">פרשת </w:t>
      </w:r>
      <w:proofErr w:type="spellStart"/>
      <w:r w:rsidRPr="00216D4E">
        <w:rPr>
          <w:rFonts w:cs="David" w:hint="cs"/>
          <w:szCs w:val="24"/>
          <w:u w:val="single"/>
          <w:rtl/>
        </w:rPr>
        <w:t>זועבי</w:t>
      </w:r>
      <w:proofErr w:type="spellEnd"/>
      <w:r>
        <w:rPr>
          <w:rFonts w:cs="David" w:hint="cs"/>
          <w:szCs w:val="24"/>
          <w:rtl/>
        </w:rPr>
        <w:t xml:space="preserve"> - </w:t>
      </w:r>
      <w:r w:rsidR="009E7EB7">
        <w:rPr>
          <w:rFonts w:cs="David" w:hint="cs"/>
          <w:szCs w:val="24"/>
          <w:rtl/>
        </w:rPr>
        <w:t xml:space="preserve">ההחלטה להעמיד את ח"כ </w:t>
      </w:r>
      <w:proofErr w:type="spellStart"/>
      <w:r w:rsidR="009E7EB7">
        <w:rPr>
          <w:rFonts w:cs="David" w:hint="cs"/>
          <w:szCs w:val="24"/>
          <w:rtl/>
        </w:rPr>
        <w:t>זועבי</w:t>
      </w:r>
      <w:proofErr w:type="spellEnd"/>
      <w:r w:rsidR="009E7EB7">
        <w:rPr>
          <w:rFonts w:cs="David" w:hint="cs"/>
          <w:szCs w:val="24"/>
          <w:rtl/>
        </w:rPr>
        <w:t xml:space="preserve"> לדין הנה חריגה, שכן העמדת ח"כ לדין על התבטאויות לכאורה אינה אפשרית לאור החסינות על התבטאות. זו הפעם </w:t>
      </w:r>
      <w:proofErr w:type="spellStart"/>
      <w:r w:rsidR="009E7EB7">
        <w:rPr>
          <w:rFonts w:cs="David" w:hint="cs"/>
          <w:szCs w:val="24"/>
          <w:rtl/>
        </w:rPr>
        <w:t>השניה</w:t>
      </w:r>
      <w:proofErr w:type="spellEnd"/>
      <w:r w:rsidR="009E7EB7">
        <w:rPr>
          <w:rFonts w:cs="David" w:hint="cs"/>
          <w:szCs w:val="24"/>
          <w:rtl/>
        </w:rPr>
        <w:t xml:space="preserve"> שיש </w:t>
      </w:r>
      <w:proofErr w:type="spellStart"/>
      <w:r w:rsidR="009E7EB7">
        <w:rPr>
          <w:rFonts w:cs="David" w:hint="cs"/>
          <w:szCs w:val="24"/>
          <w:rtl/>
        </w:rPr>
        <w:t>נסיון</w:t>
      </w:r>
      <w:proofErr w:type="spellEnd"/>
      <w:r w:rsidR="009E7EB7">
        <w:rPr>
          <w:rFonts w:cs="David" w:hint="cs"/>
          <w:szCs w:val="24"/>
          <w:rtl/>
        </w:rPr>
        <w:t xml:space="preserve"> כזה, הראשונה </w:t>
      </w:r>
      <w:proofErr w:type="spellStart"/>
      <w:r w:rsidR="009E7EB7">
        <w:rPr>
          <w:rFonts w:cs="David" w:hint="cs"/>
          <w:szCs w:val="24"/>
          <w:rtl/>
        </w:rPr>
        <w:t>היתה</w:t>
      </w:r>
      <w:proofErr w:type="spellEnd"/>
      <w:r w:rsidR="009E7EB7">
        <w:rPr>
          <w:rFonts w:cs="David" w:hint="cs"/>
          <w:szCs w:val="24"/>
          <w:rtl/>
        </w:rPr>
        <w:t xml:space="preserve"> נגד </w:t>
      </w:r>
      <w:proofErr w:type="spellStart"/>
      <w:r w:rsidR="009E7EB7">
        <w:rPr>
          <w:rFonts w:cs="David" w:hint="cs"/>
          <w:szCs w:val="24"/>
          <w:rtl/>
        </w:rPr>
        <w:t>עזמי</w:t>
      </w:r>
      <w:proofErr w:type="spellEnd"/>
      <w:r w:rsidR="009E7EB7">
        <w:rPr>
          <w:rFonts w:cs="David" w:hint="cs"/>
          <w:szCs w:val="24"/>
          <w:rtl/>
        </w:rPr>
        <w:t xml:space="preserve"> בשארה </w:t>
      </w:r>
      <w:r w:rsidR="009E7EB7">
        <w:rPr>
          <w:rFonts w:cs="David"/>
          <w:szCs w:val="24"/>
          <w:rtl/>
        </w:rPr>
        <w:t>–</w:t>
      </w:r>
      <w:r w:rsidR="009E7EB7">
        <w:rPr>
          <w:rFonts w:cs="David" w:hint="cs"/>
          <w:szCs w:val="24"/>
          <w:rtl/>
        </w:rPr>
        <w:t xml:space="preserve"> והיא כשלה. סביר שאם היועמ"ש יחליט להעמידה לדין לאחר השימוע, טענתה תהיה שעל העבירה חלה חסינות מהותית. </w:t>
      </w:r>
    </w:p>
    <w:p w:rsidR="009E7EB7" w:rsidRDefault="009E7EB7" w:rsidP="00880420">
      <w:pPr>
        <w:rPr>
          <w:rFonts w:cs="David"/>
          <w:szCs w:val="24"/>
          <w:rtl/>
        </w:rPr>
      </w:pPr>
      <w:r w:rsidRPr="00216D4E">
        <w:rPr>
          <w:rFonts w:cs="David" w:hint="cs"/>
          <w:szCs w:val="24"/>
          <w:u w:val="single"/>
          <w:rtl/>
        </w:rPr>
        <w:t>פרשת השחיתות</w:t>
      </w:r>
      <w:r>
        <w:rPr>
          <w:rFonts w:cs="David" w:hint="cs"/>
          <w:szCs w:val="24"/>
          <w:rtl/>
        </w:rPr>
        <w:t xml:space="preserve"> </w:t>
      </w:r>
      <w:r>
        <w:rPr>
          <w:rFonts w:cs="David"/>
          <w:szCs w:val="24"/>
          <w:rtl/>
        </w:rPr>
        <w:t>–</w:t>
      </w:r>
      <w:r>
        <w:rPr>
          <w:rFonts w:cs="David" w:hint="cs"/>
          <w:szCs w:val="24"/>
          <w:rtl/>
        </w:rPr>
        <w:t xml:space="preserve"> היועמ"ש ביקש מח"כ קירשנבאום שלא להגיע לעבודתה. החובה להתפטר נכנסת לתוקף רק עם הגשת כתב האישום, ולכן בקשת/הנחיית היועמ"ש הנה חריגה. בין חקירה להגשת כתב אישום יש שלבים רבים </w:t>
      </w:r>
      <w:r>
        <w:rPr>
          <w:rFonts w:cs="David"/>
          <w:szCs w:val="24"/>
          <w:rtl/>
        </w:rPr>
        <w:t>–</w:t>
      </w:r>
      <w:r>
        <w:rPr>
          <w:rFonts w:cs="David" w:hint="cs"/>
          <w:szCs w:val="24"/>
          <w:rtl/>
        </w:rPr>
        <w:t xml:space="preserve"> המלצות משטרה, כתב אישום כפוף לשימוע, שימוע ורק אז החלטה על כתב אישום. ההחלטה מזיזה את הפסקת התפקיד ממש לתחילת ההליך, ולכן נוסחה בלשון לא משפטית, כ"בקשה". </w:t>
      </w:r>
    </w:p>
    <w:p w:rsidR="009E7EB7" w:rsidRDefault="009E7EB7" w:rsidP="00880420">
      <w:pPr>
        <w:rPr>
          <w:rFonts w:cs="David"/>
          <w:szCs w:val="24"/>
          <w:rtl/>
        </w:rPr>
      </w:pPr>
      <w:r>
        <w:rPr>
          <w:rFonts w:cs="David" w:hint="cs"/>
          <w:szCs w:val="24"/>
          <w:rtl/>
        </w:rPr>
        <w:t xml:space="preserve">בתהליך פלילי, לצד צו מעצר, יכול השופט לתת </w:t>
      </w:r>
      <w:proofErr w:type="spellStart"/>
      <w:r>
        <w:rPr>
          <w:rFonts w:cs="David" w:hint="cs"/>
          <w:szCs w:val="24"/>
          <w:rtl/>
        </w:rPr>
        <w:t>צוים</w:t>
      </w:r>
      <w:proofErr w:type="spellEnd"/>
      <w:r>
        <w:rPr>
          <w:rFonts w:cs="David" w:hint="cs"/>
          <w:szCs w:val="24"/>
          <w:rtl/>
        </w:rPr>
        <w:t xml:space="preserve"> נוספים המכונים צווים נלווים </w:t>
      </w:r>
      <w:r>
        <w:rPr>
          <w:rFonts w:cs="David"/>
          <w:szCs w:val="24"/>
          <w:rtl/>
        </w:rPr>
        <w:t>–</w:t>
      </w:r>
      <w:r>
        <w:rPr>
          <w:rFonts w:cs="David" w:hint="cs"/>
          <w:szCs w:val="24"/>
          <w:rtl/>
        </w:rPr>
        <w:t xml:space="preserve"> למשל, להרחיק אדם ממקום עבודתו, כפי שנעשה עם ראש עיריית רמת-גן לאחרונה. </w:t>
      </w:r>
      <w:r w:rsidR="00216D4E">
        <w:rPr>
          <w:rFonts w:cs="David" w:hint="cs"/>
          <w:szCs w:val="24"/>
          <w:rtl/>
        </w:rPr>
        <w:t xml:space="preserve">מאחר שלח"כ יש חסינות בפני מעצר, המהלך של היועמ"ש ממלא את הלקונה של העדר הליך המעצר וצווי השופט הנלווים אליו. התקדים למהלך היועמ"ש הוא פרשת הנגבי </w:t>
      </w:r>
      <w:r w:rsidR="00216D4E">
        <w:rPr>
          <w:rFonts w:cs="David"/>
          <w:szCs w:val="24"/>
          <w:rtl/>
        </w:rPr>
        <w:t>–</w:t>
      </w:r>
      <w:r w:rsidR="00216D4E">
        <w:rPr>
          <w:rFonts w:cs="David" w:hint="cs"/>
          <w:szCs w:val="24"/>
          <w:rtl/>
        </w:rPr>
        <w:t xml:space="preserve"> שגם הוא התבקש על ידי בית המשפט העליון להשעות עצמו מתפקידו כשר </w:t>
      </w:r>
      <w:proofErr w:type="spellStart"/>
      <w:r w:rsidR="00216D4E">
        <w:rPr>
          <w:rFonts w:cs="David" w:hint="cs"/>
          <w:szCs w:val="24"/>
          <w:rtl/>
        </w:rPr>
        <w:t>לבטחון</w:t>
      </w:r>
      <w:proofErr w:type="spellEnd"/>
      <w:r w:rsidR="00216D4E">
        <w:rPr>
          <w:rFonts w:cs="David" w:hint="cs"/>
          <w:szCs w:val="24"/>
          <w:rtl/>
        </w:rPr>
        <w:t xml:space="preserve"> פנים בעת פתיחת החקירה נגדו. </w:t>
      </w:r>
    </w:p>
    <w:p w:rsidR="00216D4E" w:rsidRPr="00216D4E" w:rsidRDefault="00216D4E" w:rsidP="00880420">
      <w:pPr>
        <w:rPr>
          <w:rFonts w:cs="David"/>
          <w:b/>
          <w:bCs/>
          <w:szCs w:val="24"/>
          <w:u w:val="single"/>
          <w:rtl/>
        </w:rPr>
      </w:pPr>
      <w:r w:rsidRPr="00216D4E">
        <w:rPr>
          <w:rFonts w:cs="David" w:hint="cs"/>
          <w:b/>
          <w:bCs/>
          <w:szCs w:val="24"/>
          <w:u w:val="single"/>
          <w:rtl/>
        </w:rPr>
        <w:t>אתיקה</w:t>
      </w:r>
    </w:p>
    <w:p w:rsidR="00216D4E" w:rsidRDefault="004F3C47" w:rsidP="00880420">
      <w:pPr>
        <w:rPr>
          <w:rFonts w:cs="David"/>
          <w:szCs w:val="24"/>
          <w:rtl/>
        </w:rPr>
      </w:pPr>
      <w:r>
        <w:rPr>
          <w:rFonts w:cs="David" w:hint="cs"/>
          <w:szCs w:val="24"/>
          <w:rtl/>
        </w:rPr>
        <w:t xml:space="preserve">השאלה הראשונה: כיצד מטופלת התנהגות בתחום האפור </w:t>
      </w:r>
      <w:r>
        <w:rPr>
          <w:rFonts w:cs="David"/>
          <w:szCs w:val="24"/>
          <w:rtl/>
        </w:rPr>
        <w:t>–</w:t>
      </w:r>
      <w:r>
        <w:rPr>
          <w:rFonts w:cs="David" w:hint="cs"/>
          <w:szCs w:val="24"/>
          <w:rtl/>
        </w:rPr>
        <w:t xml:space="preserve"> התנהגות לא ראויה, לא תקינה, לא מוסרית </w:t>
      </w:r>
      <w:r>
        <w:rPr>
          <w:rFonts w:cs="David"/>
          <w:szCs w:val="24"/>
          <w:rtl/>
        </w:rPr>
        <w:t>–</w:t>
      </w:r>
      <w:r>
        <w:rPr>
          <w:rFonts w:cs="David" w:hint="cs"/>
          <w:szCs w:val="24"/>
          <w:rtl/>
        </w:rPr>
        <w:t xml:space="preserve"> אבל לא חוקית. </w:t>
      </w:r>
    </w:p>
    <w:p w:rsidR="004F3C47" w:rsidRDefault="004F3C47" w:rsidP="00880420">
      <w:pPr>
        <w:rPr>
          <w:rFonts w:cs="David"/>
          <w:szCs w:val="24"/>
          <w:rtl/>
        </w:rPr>
      </w:pPr>
      <w:r>
        <w:rPr>
          <w:rFonts w:cs="David" w:hint="cs"/>
          <w:szCs w:val="24"/>
          <w:rtl/>
        </w:rPr>
        <w:t xml:space="preserve">השאלה </w:t>
      </w:r>
      <w:proofErr w:type="spellStart"/>
      <w:r>
        <w:rPr>
          <w:rFonts w:cs="David" w:hint="cs"/>
          <w:szCs w:val="24"/>
          <w:rtl/>
        </w:rPr>
        <w:t>השניה</w:t>
      </w:r>
      <w:proofErr w:type="spellEnd"/>
      <w:r>
        <w:rPr>
          <w:rFonts w:cs="David" w:hint="cs"/>
          <w:szCs w:val="24"/>
          <w:rtl/>
        </w:rPr>
        <w:t>: מה קורה כשאין טיפול?</w:t>
      </w:r>
    </w:p>
    <w:p w:rsidR="004F3C47" w:rsidRDefault="004F3C47" w:rsidP="00880420">
      <w:pPr>
        <w:rPr>
          <w:rFonts w:cs="David"/>
          <w:szCs w:val="24"/>
          <w:rtl/>
        </w:rPr>
      </w:pPr>
      <w:r>
        <w:rPr>
          <w:rFonts w:cs="David" w:hint="cs"/>
          <w:szCs w:val="24"/>
          <w:rtl/>
        </w:rPr>
        <w:t>קוד</w:t>
      </w:r>
      <w:r w:rsidR="004B1883">
        <w:rPr>
          <w:rFonts w:cs="David" w:hint="cs"/>
          <w:szCs w:val="24"/>
          <w:rtl/>
        </w:rPr>
        <w:t>י</w:t>
      </w:r>
      <w:r>
        <w:rPr>
          <w:rFonts w:cs="David" w:hint="cs"/>
          <w:szCs w:val="24"/>
          <w:rtl/>
        </w:rPr>
        <w:t xml:space="preserve"> משמעת מוסדיים מטפלים בתחום האפור ואפילו מתחתיו, ועושים זאת בד"כ טוב. מה ההבדל בינם לבין המשפט הפלילי?</w:t>
      </w:r>
    </w:p>
    <w:p w:rsidR="004F3C47" w:rsidRDefault="004B1883" w:rsidP="004F3C47">
      <w:pPr>
        <w:pStyle w:val="a9"/>
        <w:numPr>
          <w:ilvl w:val="0"/>
          <w:numId w:val="14"/>
        </w:numPr>
        <w:rPr>
          <w:rFonts w:cs="David"/>
          <w:szCs w:val="24"/>
        </w:rPr>
      </w:pPr>
      <w:r>
        <w:rPr>
          <w:rFonts w:cs="David" w:hint="cs"/>
          <w:szCs w:val="24"/>
          <w:rtl/>
        </w:rPr>
        <w:t xml:space="preserve">תחולה - </w:t>
      </w:r>
      <w:r w:rsidR="004F3C47" w:rsidRPr="004F3C47">
        <w:rPr>
          <w:rFonts w:cs="David" w:hint="cs"/>
          <w:szCs w:val="24"/>
          <w:rtl/>
        </w:rPr>
        <w:t>קוד משמעת מחייב ארגונית, בעוד שחוק פלילי מחייב את הציבור כולו</w:t>
      </w:r>
    </w:p>
    <w:p w:rsidR="004F3C47" w:rsidRDefault="004B1883" w:rsidP="004F3C47">
      <w:pPr>
        <w:pStyle w:val="a9"/>
        <w:numPr>
          <w:ilvl w:val="0"/>
          <w:numId w:val="14"/>
        </w:numPr>
        <w:rPr>
          <w:rFonts w:cs="David"/>
          <w:szCs w:val="24"/>
        </w:rPr>
      </w:pPr>
      <w:r>
        <w:rPr>
          <w:rFonts w:cs="David" w:hint="cs"/>
          <w:szCs w:val="24"/>
          <w:rtl/>
        </w:rPr>
        <w:t xml:space="preserve">ענישה - </w:t>
      </w:r>
      <w:r w:rsidR="004F3C47">
        <w:rPr>
          <w:rFonts w:cs="David" w:hint="cs"/>
          <w:szCs w:val="24"/>
          <w:rtl/>
        </w:rPr>
        <w:t>קוד משמעת קובע סנקציות, שהחמורה ביותר בהן היא הרחקה מהארגון</w:t>
      </w:r>
      <w:r>
        <w:rPr>
          <w:rFonts w:cs="David" w:hint="cs"/>
          <w:szCs w:val="24"/>
          <w:rtl/>
        </w:rPr>
        <w:t xml:space="preserve"> </w:t>
      </w:r>
      <w:r>
        <w:rPr>
          <w:rFonts w:cs="David"/>
          <w:szCs w:val="24"/>
          <w:rtl/>
        </w:rPr>
        <w:t>–</w:t>
      </w:r>
      <w:r>
        <w:rPr>
          <w:rFonts w:cs="David" w:hint="cs"/>
          <w:szCs w:val="24"/>
          <w:rtl/>
        </w:rPr>
        <w:t xml:space="preserve"> הפסקת עבודה</w:t>
      </w:r>
      <w:r w:rsidR="004F3C47">
        <w:rPr>
          <w:rFonts w:cs="David" w:hint="cs"/>
          <w:szCs w:val="24"/>
          <w:rtl/>
        </w:rPr>
        <w:t>, בעוד שבמשפט הפלילי הענישה היא אחרת לגמרי</w:t>
      </w:r>
      <w:r>
        <w:rPr>
          <w:rFonts w:cs="David" w:hint="cs"/>
          <w:szCs w:val="24"/>
          <w:rtl/>
        </w:rPr>
        <w:t xml:space="preserve">. </w:t>
      </w:r>
    </w:p>
    <w:p w:rsidR="004B1883" w:rsidRDefault="004B1883" w:rsidP="004F3C47">
      <w:pPr>
        <w:pStyle w:val="a9"/>
        <w:numPr>
          <w:ilvl w:val="0"/>
          <w:numId w:val="14"/>
        </w:numPr>
        <w:rPr>
          <w:rFonts w:cs="David"/>
          <w:szCs w:val="24"/>
        </w:rPr>
      </w:pPr>
      <w:r>
        <w:rPr>
          <w:rFonts w:cs="David" w:hint="cs"/>
          <w:szCs w:val="24"/>
          <w:rtl/>
        </w:rPr>
        <w:t xml:space="preserve">מטרה </w:t>
      </w:r>
      <w:r>
        <w:rPr>
          <w:rFonts w:cs="David"/>
          <w:szCs w:val="24"/>
          <w:rtl/>
        </w:rPr>
        <w:t>–</w:t>
      </w:r>
      <w:r>
        <w:rPr>
          <w:rFonts w:cs="David" w:hint="cs"/>
          <w:szCs w:val="24"/>
          <w:rtl/>
        </w:rPr>
        <w:t xml:space="preserve"> מטרת המשפט הפלילי לתת ביטוי לנורמות של החברה, בעוד שמטרת קוד המשמעת הוא להגן על אמון הציבור בארגון. </w:t>
      </w:r>
    </w:p>
    <w:p w:rsidR="004B1883" w:rsidRDefault="004B1883" w:rsidP="004B1883">
      <w:pPr>
        <w:rPr>
          <w:rFonts w:cs="David"/>
          <w:szCs w:val="24"/>
          <w:rtl/>
        </w:rPr>
      </w:pPr>
      <w:r>
        <w:rPr>
          <w:rFonts w:cs="David" w:hint="cs"/>
          <w:szCs w:val="24"/>
          <w:rtl/>
        </w:rPr>
        <w:t xml:space="preserve">המערכת הפלילית והמערכת האזרחית פועלים במקביל בעת טיפול באירוע פלילי. המערכת הפלילית מרוכזת בעבריין, בעוד שמשפט האזרחי משלים את התמונה ומטפל בקרבן. תחת אותה תפיסה, המערכת המשמעתית והפלילית יכולות לטפל במקביל באותו אירוע. </w:t>
      </w:r>
    </w:p>
    <w:p w:rsidR="004B1883" w:rsidRDefault="004B1883" w:rsidP="004B1883">
      <w:pPr>
        <w:rPr>
          <w:rFonts w:cs="David"/>
          <w:szCs w:val="24"/>
          <w:rtl/>
        </w:rPr>
      </w:pPr>
      <w:r>
        <w:rPr>
          <w:rFonts w:cs="David" w:hint="cs"/>
          <w:szCs w:val="24"/>
          <w:rtl/>
        </w:rPr>
        <w:t xml:space="preserve">במקרה של אנשי ציבור נבחרים (ח"כים, שרים וסגני שרים) אין קודים משמעתיים. את הפער הזה ממלא בית המשפט. </w:t>
      </w:r>
    </w:p>
    <w:p w:rsidR="004B1883" w:rsidRDefault="004B1883" w:rsidP="004B1883">
      <w:pPr>
        <w:rPr>
          <w:rFonts w:cs="David"/>
          <w:szCs w:val="24"/>
          <w:rtl/>
        </w:rPr>
      </w:pPr>
      <w:r>
        <w:rPr>
          <w:rFonts w:cs="David" w:hint="cs"/>
          <w:szCs w:val="24"/>
          <w:rtl/>
        </w:rPr>
        <w:t>כאשר נבחר ציבור מתנהל באופן לא ראוי אך לא פלילי, מצופה שיהיה מי שיוכל ל</w:t>
      </w:r>
      <w:r w:rsidR="00BE2FD2">
        <w:rPr>
          <w:rFonts w:cs="David" w:hint="cs"/>
          <w:szCs w:val="24"/>
          <w:rtl/>
        </w:rPr>
        <w:t>הפעיל מולו סנקציה של הרחקה מתפקיד. למי יש את הסמכות הזו?</w:t>
      </w:r>
    </w:p>
    <w:p w:rsidR="00BE2FD2" w:rsidRDefault="00BE2FD2" w:rsidP="00BE2FD2">
      <w:pPr>
        <w:rPr>
          <w:rFonts w:cs="David"/>
          <w:szCs w:val="24"/>
          <w:rtl/>
        </w:rPr>
      </w:pPr>
      <w:r w:rsidRPr="00F74F79">
        <w:rPr>
          <w:rFonts w:cs="David" w:hint="cs"/>
          <w:szCs w:val="24"/>
          <w:u w:val="single"/>
          <w:rtl/>
        </w:rPr>
        <w:t>ועדות בדיקה וחקירה</w:t>
      </w:r>
      <w:r>
        <w:rPr>
          <w:rFonts w:cs="David" w:hint="cs"/>
          <w:szCs w:val="24"/>
          <w:rtl/>
        </w:rPr>
        <w:t xml:space="preserve"> עוסקות בשלושה תחומים </w:t>
      </w:r>
      <w:r>
        <w:rPr>
          <w:rFonts w:cs="David"/>
          <w:szCs w:val="24"/>
          <w:rtl/>
        </w:rPr>
        <w:t>–</w:t>
      </w:r>
      <w:r>
        <w:rPr>
          <w:rFonts w:cs="David" w:hint="cs"/>
          <w:szCs w:val="24"/>
          <w:rtl/>
        </w:rPr>
        <w:t xml:space="preserve"> חקר הממצאים, הסקת מסקנות והצגת המלצות </w:t>
      </w:r>
      <w:r>
        <w:rPr>
          <w:rFonts w:cs="David"/>
          <w:szCs w:val="24"/>
          <w:rtl/>
        </w:rPr>
        <w:t>–</w:t>
      </w:r>
      <w:r>
        <w:rPr>
          <w:rFonts w:cs="David" w:hint="cs"/>
          <w:szCs w:val="24"/>
          <w:rtl/>
        </w:rPr>
        <w:t xml:space="preserve"> מערכתיות ואישיות. ההמלצות האישיות מציגות צעדי ענישה לא פליליים מול בעלי תפקיד שהתנהלו באופן לא ראוי. </w:t>
      </w:r>
    </w:p>
    <w:p w:rsidR="00BE2FD2" w:rsidRDefault="00BE2FD2" w:rsidP="00BE2FD2">
      <w:pPr>
        <w:rPr>
          <w:rFonts w:cs="David"/>
          <w:szCs w:val="24"/>
          <w:rtl/>
        </w:rPr>
      </w:pPr>
      <w:r w:rsidRPr="00A078B7">
        <w:rPr>
          <w:rFonts w:cs="David" w:hint="cs"/>
          <w:szCs w:val="24"/>
          <w:u w:val="single"/>
          <w:rtl/>
        </w:rPr>
        <w:t>ועדת חקירה ממלכתית</w:t>
      </w:r>
      <w:r>
        <w:rPr>
          <w:rFonts w:cs="David" w:hint="cs"/>
          <w:szCs w:val="24"/>
          <w:rtl/>
        </w:rPr>
        <w:t xml:space="preserve"> </w:t>
      </w:r>
      <w:r>
        <w:rPr>
          <w:rFonts w:cs="David"/>
          <w:szCs w:val="24"/>
          <w:rtl/>
        </w:rPr>
        <w:t>–</w:t>
      </w:r>
      <w:r>
        <w:rPr>
          <w:rFonts w:cs="David" w:hint="cs"/>
          <w:szCs w:val="24"/>
          <w:rtl/>
        </w:rPr>
        <w:t xml:space="preserve"> פועלת מכוח חוק ועדות חקירה, שחוקק לאחר מלחמת יום כיפור על מנת להקים את ועדת </w:t>
      </w:r>
      <w:proofErr w:type="spellStart"/>
      <w:r>
        <w:rPr>
          <w:rFonts w:cs="David" w:hint="cs"/>
          <w:szCs w:val="24"/>
          <w:rtl/>
        </w:rPr>
        <w:t>אגרנט</w:t>
      </w:r>
      <w:proofErr w:type="spellEnd"/>
      <w:r>
        <w:rPr>
          <w:rFonts w:cs="David" w:hint="cs"/>
          <w:szCs w:val="24"/>
          <w:rtl/>
        </w:rPr>
        <w:t xml:space="preserve">. ועדת </w:t>
      </w:r>
      <w:proofErr w:type="spellStart"/>
      <w:r>
        <w:rPr>
          <w:rFonts w:cs="David" w:hint="cs"/>
          <w:szCs w:val="24"/>
          <w:rtl/>
        </w:rPr>
        <w:t>אגרנט</w:t>
      </w:r>
      <w:proofErr w:type="spellEnd"/>
      <w:r>
        <w:rPr>
          <w:rFonts w:cs="David" w:hint="cs"/>
          <w:szCs w:val="24"/>
          <w:rtl/>
        </w:rPr>
        <w:t xml:space="preserve"> לא הציגה מסקנות אישיות, אך מאז ועד 2006 הנוהג היה שכאשר יש כשל ברמה הלאומית מוקמת ועדת חקירה ממלכתית. הועדה מוקמת לאור </w:t>
      </w:r>
      <w:r>
        <w:rPr>
          <w:rFonts w:cs="David" w:hint="cs"/>
          <w:szCs w:val="24"/>
          <w:rtl/>
        </w:rPr>
        <w:lastRenderedPageBreak/>
        <w:t xml:space="preserve">החלטת ממשלה, אבל איושה נקבע על ידי נשיא בית המשפט העליון. זו אחת הסיבות לכך שהממשלות מאוד נזהרות מלהקים ועדות חקירה. </w:t>
      </w:r>
      <w:r w:rsidR="00812E77">
        <w:rPr>
          <w:rFonts w:cs="David" w:hint="cs"/>
          <w:szCs w:val="24"/>
          <w:rtl/>
        </w:rPr>
        <w:t xml:space="preserve">ההחלטה על הקמת ועדה כוללת גם החלטה בדבר סמכויותיה, ולכן ההחלטה יכולה להגדיר שלא יוצגו המלצות אישיות </w:t>
      </w:r>
      <w:r w:rsidR="00812E77">
        <w:rPr>
          <w:rFonts w:cs="David"/>
          <w:szCs w:val="24"/>
          <w:rtl/>
        </w:rPr>
        <w:t>–</w:t>
      </w:r>
      <w:r w:rsidR="00812E77">
        <w:rPr>
          <w:rFonts w:cs="David" w:hint="cs"/>
          <w:szCs w:val="24"/>
          <w:rtl/>
        </w:rPr>
        <w:t xml:space="preserve"> אבל הניסיון מראה שהועדות נוטות להתעלם מכתב המינוי ולהרחיב את סמכויותיהן, אם הן רואות בכך צורך. </w:t>
      </w:r>
    </w:p>
    <w:p w:rsidR="00812E77" w:rsidRDefault="00812E77" w:rsidP="00BE2FD2">
      <w:pPr>
        <w:rPr>
          <w:rFonts w:cs="David"/>
          <w:szCs w:val="24"/>
          <w:rtl/>
        </w:rPr>
      </w:pPr>
      <w:r>
        <w:rPr>
          <w:rFonts w:cs="David" w:hint="cs"/>
          <w:szCs w:val="24"/>
          <w:rtl/>
        </w:rPr>
        <w:t>לועדת חקירה ממלכתית יש סמכויות חקירה, ובראשן עומד שופט</w:t>
      </w:r>
      <w:r w:rsidR="00F74F79">
        <w:rPr>
          <w:rFonts w:cs="David" w:hint="cs"/>
          <w:szCs w:val="24"/>
          <w:rtl/>
        </w:rPr>
        <w:t xml:space="preserve"> בית המשפט העליון</w:t>
      </w:r>
      <w:r>
        <w:rPr>
          <w:rFonts w:cs="David" w:hint="cs"/>
          <w:szCs w:val="24"/>
          <w:rtl/>
        </w:rPr>
        <w:t xml:space="preserve">. </w:t>
      </w:r>
    </w:p>
    <w:p w:rsidR="00812E77" w:rsidRDefault="00812E77" w:rsidP="0090066B">
      <w:pPr>
        <w:rPr>
          <w:rFonts w:cs="David"/>
          <w:szCs w:val="24"/>
          <w:rtl/>
        </w:rPr>
      </w:pPr>
      <w:r>
        <w:rPr>
          <w:rFonts w:cs="David" w:hint="cs"/>
          <w:szCs w:val="24"/>
          <w:rtl/>
        </w:rPr>
        <w:t xml:space="preserve">בשנים האחרונות החלו להקים ועדות מסוג אחר </w:t>
      </w:r>
      <w:r>
        <w:rPr>
          <w:rFonts w:cs="David"/>
          <w:szCs w:val="24"/>
          <w:rtl/>
        </w:rPr>
        <w:t>–</w:t>
      </w:r>
      <w:r>
        <w:rPr>
          <w:rFonts w:cs="David" w:hint="cs"/>
          <w:szCs w:val="24"/>
          <w:rtl/>
        </w:rPr>
        <w:t xml:space="preserve"> </w:t>
      </w:r>
      <w:r w:rsidRPr="00A078B7">
        <w:rPr>
          <w:rFonts w:cs="David" w:hint="cs"/>
          <w:szCs w:val="24"/>
          <w:u w:val="single"/>
          <w:rtl/>
        </w:rPr>
        <w:t xml:space="preserve">ועדת </w:t>
      </w:r>
      <w:r w:rsidR="0090066B" w:rsidRPr="00A078B7">
        <w:rPr>
          <w:rFonts w:cs="David" w:hint="cs"/>
          <w:szCs w:val="24"/>
          <w:u w:val="single"/>
          <w:rtl/>
        </w:rPr>
        <w:t>בדיקה ממשלתית</w:t>
      </w:r>
      <w:r w:rsidR="0090066B">
        <w:rPr>
          <w:rFonts w:cs="David" w:hint="cs"/>
          <w:szCs w:val="24"/>
          <w:rtl/>
        </w:rPr>
        <w:t xml:space="preserve">, המוקמות לפי סעיף 8 לחוק הממשלה. </w:t>
      </w:r>
      <w:r>
        <w:rPr>
          <w:rFonts w:cs="David" w:hint="cs"/>
          <w:szCs w:val="24"/>
          <w:rtl/>
        </w:rPr>
        <w:t xml:space="preserve">הרעיון המקורי היה שלעיתים אירוע יכול להיות ממוקד במשרד או בגוף </w:t>
      </w:r>
      <w:proofErr w:type="spellStart"/>
      <w:r>
        <w:rPr>
          <w:rFonts w:cs="David" w:hint="cs"/>
          <w:szCs w:val="24"/>
          <w:rtl/>
        </w:rPr>
        <w:t>מסויים</w:t>
      </w:r>
      <w:proofErr w:type="spellEnd"/>
      <w:r>
        <w:rPr>
          <w:rFonts w:cs="David" w:hint="cs"/>
          <w:szCs w:val="24"/>
          <w:rtl/>
        </w:rPr>
        <w:t xml:space="preserve">. הועדה מוקמת בהחלטת שר, באישור הממשלה, והשר הוא גם מי שממנה את חבריה. </w:t>
      </w:r>
      <w:r w:rsidR="0090066B">
        <w:rPr>
          <w:rFonts w:cs="David" w:hint="cs"/>
          <w:szCs w:val="24"/>
          <w:rtl/>
        </w:rPr>
        <w:t xml:space="preserve">אם בראש הועדה עומד שופט, ניתן לתת </w:t>
      </w:r>
      <w:proofErr w:type="spellStart"/>
      <w:r w:rsidR="0090066B">
        <w:rPr>
          <w:rFonts w:cs="David" w:hint="cs"/>
          <w:szCs w:val="24"/>
          <w:rtl/>
        </w:rPr>
        <w:t>לועדה</w:t>
      </w:r>
      <w:proofErr w:type="spellEnd"/>
      <w:r w:rsidR="0090066B">
        <w:rPr>
          <w:rFonts w:cs="David" w:hint="cs"/>
          <w:szCs w:val="24"/>
          <w:rtl/>
        </w:rPr>
        <w:t xml:space="preserve"> גם סמכויות חקירה. ההבחנה העיקרית בין סוגי הועדות היא, לכן, בזהות הגורם הממנה את הועדה. </w:t>
      </w:r>
    </w:p>
    <w:p w:rsidR="0090066B" w:rsidRDefault="00A078B7" w:rsidP="0090066B">
      <w:pPr>
        <w:rPr>
          <w:rFonts w:cs="David"/>
          <w:szCs w:val="24"/>
          <w:rtl/>
        </w:rPr>
      </w:pPr>
      <w:r>
        <w:rPr>
          <w:rFonts w:cs="David" w:hint="cs"/>
          <w:szCs w:val="24"/>
          <w:rtl/>
        </w:rPr>
        <w:t xml:space="preserve">ועדת הבדיקה הראשונה שהוקמה </w:t>
      </w:r>
      <w:proofErr w:type="spellStart"/>
      <w:r>
        <w:rPr>
          <w:rFonts w:cs="David" w:hint="cs"/>
          <w:szCs w:val="24"/>
          <w:rtl/>
        </w:rPr>
        <w:t>היתה</w:t>
      </w:r>
      <w:proofErr w:type="spellEnd"/>
      <w:r>
        <w:rPr>
          <w:rFonts w:cs="David" w:hint="cs"/>
          <w:szCs w:val="24"/>
          <w:rtl/>
        </w:rPr>
        <w:t xml:space="preserve"> ועדת </w:t>
      </w:r>
      <w:proofErr w:type="spellStart"/>
      <w:r>
        <w:rPr>
          <w:rFonts w:cs="David" w:hint="cs"/>
          <w:szCs w:val="24"/>
          <w:rtl/>
        </w:rPr>
        <w:t>זיילר</w:t>
      </w:r>
      <w:proofErr w:type="spellEnd"/>
      <w:r>
        <w:rPr>
          <w:rFonts w:cs="David" w:hint="cs"/>
          <w:szCs w:val="24"/>
          <w:rtl/>
        </w:rPr>
        <w:t xml:space="preserve">, שהקים השר לביטחון פנים לבדוק את התנהלות המשטרה בפרשת האחים </w:t>
      </w:r>
      <w:proofErr w:type="spellStart"/>
      <w:r>
        <w:rPr>
          <w:rFonts w:cs="David" w:hint="cs"/>
          <w:szCs w:val="24"/>
          <w:rtl/>
        </w:rPr>
        <w:t>פריניאן</w:t>
      </w:r>
      <w:proofErr w:type="spellEnd"/>
      <w:r>
        <w:rPr>
          <w:rFonts w:cs="David" w:hint="cs"/>
          <w:szCs w:val="24"/>
          <w:rtl/>
        </w:rPr>
        <w:t xml:space="preserve">. ועדת </w:t>
      </w:r>
      <w:proofErr w:type="spellStart"/>
      <w:r>
        <w:rPr>
          <w:rFonts w:cs="David" w:hint="cs"/>
          <w:szCs w:val="24"/>
          <w:rtl/>
        </w:rPr>
        <w:t>זיילר</w:t>
      </w:r>
      <w:proofErr w:type="spellEnd"/>
      <w:r>
        <w:rPr>
          <w:rFonts w:cs="David" w:hint="cs"/>
          <w:szCs w:val="24"/>
          <w:rtl/>
        </w:rPr>
        <w:t xml:space="preserve"> נתנה המלצות מערכתיות וגם אישיות </w:t>
      </w:r>
      <w:r>
        <w:rPr>
          <w:rFonts w:cs="David"/>
          <w:szCs w:val="24"/>
          <w:rtl/>
        </w:rPr>
        <w:t>–</w:t>
      </w:r>
      <w:r>
        <w:rPr>
          <w:rFonts w:cs="David" w:hint="cs"/>
          <w:szCs w:val="24"/>
          <w:rtl/>
        </w:rPr>
        <w:t xml:space="preserve"> לפיהן המפכ"ל לא יכול להמשיך בתפקידו </w:t>
      </w:r>
      <w:r>
        <w:rPr>
          <w:rFonts w:cs="David"/>
          <w:szCs w:val="24"/>
          <w:rtl/>
        </w:rPr>
        <w:t>–</w:t>
      </w:r>
      <w:r>
        <w:rPr>
          <w:rFonts w:cs="David" w:hint="cs"/>
          <w:szCs w:val="24"/>
          <w:rtl/>
        </w:rPr>
        <w:t xml:space="preserve"> ואכן המפכ"ל קראדי התפטר לאור ההמלצות. </w:t>
      </w:r>
    </w:p>
    <w:p w:rsidR="00A078B7" w:rsidRDefault="00A078B7" w:rsidP="00A078B7">
      <w:pPr>
        <w:rPr>
          <w:rFonts w:cs="David"/>
          <w:szCs w:val="24"/>
          <w:rtl/>
        </w:rPr>
      </w:pPr>
      <w:r>
        <w:rPr>
          <w:rFonts w:cs="David" w:hint="cs"/>
          <w:szCs w:val="24"/>
          <w:rtl/>
        </w:rPr>
        <w:t xml:space="preserve">הכלל הוא שהמלצותיהן של ועדות חקירה ממלכתיות אינן מחייבות את הממשלה </w:t>
      </w:r>
      <w:r>
        <w:rPr>
          <w:rFonts w:cs="David"/>
          <w:szCs w:val="24"/>
          <w:rtl/>
        </w:rPr>
        <w:t>–</w:t>
      </w:r>
      <w:r>
        <w:rPr>
          <w:rFonts w:cs="David" w:hint="cs"/>
          <w:szCs w:val="24"/>
          <w:rtl/>
        </w:rPr>
        <w:t xml:space="preserve"> למעט ההמלצות האישיות. בעקבות ועדת </w:t>
      </w:r>
      <w:proofErr w:type="spellStart"/>
      <w:r>
        <w:rPr>
          <w:rFonts w:cs="David" w:hint="cs"/>
          <w:szCs w:val="24"/>
          <w:rtl/>
        </w:rPr>
        <w:t>זיילר</w:t>
      </w:r>
      <w:proofErr w:type="spellEnd"/>
      <w:r>
        <w:rPr>
          <w:rFonts w:cs="David" w:hint="cs"/>
          <w:szCs w:val="24"/>
          <w:rtl/>
        </w:rPr>
        <w:t xml:space="preserve"> יושם כלל שהדבר חל גם על ועדות בדיקה.  </w:t>
      </w:r>
    </w:p>
    <w:p w:rsidR="00A078B7" w:rsidRDefault="00A078B7" w:rsidP="00A078B7">
      <w:pPr>
        <w:rPr>
          <w:rFonts w:cs="David"/>
          <w:szCs w:val="24"/>
          <w:rtl/>
        </w:rPr>
      </w:pPr>
      <w:r>
        <w:rPr>
          <w:rFonts w:cs="David" w:hint="cs"/>
          <w:szCs w:val="24"/>
          <w:rtl/>
        </w:rPr>
        <w:t xml:space="preserve">בעקבות מלחמת לבנון השנייה עלתה דרישה ציבורית להקמת ועדת חקירה ממלכתית. </w:t>
      </w:r>
      <w:proofErr w:type="spellStart"/>
      <w:r>
        <w:rPr>
          <w:rFonts w:cs="David" w:hint="cs"/>
          <w:szCs w:val="24"/>
          <w:rtl/>
        </w:rPr>
        <w:t>רוה"מ</w:t>
      </w:r>
      <w:proofErr w:type="spellEnd"/>
      <w:r>
        <w:rPr>
          <w:rFonts w:cs="David" w:hint="cs"/>
          <w:szCs w:val="24"/>
          <w:rtl/>
        </w:rPr>
        <w:t xml:space="preserve"> אולמרט סרב להקים ועדה כזו </w:t>
      </w:r>
      <w:r>
        <w:rPr>
          <w:rFonts w:cs="David"/>
          <w:szCs w:val="24"/>
          <w:rtl/>
        </w:rPr>
        <w:t>–</w:t>
      </w:r>
      <w:r>
        <w:rPr>
          <w:rFonts w:cs="David" w:hint="cs"/>
          <w:szCs w:val="24"/>
          <w:rtl/>
        </w:rPr>
        <w:t xml:space="preserve"> מתוך הבנה שמסקנותיה יכולות להיות מופנות נגדו. הפתרון היה הקמת ועדת בדיקה ממשלתית לחקר המלחמה </w:t>
      </w:r>
      <w:r>
        <w:rPr>
          <w:rFonts w:cs="David"/>
          <w:szCs w:val="24"/>
          <w:rtl/>
        </w:rPr>
        <w:t>–</w:t>
      </w:r>
      <w:r>
        <w:rPr>
          <w:rFonts w:cs="David" w:hint="cs"/>
          <w:szCs w:val="24"/>
          <w:rtl/>
        </w:rPr>
        <w:t xml:space="preserve"> שימוש ציני בחוק שנועד לטפל באירועים בסדר גודל אחר לגמרי. בראש הועדה מונה לעמוד השופט </w:t>
      </w:r>
      <w:proofErr w:type="spellStart"/>
      <w:r>
        <w:rPr>
          <w:rFonts w:cs="David" w:hint="cs"/>
          <w:szCs w:val="24"/>
          <w:rtl/>
        </w:rPr>
        <w:t>וינוגרד</w:t>
      </w:r>
      <w:proofErr w:type="spellEnd"/>
      <w:r>
        <w:rPr>
          <w:rFonts w:cs="David" w:hint="cs"/>
          <w:szCs w:val="24"/>
          <w:rtl/>
        </w:rPr>
        <w:t xml:space="preserve"> (שופט מחוזי ולא שופט בית המשפט העליון כפי שמקובל בועדות חקירה), ולצידו הפרופסור דרור והפרופסור גביזון. כתב המינוי של הועדה הסמיך את הועדה להסיק מסקנות מערכתיות בלבד לגבי התנהלות הצבא. </w:t>
      </w:r>
    </w:p>
    <w:p w:rsidR="00FC1692" w:rsidRDefault="00FC1692" w:rsidP="00A078B7">
      <w:pPr>
        <w:rPr>
          <w:rFonts w:cs="David"/>
          <w:szCs w:val="24"/>
          <w:rtl/>
        </w:rPr>
      </w:pPr>
      <w:r>
        <w:rPr>
          <w:rFonts w:cs="David" w:hint="cs"/>
          <w:szCs w:val="24"/>
          <w:rtl/>
        </w:rPr>
        <w:t xml:space="preserve">יומיים לאחר הקמת הועדה הוגשה עתירה לבג"ץ, בטענה שחובת הממשלה להשתמש לצורך החקירה בועדת חקירה ממלכתית, ולא בועדת בדיקה ממשלתית. בית המשפט קבע הרכב של שבעה שופטים, והחליט, ברוב של ארבעה נגד שלושה, לדחות את העתירה. כלומר </w:t>
      </w:r>
      <w:r>
        <w:rPr>
          <w:rFonts w:cs="David"/>
          <w:szCs w:val="24"/>
          <w:rtl/>
        </w:rPr>
        <w:t>–</w:t>
      </w:r>
      <w:r>
        <w:rPr>
          <w:rFonts w:cs="David" w:hint="cs"/>
          <w:szCs w:val="24"/>
          <w:rtl/>
        </w:rPr>
        <w:t xml:space="preserve"> שלושה שופטי עליון</w:t>
      </w:r>
      <w:r w:rsidR="00CC08C4">
        <w:rPr>
          <w:rFonts w:cs="David" w:hint="cs"/>
          <w:szCs w:val="24"/>
          <w:rtl/>
        </w:rPr>
        <w:t>, ובהם השופטת בייניש,</w:t>
      </w:r>
      <w:r>
        <w:rPr>
          <w:rFonts w:cs="David" w:hint="cs"/>
          <w:szCs w:val="24"/>
          <w:rtl/>
        </w:rPr>
        <w:t xml:space="preserve"> טענו שהקמת ועדת הבדיקה אינה חוקית. </w:t>
      </w:r>
      <w:r w:rsidR="00CC08C4">
        <w:rPr>
          <w:rFonts w:cs="David" w:hint="cs"/>
          <w:szCs w:val="24"/>
          <w:rtl/>
        </w:rPr>
        <w:t>שופטי המיעוט טענו שהדבר אינו ראוי</w:t>
      </w:r>
      <w:r w:rsidR="005C7080">
        <w:rPr>
          <w:rFonts w:cs="David" w:hint="cs"/>
          <w:szCs w:val="24"/>
          <w:rtl/>
        </w:rPr>
        <w:t xml:space="preserve"> לאור החוק</w:t>
      </w:r>
      <w:r w:rsidR="00CC08C4">
        <w:rPr>
          <w:rFonts w:cs="David" w:hint="cs"/>
          <w:szCs w:val="24"/>
          <w:rtl/>
        </w:rPr>
        <w:t xml:space="preserve">, אך אינו בלתי חוקי באופן הדורש את התערבות בג"ץ. </w:t>
      </w:r>
    </w:p>
    <w:p w:rsidR="00CC08C4" w:rsidRDefault="0006737C" w:rsidP="009B5ECA">
      <w:pPr>
        <w:rPr>
          <w:rFonts w:cs="David"/>
          <w:szCs w:val="24"/>
          <w:rtl/>
        </w:rPr>
      </w:pPr>
      <w:r>
        <w:rPr>
          <w:rFonts w:cs="David" w:hint="cs"/>
          <w:szCs w:val="24"/>
          <w:rtl/>
        </w:rPr>
        <w:t xml:space="preserve">אופן התנהלותה של ועדת </w:t>
      </w:r>
      <w:proofErr w:type="spellStart"/>
      <w:r>
        <w:rPr>
          <w:rFonts w:cs="David" w:hint="cs"/>
          <w:szCs w:val="24"/>
          <w:rtl/>
        </w:rPr>
        <w:t>וינוגרד</w:t>
      </w:r>
      <w:proofErr w:type="spellEnd"/>
      <w:r>
        <w:rPr>
          <w:rFonts w:cs="David" w:hint="cs"/>
          <w:szCs w:val="24"/>
          <w:rtl/>
        </w:rPr>
        <w:t xml:space="preserve"> הגיע לבג"ץ מספר פעמים </w:t>
      </w:r>
      <w:r>
        <w:rPr>
          <w:rFonts w:cs="David"/>
          <w:szCs w:val="24"/>
          <w:rtl/>
        </w:rPr>
        <w:t>–</w:t>
      </w:r>
      <w:r>
        <w:rPr>
          <w:rFonts w:cs="David" w:hint="cs"/>
          <w:szCs w:val="24"/>
          <w:rtl/>
        </w:rPr>
        <w:t xml:space="preserve"> בג"ץ חייב את הועדה לפעול בדלתיים פתוחות ברוב הדיונים, לכתוב ולפרסם פרוטוקולים, בניגוד לרצון הועדה. </w:t>
      </w:r>
      <w:r w:rsidR="009B5ECA">
        <w:rPr>
          <w:rFonts w:cs="David" w:hint="cs"/>
          <w:szCs w:val="24"/>
          <w:rtl/>
        </w:rPr>
        <w:t>ב</w:t>
      </w:r>
      <w:r>
        <w:rPr>
          <w:rFonts w:cs="David" w:hint="cs"/>
          <w:szCs w:val="24"/>
          <w:rtl/>
        </w:rPr>
        <w:t>דו"ח הביניים של הועדה, אשר בדק את ימי הלחימה הראשונים</w:t>
      </w:r>
      <w:r w:rsidR="009B5ECA">
        <w:rPr>
          <w:rFonts w:cs="David" w:hint="cs"/>
          <w:szCs w:val="24"/>
          <w:rtl/>
        </w:rPr>
        <w:t>,</w:t>
      </w:r>
      <w:r>
        <w:rPr>
          <w:rFonts w:cs="David" w:hint="cs"/>
          <w:szCs w:val="24"/>
          <w:rtl/>
        </w:rPr>
        <w:t xml:space="preserve"> היו ממצאים ומסקנות בלבד. המסקנות קבעו ששר </w:t>
      </w:r>
      <w:proofErr w:type="spellStart"/>
      <w:r>
        <w:rPr>
          <w:rFonts w:cs="David" w:hint="cs"/>
          <w:szCs w:val="24"/>
          <w:rtl/>
        </w:rPr>
        <w:t>הבטחון</w:t>
      </w:r>
      <w:proofErr w:type="spellEnd"/>
      <w:r>
        <w:rPr>
          <w:rFonts w:cs="David" w:hint="cs"/>
          <w:szCs w:val="24"/>
          <w:rtl/>
        </w:rPr>
        <w:t xml:space="preserve"> והרמטכ"ל כשלו בחלק גדול מהתנהלותם. ההנחה </w:t>
      </w:r>
      <w:proofErr w:type="spellStart"/>
      <w:r>
        <w:rPr>
          <w:rFonts w:cs="David" w:hint="cs"/>
          <w:szCs w:val="24"/>
          <w:rtl/>
        </w:rPr>
        <w:t>היתה</w:t>
      </w:r>
      <w:proofErr w:type="spellEnd"/>
      <w:r>
        <w:rPr>
          <w:rFonts w:cs="David" w:hint="cs"/>
          <w:szCs w:val="24"/>
          <w:rtl/>
        </w:rPr>
        <w:t xml:space="preserve"> שעצם המסקנות יביאו את המעורבים לסיים את תפקידם בעצמם </w:t>
      </w:r>
      <w:r>
        <w:rPr>
          <w:rFonts w:cs="David"/>
          <w:szCs w:val="24"/>
          <w:rtl/>
        </w:rPr>
        <w:t>–</w:t>
      </w:r>
      <w:r>
        <w:rPr>
          <w:rFonts w:cs="David" w:hint="cs"/>
          <w:szCs w:val="24"/>
          <w:rtl/>
        </w:rPr>
        <w:t xml:space="preserve"> מה שלא קרה. בסוף דו"ח הביניים כתבה הועדה שבכוונתה לפרסם המלצות אישיות. המקובל הוא שועדות חקירה אשר רוצות להציג המלצות אישיות מוציאות למעורבים בדבר מכתבי הזהרה </w:t>
      </w:r>
      <w:r>
        <w:rPr>
          <w:rFonts w:cs="David"/>
          <w:szCs w:val="24"/>
          <w:rtl/>
        </w:rPr>
        <w:t>–</w:t>
      </w:r>
      <w:r>
        <w:rPr>
          <w:rFonts w:cs="David" w:hint="cs"/>
          <w:szCs w:val="24"/>
          <w:rtl/>
        </w:rPr>
        <w:t xml:space="preserve"> וזו </w:t>
      </w:r>
      <w:proofErr w:type="spellStart"/>
      <w:r>
        <w:rPr>
          <w:rFonts w:cs="David" w:hint="cs"/>
          <w:szCs w:val="24"/>
          <w:rtl/>
        </w:rPr>
        <w:t>היתה</w:t>
      </w:r>
      <w:proofErr w:type="spellEnd"/>
      <w:r>
        <w:rPr>
          <w:rFonts w:cs="David" w:hint="cs"/>
          <w:szCs w:val="24"/>
          <w:rtl/>
        </w:rPr>
        <w:t xml:space="preserve"> התחושה בציבור על פי דו"ח הביניים. </w:t>
      </w:r>
    </w:p>
    <w:p w:rsidR="0006737C" w:rsidRDefault="0006737C" w:rsidP="00A078B7">
      <w:pPr>
        <w:rPr>
          <w:rFonts w:cs="David"/>
          <w:szCs w:val="24"/>
          <w:rtl/>
        </w:rPr>
      </w:pPr>
      <w:r>
        <w:rPr>
          <w:rFonts w:cs="David" w:hint="cs"/>
          <w:szCs w:val="24"/>
          <w:rtl/>
        </w:rPr>
        <w:t xml:space="preserve">הדו"ח הסופי פורסם חצי שנה מאוחר יותר </w:t>
      </w:r>
      <w:r>
        <w:rPr>
          <w:rFonts w:cs="David"/>
          <w:szCs w:val="24"/>
          <w:rtl/>
        </w:rPr>
        <w:t>–</w:t>
      </w:r>
      <w:r>
        <w:rPr>
          <w:rFonts w:cs="David" w:hint="cs"/>
          <w:szCs w:val="24"/>
          <w:rtl/>
        </w:rPr>
        <w:t xml:space="preserve"> בלי </w:t>
      </w:r>
      <w:r w:rsidR="00E629FC">
        <w:rPr>
          <w:rFonts w:cs="David" w:hint="cs"/>
          <w:szCs w:val="24"/>
          <w:rtl/>
        </w:rPr>
        <w:t xml:space="preserve">להוציא מכתבי הזהרה לפניו, ואכן, הדו"ח לא קבע מסקנות אישיות. </w:t>
      </w:r>
      <w:proofErr w:type="spellStart"/>
      <w:r w:rsidR="00E629FC">
        <w:rPr>
          <w:rFonts w:cs="David" w:hint="cs"/>
          <w:szCs w:val="24"/>
          <w:rtl/>
        </w:rPr>
        <w:t>פרופ</w:t>
      </w:r>
      <w:proofErr w:type="spellEnd"/>
      <w:r w:rsidR="00E629FC">
        <w:rPr>
          <w:rFonts w:cs="David" w:hint="cs"/>
          <w:szCs w:val="24"/>
          <w:rtl/>
        </w:rPr>
        <w:t xml:space="preserve">' דרור, בראיון שנה מאוחר יותר, טען שאם היה יודע שהבכירים לא יסיקו מסקנות אישיות בעצמם, היה פועל אחרת. </w:t>
      </w:r>
      <w:r w:rsidR="00E43E57">
        <w:rPr>
          <w:rFonts w:cs="David" w:hint="cs"/>
          <w:szCs w:val="24"/>
          <w:rtl/>
        </w:rPr>
        <w:t xml:space="preserve">עם זאת, הוא טען שהוא, כועדת חקירה, לא חשב שבסמכותו לפעול באופן שגורם להחלפת משטר. </w:t>
      </w:r>
    </w:p>
    <w:p w:rsidR="00E43E57" w:rsidRDefault="00E43E57" w:rsidP="00A078B7">
      <w:pPr>
        <w:rPr>
          <w:rFonts w:cs="David"/>
          <w:szCs w:val="24"/>
          <w:rtl/>
        </w:rPr>
      </w:pPr>
      <w:r>
        <w:rPr>
          <w:rFonts w:cs="David" w:hint="cs"/>
          <w:szCs w:val="24"/>
          <w:rtl/>
        </w:rPr>
        <w:t xml:space="preserve">ועדת </w:t>
      </w:r>
      <w:proofErr w:type="spellStart"/>
      <w:r>
        <w:rPr>
          <w:rFonts w:cs="David" w:hint="cs"/>
          <w:szCs w:val="24"/>
          <w:rtl/>
        </w:rPr>
        <w:t>וינוגרד</w:t>
      </w:r>
      <w:proofErr w:type="spellEnd"/>
      <w:r>
        <w:rPr>
          <w:rFonts w:cs="David" w:hint="cs"/>
          <w:szCs w:val="24"/>
          <w:rtl/>
        </w:rPr>
        <w:t xml:space="preserve"> הייתה הועדה האחרונה (ממלכתית או ממשלתית) שהוקמה. </w:t>
      </w:r>
    </w:p>
    <w:p w:rsidR="00E43E57" w:rsidRDefault="00E43E57" w:rsidP="00E43E57">
      <w:pPr>
        <w:rPr>
          <w:rFonts w:cs="David"/>
          <w:szCs w:val="24"/>
          <w:rtl/>
        </w:rPr>
      </w:pPr>
      <w:r w:rsidRPr="00E43E57">
        <w:rPr>
          <w:rFonts w:cs="David" w:hint="cs"/>
          <w:szCs w:val="24"/>
          <w:u w:val="single"/>
          <w:rtl/>
        </w:rPr>
        <w:t>אסון הכרמל</w:t>
      </w:r>
      <w:r>
        <w:rPr>
          <w:rFonts w:cs="David" w:hint="cs"/>
          <w:szCs w:val="24"/>
          <w:rtl/>
        </w:rPr>
        <w:t xml:space="preserve"> </w:t>
      </w:r>
      <w:r>
        <w:rPr>
          <w:rFonts w:cs="David"/>
          <w:szCs w:val="24"/>
          <w:rtl/>
        </w:rPr>
        <w:t>–</w:t>
      </w:r>
      <w:r>
        <w:rPr>
          <w:rFonts w:cs="David" w:hint="cs"/>
          <w:szCs w:val="24"/>
          <w:rtl/>
        </w:rPr>
        <w:t xml:space="preserve"> דצמבר 2010 </w:t>
      </w:r>
      <w:r>
        <w:rPr>
          <w:rFonts w:cs="David"/>
          <w:szCs w:val="24"/>
          <w:rtl/>
        </w:rPr>
        <w:t>–</w:t>
      </w:r>
      <w:r>
        <w:rPr>
          <w:rFonts w:cs="David" w:hint="cs"/>
          <w:szCs w:val="24"/>
          <w:rtl/>
        </w:rPr>
        <w:t xml:space="preserve"> התחושה בציבור </w:t>
      </w:r>
      <w:proofErr w:type="spellStart"/>
      <w:r>
        <w:rPr>
          <w:rFonts w:cs="David" w:hint="cs"/>
          <w:szCs w:val="24"/>
          <w:rtl/>
        </w:rPr>
        <w:t>היתה</w:t>
      </w:r>
      <w:proofErr w:type="spellEnd"/>
      <w:r>
        <w:rPr>
          <w:rFonts w:cs="David" w:hint="cs"/>
          <w:szCs w:val="24"/>
          <w:rtl/>
        </w:rPr>
        <w:t xml:space="preserve"> שמדובר בכשל המצריך בדיקה, לפחות של תפקוד הגופים הכפופים לשר </w:t>
      </w:r>
      <w:proofErr w:type="spellStart"/>
      <w:r>
        <w:rPr>
          <w:rFonts w:cs="David" w:hint="cs"/>
          <w:szCs w:val="24"/>
          <w:rtl/>
        </w:rPr>
        <w:t>לבטחון</w:t>
      </w:r>
      <w:proofErr w:type="spellEnd"/>
      <w:r>
        <w:rPr>
          <w:rFonts w:cs="David" w:hint="cs"/>
          <w:szCs w:val="24"/>
          <w:rtl/>
        </w:rPr>
        <w:t xml:space="preserve"> פנים ושר הפנים. השרים, ובראשם שר הפנים ישי, התנגדו. לחלל שנוצר נכנס מבקר המדינה. דו"ח המבקר נראה בדיוק כמו דו"ח ועדת חקירה </w:t>
      </w:r>
      <w:r>
        <w:rPr>
          <w:rFonts w:cs="David"/>
          <w:szCs w:val="24"/>
          <w:rtl/>
        </w:rPr>
        <w:t>–</w:t>
      </w:r>
      <w:r>
        <w:rPr>
          <w:rFonts w:cs="David" w:hint="cs"/>
          <w:szCs w:val="24"/>
          <w:rtl/>
        </w:rPr>
        <w:t xml:space="preserve"> ממצאים, </w:t>
      </w:r>
      <w:r>
        <w:rPr>
          <w:rFonts w:cs="David" w:hint="cs"/>
          <w:szCs w:val="24"/>
          <w:rtl/>
        </w:rPr>
        <w:lastRenderedPageBreak/>
        <w:t xml:space="preserve">מסקנות והמלצות </w:t>
      </w:r>
      <w:r>
        <w:rPr>
          <w:rFonts w:cs="David"/>
          <w:szCs w:val="24"/>
          <w:rtl/>
        </w:rPr>
        <w:t>–</w:t>
      </w:r>
      <w:r>
        <w:rPr>
          <w:rFonts w:cs="David" w:hint="cs"/>
          <w:szCs w:val="24"/>
          <w:rtl/>
        </w:rPr>
        <w:t xml:space="preserve"> מערכתיות ואישיות. עם זאת, למבקר המדינה אין סמכות להציג המלצות אישיות, ולכן פרק זה כונה "אחריות נושאי התפקיד". הוא קבע לשרי הפנים והאוצר "אחריות מיוחדת" לאירועים </w:t>
      </w:r>
      <w:r>
        <w:rPr>
          <w:rFonts w:cs="David"/>
          <w:szCs w:val="24"/>
          <w:rtl/>
        </w:rPr>
        <w:t>–</w:t>
      </w:r>
      <w:r>
        <w:rPr>
          <w:rFonts w:cs="David" w:hint="cs"/>
          <w:szCs w:val="24"/>
          <w:rtl/>
        </w:rPr>
        <w:t xml:space="preserve"> אחריות שהיא "יותר מאחריות מיניסטריאלית", ברמז לאחריות אישית הנושאת עונש. המבקר ניסה למלא את החלל של סנקציה ציבורית בתחום האפור (במקרה זה כשל מקצועי שאינו אתי ובוודאי שאינו פלילי) </w:t>
      </w:r>
      <w:r>
        <w:rPr>
          <w:rFonts w:cs="David"/>
          <w:szCs w:val="24"/>
          <w:rtl/>
        </w:rPr>
        <w:t>–</w:t>
      </w:r>
      <w:r>
        <w:rPr>
          <w:rFonts w:cs="David" w:hint="cs"/>
          <w:szCs w:val="24"/>
          <w:rtl/>
        </w:rPr>
        <w:t xml:space="preserve"> אך אף אחד מהשרים התפטר. </w:t>
      </w:r>
    </w:p>
    <w:p w:rsidR="00EB133E" w:rsidRDefault="00EB133E" w:rsidP="00E43E57">
      <w:pPr>
        <w:rPr>
          <w:rFonts w:cs="David"/>
          <w:szCs w:val="24"/>
          <w:rtl/>
        </w:rPr>
      </w:pPr>
      <w:r>
        <w:rPr>
          <w:rFonts w:cs="David" w:hint="cs"/>
          <w:szCs w:val="24"/>
          <w:rtl/>
        </w:rPr>
        <w:t>התנועה לאיכות השלטון הגישה עתירה לבג"ץ בבקשה שיחייב את ראש הממשלה לפטר את השרים בהתבסס על ממצאי המבקר. בית המשפט דחה את העתירה</w:t>
      </w:r>
      <w:r w:rsidR="00861492">
        <w:rPr>
          <w:rFonts w:cs="David" w:hint="cs"/>
          <w:szCs w:val="24"/>
          <w:rtl/>
        </w:rPr>
        <w:t xml:space="preserve">, בטענה שמסקנות המבקר אינן מחייבות את ראש הממשלה. התוצאה </w:t>
      </w:r>
      <w:r w:rsidR="00861492">
        <w:rPr>
          <w:rFonts w:cs="David"/>
          <w:szCs w:val="24"/>
          <w:rtl/>
        </w:rPr>
        <w:t>–</w:t>
      </w:r>
      <w:r w:rsidR="00861492">
        <w:rPr>
          <w:rFonts w:cs="David" w:hint="cs"/>
          <w:szCs w:val="24"/>
          <w:rtl/>
        </w:rPr>
        <w:t xml:space="preserve"> גם המבקר נכשל </w:t>
      </w:r>
      <w:proofErr w:type="spellStart"/>
      <w:r w:rsidR="00861492">
        <w:rPr>
          <w:rFonts w:cs="David" w:hint="cs"/>
          <w:szCs w:val="24"/>
          <w:rtl/>
        </w:rPr>
        <w:t>בנסיונו</w:t>
      </w:r>
      <w:proofErr w:type="spellEnd"/>
      <w:r w:rsidR="00861492">
        <w:rPr>
          <w:rFonts w:cs="David" w:hint="cs"/>
          <w:szCs w:val="24"/>
          <w:rtl/>
        </w:rPr>
        <w:t xml:space="preserve"> למלא את החלל של סנקציות לנבחרי ציבור בתחום האפור. </w:t>
      </w:r>
    </w:p>
    <w:p w:rsidR="00DF19B0" w:rsidRPr="00DF19B0" w:rsidRDefault="00DF19B0" w:rsidP="00E43E57">
      <w:pPr>
        <w:rPr>
          <w:rFonts w:cs="David"/>
          <w:szCs w:val="24"/>
          <w:u w:val="single"/>
          <w:rtl/>
        </w:rPr>
      </w:pPr>
      <w:r w:rsidRPr="00DF19B0">
        <w:rPr>
          <w:rFonts w:cs="David" w:hint="cs"/>
          <w:szCs w:val="24"/>
          <w:u w:val="single"/>
          <w:rtl/>
        </w:rPr>
        <w:t>טיפול בית המשפט בתחום האפור</w:t>
      </w:r>
    </w:p>
    <w:p w:rsidR="00DF19B0" w:rsidRDefault="00AF1F97" w:rsidP="000A733D">
      <w:pPr>
        <w:rPr>
          <w:rFonts w:cs="David"/>
          <w:szCs w:val="24"/>
          <w:rtl/>
        </w:rPr>
      </w:pPr>
      <w:r>
        <w:rPr>
          <w:rFonts w:cs="David" w:hint="cs"/>
          <w:szCs w:val="24"/>
          <w:rtl/>
        </w:rPr>
        <w:t xml:space="preserve">שנת </w:t>
      </w:r>
      <w:proofErr w:type="spellStart"/>
      <w:r>
        <w:rPr>
          <w:rFonts w:cs="David" w:hint="cs"/>
          <w:szCs w:val="24"/>
          <w:rtl/>
        </w:rPr>
        <w:t>92</w:t>
      </w:r>
      <w:proofErr w:type="spellEnd"/>
      <w:r>
        <w:rPr>
          <w:rFonts w:cs="David" w:hint="cs"/>
          <w:szCs w:val="24"/>
          <w:rtl/>
        </w:rPr>
        <w:t xml:space="preserve">' </w:t>
      </w:r>
      <w:r w:rsidR="000A733D">
        <w:rPr>
          <w:rFonts w:cs="David" w:hint="cs"/>
          <w:szCs w:val="24"/>
          <w:rtl/>
        </w:rPr>
        <w:t xml:space="preserve">- </w:t>
      </w:r>
      <w:r>
        <w:rPr>
          <w:rFonts w:cs="David" w:hint="cs"/>
          <w:szCs w:val="24"/>
          <w:rtl/>
        </w:rPr>
        <w:t xml:space="preserve">ממשלת רבין </w:t>
      </w:r>
      <w:proofErr w:type="spellStart"/>
      <w:r>
        <w:rPr>
          <w:rFonts w:cs="David" w:hint="cs"/>
          <w:szCs w:val="24"/>
          <w:rtl/>
        </w:rPr>
        <w:t>השניה</w:t>
      </w:r>
      <w:proofErr w:type="spellEnd"/>
      <w:r>
        <w:rPr>
          <w:rFonts w:cs="David" w:hint="cs"/>
          <w:szCs w:val="24"/>
          <w:rtl/>
        </w:rPr>
        <w:t xml:space="preserve">. דרעי כבר היה אחרי הגשת כתב אישום ועלתה השאלה מה דינו של שר שהוגש נגדו כתב אישום, והאם הוא יכול להמשיך לכהן. </w:t>
      </w:r>
    </w:p>
    <w:p w:rsidR="00AF1F97" w:rsidRDefault="00AF1F97" w:rsidP="00E43E57">
      <w:pPr>
        <w:rPr>
          <w:rFonts w:cs="David"/>
          <w:szCs w:val="24"/>
          <w:rtl/>
        </w:rPr>
      </w:pPr>
      <w:r>
        <w:rPr>
          <w:rFonts w:cs="David" w:hint="cs"/>
          <w:szCs w:val="24"/>
          <w:rtl/>
        </w:rPr>
        <w:t xml:space="preserve">החוק אינו מתייחס לנושא כלל, ולכן מי שהתערב היה היועמ"ש חריש </w:t>
      </w:r>
      <w:r>
        <w:rPr>
          <w:rFonts w:cs="David"/>
          <w:szCs w:val="24"/>
          <w:rtl/>
        </w:rPr>
        <w:t>–</w:t>
      </w:r>
      <w:r>
        <w:rPr>
          <w:rFonts w:cs="David" w:hint="cs"/>
          <w:szCs w:val="24"/>
          <w:rtl/>
        </w:rPr>
        <w:t xml:space="preserve"> שאמר לרבין שלא ראוי שדרעי ימשיך בתפקידו. רבין טען שהשאלה היא אם הדבר לא חוקי, ולא אם הוא ראוי, ואם החוק לא מחייב פיטורין, הוא לא יפטר את דרעי. </w:t>
      </w:r>
    </w:p>
    <w:p w:rsidR="00C92308" w:rsidRDefault="00C92308" w:rsidP="00E43E57">
      <w:pPr>
        <w:rPr>
          <w:rFonts w:cs="David"/>
          <w:szCs w:val="24"/>
          <w:rtl/>
        </w:rPr>
      </w:pPr>
      <w:r>
        <w:rPr>
          <w:rFonts w:cs="David" w:hint="cs"/>
          <w:szCs w:val="24"/>
          <w:rtl/>
        </w:rPr>
        <w:t xml:space="preserve">התנועה לאיכות השלטון פנתה לבג"ץ בטענה שלא ראוי ולאת תקין ששר שהוגש נגדו כתב אישום ימשיך לכהן </w:t>
      </w:r>
      <w:r>
        <w:rPr>
          <w:rFonts w:cs="David"/>
          <w:szCs w:val="24"/>
          <w:rtl/>
        </w:rPr>
        <w:t>–</w:t>
      </w:r>
      <w:r>
        <w:rPr>
          <w:rFonts w:cs="David" w:hint="cs"/>
          <w:szCs w:val="24"/>
          <w:rtl/>
        </w:rPr>
        <w:t xml:space="preserve"> גם לגבי דרעי וגם לגבי פנחסי. טענת "לא ראוי" מראה שהעותרים רוצים להביא את בית המשפט לעסוק בתחום האתי. </w:t>
      </w:r>
    </w:p>
    <w:p w:rsidR="00C92308" w:rsidRDefault="00C92308" w:rsidP="00E43E57">
      <w:pPr>
        <w:rPr>
          <w:rFonts w:cs="David"/>
          <w:szCs w:val="24"/>
          <w:rtl/>
        </w:rPr>
      </w:pPr>
      <w:r>
        <w:rPr>
          <w:rFonts w:cs="David" w:hint="cs"/>
          <w:szCs w:val="24"/>
          <w:rtl/>
        </w:rPr>
        <w:t xml:space="preserve">בית המשפט, בהרכבים של חמישה שופטים אמר שחובה על ראש הממשלה להעביר שר מכהונתו ברגע הגשת כתב אישום. הם התבססו על הסעיף הקובע </w:t>
      </w:r>
      <w:proofErr w:type="spellStart"/>
      <w:r>
        <w:rPr>
          <w:rFonts w:cs="David" w:hint="cs"/>
          <w:szCs w:val="24"/>
          <w:rtl/>
        </w:rPr>
        <w:t>שרוה"מ</w:t>
      </w:r>
      <w:proofErr w:type="spellEnd"/>
      <w:r>
        <w:rPr>
          <w:rFonts w:cs="David" w:hint="cs"/>
          <w:szCs w:val="24"/>
          <w:rtl/>
        </w:rPr>
        <w:t xml:space="preserve"> רשאי להעביר שר מכהונתו </w:t>
      </w:r>
      <w:r>
        <w:rPr>
          <w:rFonts w:cs="David"/>
          <w:szCs w:val="24"/>
          <w:rtl/>
        </w:rPr>
        <w:t>–</w:t>
      </w:r>
      <w:r>
        <w:rPr>
          <w:rFonts w:cs="David" w:hint="cs"/>
          <w:szCs w:val="24"/>
          <w:rtl/>
        </w:rPr>
        <w:t xml:space="preserve"> ופרשו במקרים </w:t>
      </w:r>
      <w:proofErr w:type="spellStart"/>
      <w:r>
        <w:rPr>
          <w:rFonts w:cs="David" w:hint="cs"/>
          <w:szCs w:val="24"/>
          <w:rtl/>
        </w:rPr>
        <w:t>מסויימים</w:t>
      </w:r>
      <w:proofErr w:type="spellEnd"/>
      <w:r>
        <w:rPr>
          <w:rFonts w:cs="David" w:hint="cs"/>
          <w:szCs w:val="24"/>
          <w:rtl/>
        </w:rPr>
        <w:t xml:space="preserve"> </w:t>
      </w:r>
      <w:proofErr w:type="spellStart"/>
      <w:r>
        <w:rPr>
          <w:rFonts w:cs="David" w:hint="cs"/>
          <w:szCs w:val="24"/>
          <w:rtl/>
        </w:rPr>
        <w:t>רוה"מ</w:t>
      </w:r>
      <w:proofErr w:type="spellEnd"/>
      <w:r>
        <w:rPr>
          <w:rFonts w:cs="David" w:hint="cs"/>
          <w:szCs w:val="24"/>
          <w:rtl/>
        </w:rPr>
        <w:t xml:space="preserve"> לא רק רשאי, אלא חייב. </w:t>
      </w:r>
    </w:p>
    <w:p w:rsidR="00C92308" w:rsidRDefault="00C92308" w:rsidP="00E43E57">
      <w:pPr>
        <w:rPr>
          <w:rFonts w:cs="David"/>
          <w:szCs w:val="24"/>
          <w:rtl/>
        </w:rPr>
      </w:pPr>
      <w:r>
        <w:rPr>
          <w:rFonts w:cs="David" w:hint="cs"/>
          <w:szCs w:val="24"/>
          <w:rtl/>
        </w:rPr>
        <w:t>היום חוק יסוד הממשלה קובע ששר חייב להתפטר</w:t>
      </w:r>
      <w:r w:rsidR="00C54940">
        <w:rPr>
          <w:rFonts w:cs="David" w:hint="cs"/>
          <w:szCs w:val="24"/>
          <w:rtl/>
        </w:rPr>
        <w:t xml:space="preserve"> רק</w:t>
      </w:r>
      <w:r>
        <w:rPr>
          <w:rFonts w:cs="David" w:hint="cs"/>
          <w:szCs w:val="24"/>
          <w:rtl/>
        </w:rPr>
        <w:t xml:space="preserve"> עם הרשאתו בעבירה שיש עמה קלון </w:t>
      </w:r>
      <w:r>
        <w:rPr>
          <w:rFonts w:cs="David"/>
          <w:szCs w:val="24"/>
          <w:rtl/>
        </w:rPr>
        <w:t>–</w:t>
      </w:r>
      <w:r>
        <w:rPr>
          <w:rFonts w:cs="David" w:hint="cs"/>
          <w:szCs w:val="24"/>
          <w:rtl/>
        </w:rPr>
        <w:t xml:space="preserve"> אך הנורמה עדיין קיימת. המשמעות </w:t>
      </w:r>
      <w:r>
        <w:rPr>
          <w:rFonts w:cs="David"/>
          <w:szCs w:val="24"/>
          <w:rtl/>
        </w:rPr>
        <w:t>–</w:t>
      </w:r>
      <w:r>
        <w:rPr>
          <w:rFonts w:cs="David" w:hint="cs"/>
          <w:szCs w:val="24"/>
          <w:rtl/>
        </w:rPr>
        <w:t xml:space="preserve"> בית המשפט תרגם נורמה אתית </w:t>
      </w:r>
      <w:proofErr w:type="spellStart"/>
      <w:r>
        <w:rPr>
          <w:rFonts w:cs="David" w:hint="cs"/>
          <w:szCs w:val="24"/>
          <w:rtl/>
        </w:rPr>
        <w:t>להנחייה</w:t>
      </w:r>
      <w:proofErr w:type="spellEnd"/>
      <w:r>
        <w:rPr>
          <w:rFonts w:cs="David" w:hint="cs"/>
          <w:szCs w:val="24"/>
          <w:rtl/>
        </w:rPr>
        <w:t xml:space="preserve"> מחייבת משפטית. </w:t>
      </w:r>
    </w:p>
    <w:p w:rsidR="00C54940" w:rsidRPr="00C54940" w:rsidRDefault="00C54940" w:rsidP="00E43E57">
      <w:pPr>
        <w:rPr>
          <w:rFonts w:cs="David"/>
          <w:szCs w:val="24"/>
          <w:u w:val="single"/>
          <w:rtl/>
        </w:rPr>
      </w:pPr>
      <w:r w:rsidRPr="00C54940">
        <w:rPr>
          <w:rFonts w:cs="David" w:hint="cs"/>
          <w:szCs w:val="24"/>
          <w:u w:val="single"/>
          <w:rtl/>
        </w:rPr>
        <w:t>החיפוש אחר השלדים בארון</w:t>
      </w:r>
    </w:p>
    <w:p w:rsidR="00C54940" w:rsidRDefault="00C54940" w:rsidP="009B5ECA">
      <w:pPr>
        <w:rPr>
          <w:rFonts w:cs="David"/>
          <w:szCs w:val="24"/>
          <w:rtl/>
        </w:rPr>
      </w:pPr>
      <w:r>
        <w:rPr>
          <w:rFonts w:cs="David" w:hint="cs"/>
          <w:szCs w:val="24"/>
          <w:rtl/>
        </w:rPr>
        <w:t xml:space="preserve">פס"ד אייזנברג </w:t>
      </w:r>
      <w:r>
        <w:rPr>
          <w:rFonts w:cs="David"/>
          <w:szCs w:val="24"/>
          <w:rtl/>
        </w:rPr>
        <w:t>–</w:t>
      </w:r>
      <w:r>
        <w:rPr>
          <w:rFonts w:cs="David" w:hint="cs"/>
          <w:szCs w:val="24"/>
          <w:rtl/>
        </w:rPr>
        <w:t xml:space="preserve"> עוסק במינוי יוסי גינוסר. יוסי גינוסר, כאיש שב"כ היה מעורב בפרשת קו 300, אז היה נציג השב"כ בועדת החקירה אשר דווח על המתנהל בה לאנשי השב"כ ומכין אותם לחקירתם; בנוסף, היה מעורב כחוקר בפרשת </w:t>
      </w:r>
      <w:proofErr w:type="spellStart"/>
      <w:r>
        <w:rPr>
          <w:rFonts w:cs="David" w:hint="cs"/>
          <w:szCs w:val="24"/>
          <w:rtl/>
        </w:rPr>
        <w:t>נאפסו</w:t>
      </w:r>
      <w:proofErr w:type="spellEnd"/>
      <w:r>
        <w:rPr>
          <w:rFonts w:cs="David" w:hint="cs"/>
          <w:szCs w:val="24"/>
          <w:rtl/>
        </w:rPr>
        <w:t xml:space="preserve">, קצין צ'רקסי שנחקר בחשד בגידה, ובעת החקירה הופעלו נגדו אמצעים פסולים. השאלה </w:t>
      </w:r>
      <w:proofErr w:type="spellStart"/>
      <w:r>
        <w:rPr>
          <w:rFonts w:cs="David" w:hint="cs"/>
          <w:szCs w:val="24"/>
          <w:rtl/>
        </w:rPr>
        <w:t>היתה</w:t>
      </w:r>
      <w:proofErr w:type="spellEnd"/>
      <w:r>
        <w:rPr>
          <w:rFonts w:cs="David" w:hint="cs"/>
          <w:szCs w:val="24"/>
          <w:rtl/>
        </w:rPr>
        <w:t xml:space="preserve"> אם הוא יכול להתמנות למנכ"ל משרד הבינוי והשיכון. בית המשפט התחיל את פסק הדין במילים </w:t>
      </w:r>
      <w:r w:rsidR="009B5ECA">
        <w:rPr>
          <w:rFonts w:cs="David" w:hint="cs"/>
          <w:szCs w:val="24"/>
          <w:rtl/>
        </w:rPr>
        <w:t>"</w:t>
      </w:r>
      <w:r>
        <w:rPr>
          <w:rFonts w:cs="David" w:hint="cs"/>
          <w:szCs w:val="24"/>
          <w:rtl/>
        </w:rPr>
        <w:t>האם עבריין יכול להיות מנכ"ל משרד</w:t>
      </w:r>
      <w:r w:rsidR="009B5ECA">
        <w:rPr>
          <w:rFonts w:cs="David" w:hint="cs"/>
          <w:szCs w:val="24"/>
          <w:rtl/>
        </w:rPr>
        <w:t xml:space="preserve"> ממשלתי" </w:t>
      </w:r>
      <w:r>
        <w:rPr>
          <w:rFonts w:cs="David"/>
          <w:szCs w:val="24"/>
          <w:rtl/>
        </w:rPr>
        <w:t>–</w:t>
      </w:r>
      <w:r>
        <w:rPr>
          <w:rFonts w:cs="David" w:hint="cs"/>
          <w:szCs w:val="24"/>
          <w:rtl/>
        </w:rPr>
        <w:t xml:space="preserve"> למרות שגינוסר לא הורשע בשום עבירה פלילית. </w:t>
      </w:r>
    </w:p>
    <w:p w:rsidR="00C54940" w:rsidRPr="004B1883" w:rsidRDefault="009B5ECA" w:rsidP="00E43E57">
      <w:pPr>
        <w:rPr>
          <w:rFonts w:cs="David"/>
          <w:szCs w:val="24"/>
          <w:rtl/>
        </w:rPr>
      </w:pPr>
      <w:r>
        <w:rPr>
          <w:rFonts w:cs="David" w:hint="cs"/>
          <w:szCs w:val="24"/>
          <w:rtl/>
        </w:rPr>
        <w:t xml:space="preserve">לשיעור הבא - </w:t>
      </w:r>
      <w:r w:rsidR="00C54940">
        <w:rPr>
          <w:rFonts w:cs="David" w:hint="cs"/>
          <w:szCs w:val="24"/>
          <w:rtl/>
        </w:rPr>
        <w:t xml:space="preserve">לקרוא את פסק הדין. </w:t>
      </w:r>
    </w:p>
    <w:p w:rsidR="004F3C47" w:rsidRPr="009E7EB7" w:rsidRDefault="004F3C47" w:rsidP="00880420">
      <w:pPr>
        <w:rPr>
          <w:rFonts w:cs="David"/>
          <w:szCs w:val="24"/>
        </w:rPr>
      </w:pPr>
    </w:p>
    <w:sectPr w:rsidR="004F3C47" w:rsidRPr="009E7EB7" w:rsidSect="00C23C1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47" w:rsidRDefault="00565847" w:rsidP="004C3965">
      <w:pPr>
        <w:spacing w:after="0" w:line="240" w:lineRule="auto"/>
      </w:pPr>
      <w:r>
        <w:separator/>
      </w:r>
    </w:p>
  </w:endnote>
  <w:endnote w:type="continuationSeparator" w:id="0">
    <w:p w:rsidR="00565847" w:rsidRDefault="00565847" w:rsidP="004C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47" w:rsidRDefault="00565847" w:rsidP="004C3965">
      <w:pPr>
        <w:spacing w:after="0" w:line="240" w:lineRule="auto"/>
      </w:pPr>
      <w:r>
        <w:separator/>
      </w:r>
    </w:p>
  </w:footnote>
  <w:footnote w:type="continuationSeparator" w:id="0">
    <w:p w:rsidR="00565847" w:rsidRDefault="00565847" w:rsidP="004C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65" w:rsidRDefault="004C3965" w:rsidP="00880420">
    <w:pPr>
      <w:jc w:val="center"/>
      <w:rPr>
        <w:rFonts w:cs="David"/>
        <w:sz w:val="24"/>
        <w:szCs w:val="24"/>
        <w:rtl/>
      </w:rPr>
    </w:pPr>
    <w:r>
      <w:rPr>
        <w:rFonts w:cs="David" w:hint="cs"/>
        <w:sz w:val="24"/>
        <w:szCs w:val="24"/>
        <w:rtl/>
      </w:rPr>
      <w:t xml:space="preserve">סוגיות במשפט ציבורי </w:t>
    </w:r>
    <w:r>
      <w:rPr>
        <w:rFonts w:cs="David"/>
        <w:sz w:val="24"/>
        <w:szCs w:val="24"/>
        <w:rtl/>
      </w:rPr>
      <w:t>–</w:t>
    </w:r>
    <w:r>
      <w:rPr>
        <w:rFonts w:cs="David" w:hint="cs"/>
        <w:sz w:val="24"/>
        <w:szCs w:val="24"/>
        <w:rtl/>
      </w:rPr>
      <w:t xml:space="preserve"> </w:t>
    </w:r>
    <w:r w:rsidR="00243389">
      <w:rPr>
        <w:rFonts w:cs="David" w:hint="cs"/>
        <w:sz w:val="24"/>
        <w:szCs w:val="24"/>
        <w:rtl/>
      </w:rPr>
      <w:t xml:space="preserve">שיעור </w:t>
    </w:r>
    <w:r w:rsidR="00681FE8">
      <w:rPr>
        <w:rFonts w:cs="David" w:hint="cs"/>
        <w:sz w:val="24"/>
        <w:szCs w:val="24"/>
        <w:rtl/>
      </w:rPr>
      <w:t>1</w:t>
    </w:r>
    <w:r w:rsidR="00880420">
      <w:rPr>
        <w:rFonts w:cs="David" w:hint="cs"/>
        <w:sz w:val="24"/>
        <w:szCs w:val="24"/>
        <w:rtl/>
      </w:rPr>
      <w:t>2</w:t>
    </w:r>
    <w:r w:rsidR="00243389">
      <w:rPr>
        <w:rFonts w:cs="David" w:hint="cs"/>
        <w:sz w:val="24"/>
        <w:szCs w:val="24"/>
        <w:rtl/>
      </w:rPr>
      <w:t xml:space="preserve"> - </w:t>
    </w:r>
    <w:proofErr w:type="spellStart"/>
    <w:r>
      <w:rPr>
        <w:rFonts w:cs="David" w:hint="cs"/>
        <w:sz w:val="24"/>
        <w:szCs w:val="24"/>
        <w:rtl/>
      </w:rPr>
      <w:t>פרופ</w:t>
    </w:r>
    <w:proofErr w:type="spellEnd"/>
    <w:r>
      <w:rPr>
        <w:rFonts w:cs="David" w:hint="cs"/>
        <w:sz w:val="24"/>
        <w:szCs w:val="24"/>
        <w:rtl/>
      </w:rPr>
      <w:t xml:space="preserve">' סוזי נבות, </w:t>
    </w:r>
    <w:r w:rsidR="00880420">
      <w:rPr>
        <w:rFonts w:cs="David" w:hint="cs"/>
        <w:sz w:val="24"/>
        <w:szCs w:val="24"/>
        <w:rtl/>
      </w:rPr>
      <w:t>7.1.15</w:t>
    </w:r>
  </w:p>
  <w:p w:rsidR="004C3965" w:rsidRDefault="004C3965" w:rsidP="004C3965">
    <w:pPr>
      <w:pStyle w:val="a3"/>
    </w:pPr>
  </w:p>
  <w:p w:rsidR="004C3965" w:rsidRDefault="004C39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E79"/>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A3D"/>
    <w:multiLevelType w:val="hybridMultilevel"/>
    <w:tmpl w:val="FFDC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93C31"/>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773B3"/>
    <w:multiLevelType w:val="hybridMultilevel"/>
    <w:tmpl w:val="B8C2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75F72"/>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76537"/>
    <w:multiLevelType w:val="hybridMultilevel"/>
    <w:tmpl w:val="8B2E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373A3"/>
    <w:multiLevelType w:val="hybridMultilevel"/>
    <w:tmpl w:val="0ECAC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755D4B"/>
    <w:multiLevelType w:val="hybridMultilevel"/>
    <w:tmpl w:val="B96A9C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EE74844"/>
    <w:multiLevelType w:val="hybridMultilevel"/>
    <w:tmpl w:val="0996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8F43F8"/>
    <w:multiLevelType w:val="hybridMultilevel"/>
    <w:tmpl w:val="9842A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C0FA3"/>
    <w:multiLevelType w:val="hybridMultilevel"/>
    <w:tmpl w:val="2DEE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33FBB"/>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92645"/>
    <w:multiLevelType w:val="hybridMultilevel"/>
    <w:tmpl w:val="A2B6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8750B8"/>
    <w:multiLevelType w:val="hybridMultilevel"/>
    <w:tmpl w:val="C11C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2"/>
  </w:num>
  <w:num w:numId="5">
    <w:abstractNumId w:val="13"/>
  </w:num>
  <w:num w:numId="6">
    <w:abstractNumId w:val="10"/>
  </w:num>
  <w:num w:numId="7">
    <w:abstractNumId w:val="4"/>
  </w:num>
  <w:num w:numId="8">
    <w:abstractNumId w:val="0"/>
  </w:num>
  <w:num w:numId="9">
    <w:abstractNumId w:val="8"/>
  </w:num>
  <w:num w:numId="10">
    <w:abstractNumId w:val="1"/>
  </w:num>
  <w:num w:numId="11">
    <w:abstractNumId w:val="12"/>
  </w:num>
  <w:num w:numId="12">
    <w:abstractNumId w:val="9"/>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C3965"/>
    <w:rsid w:val="00004BE0"/>
    <w:rsid w:val="00017C3A"/>
    <w:rsid w:val="00021862"/>
    <w:rsid w:val="000423E2"/>
    <w:rsid w:val="00056AF8"/>
    <w:rsid w:val="00067255"/>
    <w:rsid w:val="0006737C"/>
    <w:rsid w:val="00095C07"/>
    <w:rsid w:val="000A1E04"/>
    <w:rsid w:val="000A733D"/>
    <w:rsid w:val="000B71CA"/>
    <w:rsid w:val="000D0AAE"/>
    <w:rsid w:val="000D477E"/>
    <w:rsid w:val="000D65D5"/>
    <w:rsid w:val="0011395F"/>
    <w:rsid w:val="00114E7B"/>
    <w:rsid w:val="00121322"/>
    <w:rsid w:val="001331CC"/>
    <w:rsid w:val="001451B2"/>
    <w:rsid w:val="00150036"/>
    <w:rsid w:val="0017055F"/>
    <w:rsid w:val="001A40F5"/>
    <w:rsid w:val="001A421A"/>
    <w:rsid w:val="001C2481"/>
    <w:rsid w:val="001C3E9F"/>
    <w:rsid w:val="00211C85"/>
    <w:rsid w:val="00215FF4"/>
    <w:rsid w:val="00216D4E"/>
    <w:rsid w:val="00224D66"/>
    <w:rsid w:val="00225E23"/>
    <w:rsid w:val="00243389"/>
    <w:rsid w:val="00256720"/>
    <w:rsid w:val="00264C5A"/>
    <w:rsid w:val="002752BE"/>
    <w:rsid w:val="002862BB"/>
    <w:rsid w:val="002A6F6E"/>
    <w:rsid w:val="002B256A"/>
    <w:rsid w:val="002C772D"/>
    <w:rsid w:val="002D4B9A"/>
    <w:rsid w:val="002E5390"/>
    <w:rsid w:val="00301AEC"/>
    <w:rsid w:val="003443CC"/>
    <w:rsid w:val="00352A07"/>
    <w:rsid w:val="00366F9A"/>
    <w:rsid w:val="003737BA"/>
    <w:rsid w:val="00381B53"/>
    <w:rsid w:val="003835F6"/>
    <w:rsid w:val="00396FE2"/>
    <w:rsid w:val="003C6E65"/>
    <w:rsid w:val="003D1E5F"/>
    <w:rsid w:val="003E4850"/>
    <w:rsid w:val="003F1E1E"/>
    <w:rsid w:val="004129BF"/>
    <w:rsid w:val="00436001"/>
    <w:rsid w:val="0044008F"/>
    <w:rsid w:val="004457B0"/>
    <w:rsid w:val="00456872"/>
    <w:rsid w:val="004600CD"/>
    <w:rsid w:val="00467BCE"/>
    <w:rsid w:val="004848C0"/>
    <w:rsid w:val="00484FB4"/>
    <w:rsid w:val="00494BAA"/>
    <w:rsid w:val="004A1FCD"/>
    <w:rsid w:val="004A4784"/>
    <w:rsid w:val="004B1883"/>
    <w:rsid w:val="004C3965"/>
    <w:rsid w:val="004C7290"/>
    <w:rsid w:val="004D74B7"/>
    <w:rsid w:val="004F3C47"/>
    <w:rsid w:val="00523829"/>
    <w:rsid w:val="00547101"/>
    <w:rsid w:val="00565847"/>
    <w:rsid w:val="00580788"/>
    <w:rsid w:val="00581F71"/>
    <w:rsid w:val="005C12AD"/>
    <w:rsid w:val="005C3552"/>
    <w:rsid w:val="005C7080"/>
    <w:rsid w:val="005F460E"/>
    <w:rsid w:val="005F68C1"/>
    <w:rsid w:val="006059FD"/>
    <w:rsid w:val="00634912"/>
    <w:rsid w:val="006433A0"/>
    <w:rsid w:val="00645E1F"/>
    <w:rsid w:val="00681FE8"/>
    <w:rsid w:val="00691B8F"/>
    <w:rsid w:val="00695382"/>
    <w:rsid w:val="006A22C0"/>
    <w:rsid w:val="006B5D67"/>
    <w:rsid w:val="006B6730"/>
    <w:rsid w:val="006C6437"/>
    <w:rsid w:val="006D0013"/>
    <w:rsid w:val="006D4457"/>
    <w:rsid w:val="006E2BEB"/>
    <w:rsid w:val="00700910"/>
    <w:rsid w:val="00710FF2"/>
    <w:rsid w:val="00722247"/>
    <w:rsid w:val="007663BF"/>
    <w:rsid w:val="00781458"/>
    <w:rsid w:val="00783C9E"/>
    <w:rsid w:val="00784C9A"/>
    <w:rsid w:val="007905E5"/>
    <w:rsid w:val="007C1898"/>
    <w:rsid w:val="007D0745"/>
    <w:rsid w:val="007E0264"/>
    <w:rsid w:val="00812E77"/>
    <w:rsid w:val="00816E95"/>
    <w:rsid w:val="008237F3"/>
    <w:rsid w:val="00832369"/>
    <w:rsid w:val="00833D63"/>
    <w:rsid w:val="00844129"/>
    <w:rsid w:val="00861492"/>
    <w:rsid w:val="00880420"/>
    <w:rsid w:val="00885B1D"/>
    <w:rsid w:val="0089259F"/>
    <w:rsid w:val="00896C2F"/>
    <w:rsid w:val="008B3AE3"/>
    <w:rsid w:val="008B4D02"/>
    <w:rsid w:val="008C2F6B"/>
    <w:rsid w:val="008D4942"/>
    <w:rsid w:val="008D6335"/>
    <w:rsid w:val="0090066B"/>
    <w:rsid w:val="00913BF1"/>
    <w:rsid w:val="00916B15"/>
    <w:rsid w:val="00922989"/>
    <w:rsid w:val="009307A4"/>
    <w:rsid w:val="00933CC3"/>
    <w:rsid w:val="0093418E"/>
    <w:rsid w:val="009638C8"/>
    <w:rsid w:val="00963ABA"/>
    <w:rsid w:val="00965879"/>
    <w:rsid w:val="009B15A5"/>
    <w:rsid w:val="009B5544"/>
    <w:rsid w:val="009B5ECA"/>
    <w:rsid w:val="009D4265"/>
    <w:rsid w:val="009E7EB7"/>
    <w:rsid w:val="00A078B7"/>
    <w:rsid w:val="00A30BDF"/>
    <w:rsid w:val="00A361B6"/>
    <w:rsid w:val="00A50C8B"/>
    <w:rsid w:val="00A554C5"/>
    <w:rsid w:val="00A74B7A"/>
    <w:rsid w:val="00A772CE"/>
    <w:rsid w:val="00A91E6B"/>
    <w:rsid w:val="00AF1F97"/>
    <w:rsid w:val="00AF24D3"/>
    <w:rsid w:val="00B7789F"/>
    <w:rsid w:val="00B86348"/>
    <w:rsid w:val="00B94B4B"/>
    <w:rsid w:val="00BA256C"/>
    <w:rsid w:val="00BC4262"/>
    <w:rsid w:val="00BE2FD2"/>
    <w:rsid w:val="00BE36A5"/>
    <w:rsid w:val="00BE401B"/>
    <w:rsid w:val="00BE7EC8"/>
    <w:rsid w:val="00BF7BF1"/>
    <w:rsid w:val="00C23C1F"/>
    <w:rsid w:val="00C54940"/>
    <w:rsid w:val="00C55BF8"/>
    <w:rsid w:val="00C675AE"/>
    <w:rsid w:val="00C92308"/>
    <w:rsid w:val="00CB5E03"/>
    <w:rsid w:val="00CC08C4"/>
    <w:rsid w:val="00CC363B"/>
    <w:rsid w:val="00D009C7"/>
    <w:rsid w:val="00D01BC4"/>
    <w:rsid w:val="00D67700"/>
    <w:rsid w:val="00D7306B"/>
    <w:rsid w:val="00D80B42"/>
    <w:rsid w:val="00D80F4D"/>
    <w:rsid w:val="00D87956"/>
    <w:rsid w:val="00D93157"/>
    <w:rsid w:val="00D946DD"/>
    <w:rsid w:val="00DA5973"/>
    <w:rsid w:val="00DA6930"/>
    <w:rsid w:val="00DA6FF3"/>
    <w:rsid w:val="00DB5263"/>
    <w:rsid w:val="00DD7767"/>
    <w:rsid w:val="00DE10AA"/>
    <w:rsid w:val="00DF19B0"/>
    <w:rsid w:val="00DF7277"/>
    <w:rsid w:val="00E02308"/>
    <w:rsid w:val="00E10B96"/>
    <w:rsid w:val="00E13E4C"/>
    <w:rsid w:val="00E145D4"/>
    <w:rsid w:val="00E255E6"/>
    <w:rsid w:val="00E43A19"/>
    <w:rsid w:val="00E43E57"/>
    <w:rsid w:val="00E53908"/>
    <w:rsid w:val="00E53975"/>
    <w:rsid w:val="00E629FC"/>
    <w:rsid w:val="00EB133E"/>
    <w:rsid w:val="00EB3382"/>
    <w:rsid w:val="00EC22B7"/>
    <w:rsid w:val="00F20C9C"/>
    <w:rsid w:val="00F23478"/>
    <w:rsid w:val="00F30353"/>
    <w:rsid w:val="00F321D1"/>
    <w:rsid w:val="00F419BD"/>
    <w:rsid w:val="00F67D8C"/>
    <w:rsid w:val="00F74F79"/>
    <w:rsid w:val="00FB23B9"/>
    <w:rsid w:val="00FC1692"/>
    <w:rsid w:val="00FE12FB"/>
    <w:rsid w:val="00FF4EE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965"/>
    <w:pPr>
      <w:tabs>
        <w:tab w:val="center" w:pos="4153"/>
        <w:tab w:val="right" w:pos="8306"/>
      </w:tabs>
      <w:spacing w:after="0" w:line="240" w:lineRule="auto"/>
    </w:pPr>
  </w:style>
  <w:style w:type="character" w:customStyle="1" w:styleId="a4">
    <w:name w:val="כותרת עליונה תו"/>
    <w:basedOn w:val="a0"/>
    <w:link w:val="a3"/>
    <w:uiPriority w:val="99"/>
    <w:rsid w:val="004C3965"/>
  </w:style>
  <w:style w:type="paragraph" w:styleId="a5">
    <w:name w:val="footer"/>
    <w:basedOn w:val="a"/>
    <w:link w:val="a6"/>
    <w:uiPriority w:val="99"/>
    <w:semiHidden/>
    <w:unhideWhenUsed/>
    <w:rsid w:val="004C3965"/>
    <w:pPr>
      <w:tabs>
        <w:tab w:val="center" w:pos="4153"/>
        <w:tab w:val="right" w:pos="8306"/>
      </w:tabs>
      <w:spacing w:after="0" w:line="240" w:lineRule="auto"/>
    </w:pPr>
  </w:style>
  <w:style w:type="character" w:customStyle="1" w:styleId="a6">
    <w:name w:val="כותרת תחתונה תו"/>
    <w:basedOn w:val="a0"/>
    <w:link w:val="a5"/>
    <w:uiPriority w:val="99"/>
    <w:semiHidden/>
    <w:rsid w:val="004C3965"/>
  </w:style>
  <w:style w:type="paragraph" w:styleId="a7">
    <w:name w:val="Balloon Text"/>
    <w:basedOn w:val="a"/>
    <w:link w:val="a8"/>
    <w:uiPriority w:val="99"/>
    <w:semiHidden/>
    <w:unhideWhenUsed/>
    <w:rsid w:val="004C396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C3965"/>
    <w:rPr>
      <w:rFonts w:ascii="Tahoma" w:hAnsi="Tahoma" w:cs="Tahoma"/>
      <w:sz w:val="16"/>
      <w:szCs w:val="16"/>
    </w:rPr>
  </w:style>
  <w:style w:type="paragraph" w:styleId="a9">
    <w:name w:val="List Paragraph"/>
    <w:basedOn w:val="a"/>
    <w:uiPriority w:val="34"/>
    <w:qFormat/>
    <w:rsid w:val="009229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B539D-7269-45B9-9953-40136384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1287</Words>
  <Characters>6439</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חגי</dc:creator>
  <cp:lastModifiedBy>גל חגי</cp:lastModifiedBy>
  <cp:revision>20</cp:revision>
  <dcterms:created xsi:type="dcterms:W3CDTF">2015-01-07T12:27:00Z</dcterms:created>
  <dcterms:modified xsi:type="dcterms:W3CDTF">2015-01-07T14:45:00Z</dcterms:modified>
</cp:coreProperties>
</file>