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72D" w:rsidRPr="003835F6" w:rsidRDefault="003835F6" w:rsidP="00681FE8">
      <w:pPr>
        <w:rPr>
          <w:rFonts w:cs="David" w:hint="cs"/>
          <w:b/>
          <w:bCs/>
          <w:szCs w:val="24"/>
          <w:u w:val="single"/>
          <w:rtl/>
        </w:rPr>
      </w:pPr>
      <w:r w:rsidRPr="003835F6">
        <w:rPr>
          <w:rFonts w:cs="David" w:hint="cs"/>
          <w:b/>
          <w:bCs/>
          <w:szCs w:val="24"/>
          <w:u w:val="single"/>
          <w:rtl/>
        </w:rPr>
        <w:t>היבטים חוקתיים של פרשת השחיתות (פרשת "ישראל ביתנו")</w:t>
      </w:r>
    </w:p>
    <w:p w:rsidR="003835F6" w:rsidRDefault="003835F6" w:rsidP="00681FE8">
      <w:pPr>
        <w:rPr>
          <w:rFonts w:cs="David" w:hint="cs"/>
          <w:szCs w:val="24"/>
          <w:rtl/>
        </w:rPr>
      </w:pPr>
      <w:r>
        <w:rPr>
          <w:rFonts w:cs="David" w:hint="cs"/>
          <w:szCs w:val="24"/>
          <w:rtl/>
        </w:rPr>
        <w:t xml:space="preserve">סגן שר, כחבר כנסת, נהנה מחסינות. </w:t>
      </w:r>
    </w:p>
    <w:p w:rsidR="003835F6" w:rsidRPr="00004BE0" w:rsidRDefault="003835F6" w:rsidP="00681FE8">
      <w:pPr>
        <w:rPr>
          <w:rFonts w:cs="David" w:hint="cs"/>
          <w:szCs w:val="24"/>
          <w:u w:val="single"/>
          <w:rtl/>
        </w:rPr>
      </w:pPr>
      <w:r w:rsidRPr="00004BE0">
        <w:rPr>
          <w:rFonts w:cs="David" w:hint="cs"/>
          <w:szCs w:val="24"/>
          <w:u w:val="single"/>
          <w:rtl/>
        </w:rPr>
        <w:t xml:space="preserve">לחברי הכנסת שני סוגים של חסינות </w:t>
      </w:r>
      <w:r w:rsidRPr="00004BE0">
        <w:rPr>
          <w:rFonts w:cs="David"/>
          <w:szCs w:val="24"/>
          <w:u w:val="single"/>
          <w:rtl/>
        </w:rPr>
        <w:t>–</w:t>
      </w:r>
      <w:r w:rsidRPr="00004BE0">
        <w:rPr>
          <w:rFonts w:cs="David" w:hint="cs"/>
          <w:szCs w:val="24"/>
          <w:u w:val="single"/>
          <w:rtl/>
        </w:rPr>
        <w:t xml:space="preserve"> </w:t>
      </w:r>
    </w:p>
    <w:p w:rsidR="003835F6" w:rsidRDefault="003835F6" w:rsidP="00634912">
      <w:pPr>
        <w:rPr>
          <w:rFonts w:cs="David" w:hint="cs"/>
          <w:szCs w:val="24"/>
          <w:rtl/>
        </w:rPr>
      </w:pPr>
      <w:r w:rsidRPr="003835F6">
        <w:rPr>
          <w:rFonts w:cs="David" w:hint="cs"/>
          <w:szCs w:val="24"/>
          <w:u w:val="single"/>
          <w:rtl/>
        </w:rPr>
        <w:t>חסינות במילוי תפקיד</w:t>
      </w:r>
      <w:r>
        <w:rPr>
          <w:rFonts w:cs="David" w:hint="cs"/>
          <w:szCs w:val="24"/>
          <w:rtl/>
        </w:rPr>
        <w:t xml:space="preserve"> </w:t>
      </w:r>
      <w:r>
        <w:rPr>
          <w:rFonts w:cs="David"/>
          <w:szCs w:val="24"/>
          <w:rtl/>
        </w:rPr>
        <w:t>–</w:t>
      </w:r>
      <w:r>
        <w:rPr>
          <w:rFonts w:cs="David" w:hint="cs"/>
          <w:szCs w:val="24"/>
          <w:rtl/>
        </w:rPr>
        <w:t xml:space="preserve"> כל פעולותיהם </w:t>
      </w:r>
      <w:r w:rsidR="00634912">
        <w:rPr>
          <w:rFonts w:cs="David" w:hint="cs"/>
          <w:szCs w:val="24"/>
          <w:rtl/>
        </w:rPr>
        <w:t xml:space="preserve">של חברי הכנסת </w:t>
      </w:r>
      <w:r w:rsidRPr="003835F6">
        <w:rPr>
          <w:rFonts w:cs="David" w:hint="cs"/>
          <w:b/>
          <w:bCs/>
          <w:szCs w:val="24"/>
          <w:rtl/>
        </w:rPr>
        <w:t>למען מילוי תפקידם</w:t>
      </w:r>
      <w:r>
        <w:rPr>
          <w:rFonts w:cs="David" w:hint="cs"/>
          <w:szCs w:val="24"/>
          <w:rtl/>
        </w:rPr>
        <w:t xml:space="preserve"> נהנ</w:t>
      </w:r>
      <w:r w:rsidR="00634912">
        <w:rPr>
          <w:rFonts w:cs="David" w:hint="cs"/>
          <w:szCs w:val="24"/>
          <w:rtl/>
        </w:rPr>
        <w:t>ים</w:t>
      </w:r>
      <w:r>
        <w:rPr>
          <w:rFonts w:cs="David" w:hint="cs"/>
          <w:szCs w:val="24"/>
          <w:rtl/>
        </w:rPr>
        <w:t xml:space="preserve"> מחסינות מלאה, פלילית ואזרחית, בזמן הכהונה ולאחר הכהונה. הרעיון הוא לאפשר לח"כ חופש ביטוי מלא, במסגרת תפקידו, בכל עניין. לכן, כל פעילותיהם, גם </w:t>
      </w:r>
      <w:proofErr w:type="spellStart"/>
      <w:r>
        <w:rPr>
          <w:rFonts w:cs="David" w:hint="cs"/>
          <w:szCs w:val="24"/>
          <w:rtl/>
        </w:rPr>
        <w:t>הבעיתיות</w:t>
      </w:r>
      <w:proofErr w:type="spellEnd"/>
      <w:r>
        <w:rPr>
          <w:rFonts w:cs="David" w:hint="cs"/>
          <w:szCs w:val="24"/>
          <w:rtl/>
        </w:rPr>
        <w:t xml:space="preserve"> ביותר, של בשארה ושל </w:t>
      </w:r>
      <w:proofErr w:type="spellStart"/>
      <w:r>
        <w:rPr>
          <w:rFonts w:cs="David" w:hint="cs"/>
          <w:szCs w:val="24"/>
          <w:rtl/>
        </w:rPr>
        <w:t>זועבי</w:t>
      </w:r>
      <w:proofErr w:type="spellEnd"/>
      <w:r>
        <w:rPr>
          <w:rFonts w:cs="David" w:hint="cs"/>
          <w:szCs w:val="24"/>
          <w:rtl/>
        </w:rPr>
        <w:t xml:space="preserve">, לא הביאו להעמדתם לדין. </w:t>
      </w:r>
    </w:p>
    <w:p w:rsidR="003835F6" w:rsidRDefault="003835F6" w:rsidP="003835F6">
      <w:pPr>
        <w:rPr>
          <w:rFonts w:cs="David" w:hint="cs"/>
          <w:szCs w:val="24"/>
          <w:rtl/>
        </w:rPr>
      </w:pPr>
      <w:r>
        <w:rPr>
          <w:rFonts w:cs="David" w:hint="cs"/>
          <w:szCs w:val="24"/>
          <w:rtl/>
        </w:rPr>
        <w:t xml:space="preserve">הכלל שנקבע בפסיקה, אומר שחסינות במילוי תפקיד הנה חסינות שלפיה ח"כ לא יכול לעשות עבירה יזומה מראש. ח"כ שמתכנן מראש לעשות עבירה פלילית לא יוגן על ידי החסינות. עם זאת, אם הח"כ נגרר, גולש להתנהגות לא חוקית, הדבר נחשב לרשלנות </w:t>
      </w:r>
      <w:r>
        <w:rPr>
          <w:rFonts w:cs="David"/>
          <w:szCs w:val="24"/>
          <w:rtl/>
        </w:rPr>
        <w:t>–</w:t>
      </w:r>
      <w:r>
        <w:rPr>
          <w:rFonts w:cs="David" w:hint="cs"/>
          <w:szCs w:val="24"/>
          <w:rtl/>
        </w:rPr>
        <w:t xml:space="preserve"> ועל רשלנות של ח"כ לא ניתן להעמידו לדין. </w:t>
      </w:r>
    </w:p>
    <w:p w:rsidR="003835F6" w:rsidRDefault="003835F6" w:rsidP="003835F6">
      <w:pPr>
        <w:rPr>
          <w:rFonts w:cs="David" w:hint="cs"/>
          <w:szCs w:val="24"/>
          <w:rtl/>
        </w:rPr>
      </w:pPr>
      <w:r>
        <w:rPr>
          <w:rFonts w:cs="David" w:hint="cs"/>
          <w:szCs w:val="24"/>
          <w:rtl/>
        </w:rPr>
        <w:t xml:space="preserve">המבחנים נקבעו על ידי בית המשפט העליון בדיון בסוגיית רפאל </w:t>
      </w:r>
      <w:proofErr w:type="spellStart"/>
      <w:r>
        <w:rPr>
          <w:rFonts w:cs="David" w:hint="cs"/>
          <w:szCs w:val="24"/>
          <w:rtl/>
        </w:rPr>
        <w:t>פינחסי</w:t>
      </w:r>
      <w:proofErr w:type="spellEnd"/>
      <w:r>
        <w:rPr>
          <w:rFonts w:cs="David" w:hint="cs"/>
          <w:szCs w:val="24"/>
          <w:rtl/>
        </w:rPr>
        <w:t xml:space="preserve"> מש"ס, אשר טען שמעשיו הם במסגרת מילוי תפקידו, ולכן עתר נגד היועץ המשפטי שהסיר את חסינותו. שם נקבע שלקיחת שוחד הנה מעשה מתוכנן מראש </w:t>
      </w:r>
      <w:r>
        <w:rPr>
          <w:rFonts w:cs="David"/>
          <w:szCs w:val="24"/>
          <w:rtl/>
        </w:rPr>
        <w:t>–</w:t>
      </w:r>
      <w:r>
        <w:rPr>
          <w:rFonts w:cs="David" w:hint="cs"/>
          <w:szCs w:val="24"/>
          <w:rtl/>
        </w:rPr>
        <w:t xml:space="preserve"> ולכן הסרת החסינות מוצדקת. </w:t>
      </w:r>
    </w:p>
    <w:p w:rsidR="00634912" w:rsidRDefault="00634912" w:rsidP="003835F6">
      <w:pPr>
        <w:rPr>
          <w:rFonts w:cs="David" w:hint="cs"/>
          <w:szCs w:val="24"/>
          <w:rtl/>
        </w:rPr>
      </w:pPr>
      <w:r>
        <w:rPr>
          <w:rFonts w:cs="David" w:hint="cs"/>
          <w:szCs w:val="24"/>
          <w:rtl/>
        </w:rPr>
        <w:t xml:space="preserve">בנימין נתניהו, בהיותו ר' האופוזיציה, הוציא במליאת הכנסת מסמך המסווג סודי ביותר וקרא ממנו. הדיון לגבי המעשה עסק בשאלה אם נתניהו תכנן את המעשה מראש או נגרר אליו. בית המשפט העליון, בדיון בנושא, עקב עתירה של רן כהן נגד היועץ המשפטי, עסק בעיקר בשאלת התכנון </w:t>
      </w:r>
      <w:proofErr w:type="spellStart"/>
      <w:r>
        <w:rPr>
          <w:rFonts w:cs="David" w:hint="cs"/>
          <w:szCs w:val="24"/>
          <w:rtl/>
        </w:rPr>
        <w:t>וההגררות</w:t>
      </w:r>
      <w:proofErr w:type="spellEnd"/>
      <w:r>
        <w:rPr>
          <w:rFonts w:cs="David" w:hint="cs"/>
          <w:szCs w:val="24"/>
          <w:rtl/>
        </w:rPr>
        <w:t xml:space="preserve">, וקבע שהמעשה לא היה מתוכנן, ולכן דחה את העתירה. </w:t>
      </w:r>
    </w:p>
    <w:p w:rsidR="00634912" w:rsidRDefault="00634912" w:rsidP="003835F6">
      <w:pPr>
        <w:rPr>
          <w:rFonts w:cs="David" w:hint="cs"/>
          <w:szCs w:val="24"/>
          <w:rtl/>
        </w:rPr>
      </w:pPr>
      <w:r>
        <w:rPr>
          <w:rFonts w:cs="David" w:hint="cs"/>
          <w:szCs w:val="24"/>
          <w:rtl/>
        </w:rPr>
        <w:t>היום מקובל שאמירה תמיד מוגנת, גם אם היא מתוכננת, בעוד שלגבי מעשים יש את מבחן התכנון.</w:t>
      </w:r>
    </w:p>
    <w:p w:rsidR="00634912" w:rsidRDefault="00634912" w:rsidP="003835F6">
      <w:pPr>
        <w:rPr>
          <w:rFonts w:cs="David" w:hint="cs"/>
          <w:szCs w:val="24"/>
          <w:rtl/>
        </w:rPr>
      </w:pPr>
      <w:r>
        <w:rPr>
          <w:rFonts w:cs="David" w:hint="cs"/>
          <w:szCs w:val="24"/>
          <w:rtl/>
        </w:rPr>
        <w:t xml:space="preserve">מעשיה של פאינה קירשנבאום, אם נעשו, אינם מוגנים על ידי החסינות, שכן לא נעשו למען מילוי תפקידה, ולכן אפשר יהיה להעמידה לדין פלילי. </w:t>
      </w:r>
    </w:p>
    <w:p w:rsidR="00017C3A" w:rsidRDefault="00634912" w:rsidP="003835F6">
      <w:pPr>
        <w:rPr>
          <w:rFonts w:cs="David" w:hint="cs"/>
          <w:szCs w:val="24"/>
          <w:rtl/>
        </w:rPr>
      </w:pPr>
      <w:r w:rsidRPr="00634912">
        <w:rPr>
          <w:rFonts w:cs="David" w:hint="cs"/>
          <w:szCs w:val="24"/>
          <w:u w:val="single"/>
          <w:rtl/>
        </w:rPr>
        <w:t>חסינויות נוספות - חסינות מפני מעצר וחסינות מפני חיפוש</w:t>
      </w:r>
      <w:r>
        <w:rPr>
          <w:rFonts w:cs="David" w:hint="cs"/>
          <w:szCs w:val="24"/>
          <w:rtl/>
        </w:rPr>
        <w:t>. חסינויות אלה מוקנות רק בזמן הכהונה, וניתן להסירן. לפי החוק, לא ניתן לעצור ח"כ, ולכן בתום החקירה, אם יזומן, ישוחרר לביתו. לח"כ אין חסינ</w:t>
      </w:r>
      <w:r w:rsidR="00004BE0">
        <w:rPr>
          <w:rFonts w:cs="David" w:hint="cs"/>
          <w:szCs w:val="24"/>
          <w:rtl/>
        </w:rPr>
        <w:t xml:space="preserve">ות בפני חקירה, אם כי לפי הנוהג, חקירה כזו מחייבת אישור של היועץ המשפטי. עם זאת, מאחר שלא ניתן לעצור ח"כ, הוא יכול לא להתייצב לחקירה, בלי להסתכן במעצר. </w:t>
      </w:r>
    </w:p>
    <w:p w:rsidR="00634912" w:rsidRDefault="00004BE0" w:rsidP="003835F6">
      <w:pPr>
        <w:rPr>
          <w:rFonts w:cs="David" w:hint="cs"/>
          <w:szCs w:val="24"/>
          <w:rtl/>
        </w:rPr>
      </w:pPr>
      <w:r>
        <w:rPr>
          <w:rFonts w:cs="David" w:hint="cs"/>
          <w:szCs w:val="24"/>
          <w:rtl/>
        </w:rPr>
        <w:t xml:space="preserve">חנין </w:t>
      </w:r>
      <w:proofErr w:type="spellStart"/>
      <w:r>
        <w:rPr>
          <w:rFonts w:cs="David" w:hint="cs"/>
          <w:szCs w:val="24"/>
          <w:rtl/>
        </w:rPr>
        <w:t>זועבי</w:t>
      </w:r>
      <w:proofErr w:type="spellEnd"/>
      <w:r>
        <w:rPr>
          <w:rFonts w:cs="David" w:hint="cs"/>
          <w:szCs w:val="24"/>
          <w:rtl/>
        </w:rPr>
        <w:t xml:space="preserve"> ניצלה זכות זו כדי לדחות את חקירתה בכמה שבועות. פאינה קירשנבאום, לעומתה, הגיעה לחקירה ואף מסרה גרסא. </w:t>
      </w:r>
    </w:p>
    <w:p w:rsidR="00017C3A" w:rsidRDefault="00017C3A" w:rsidP="003835F6">
      <w:pPr>
        <w:rPr>
          <w:rFonts w:cs="David" w:hint="cs"/>
          <w:szCs w:val="24"/>
          <w:rtl/>
        </w:rPr>
      </w:pPr>
      <w:r>
        <w:rPr>
          <w:rFonts w:cs="David" w:hint="cs"/>
          <w:szCs w:val="24"/>
          <w:rtl/>
        </w:rPr>
        <w:t xml:space="preserve">בפועל, לא מבקשים הסרת חסינות מפני מעצר וחיפוש, מאחר שהתהליך הארוך הופך את המעצר והחיפוש ללא מועילים מבחינה </w:t>
      </w:r>
      <w:proofErr w:type="spellStart"/>
      <w:r>
        <w:rPr>
          <w:rFonts w:cs="David" w:hint="cs"/>
          <w:szCs w:val="24"/>
          <w:rtl/>
        </w:rPr>
        <w:t>חקירתית</w:t>
      </w:r>
      <w:proofErr w:type="spellEnd"/>
      <w:r>
        <w:rPr>
          <w:rFonts w:cs="David" w:hint="cs"/>
          <w:szCs w:val="24"/>
          <w:rtl/>
        </w:rPr>
        <w:t xml:space="preserve">. </w:t>
      </w:r>
    </w:p>
    <w:p w:rsidR="00017C3A" w:rsidRDefault="00017C3A" w:rsidP="003E4850">
      <w:pPr>
        <w:rPr>
          <w:rFonts w:cs="David" w:hint="cs"/>
          <w:szCs w:val="24"/>
          <w:rtl/>
        </w:rPr>
      </w:pPr>
      <w:r w:rsidRPr="00017C3A">
        <w:rPr>
          <w:rFonts w:cs="David" w:hint="cs"/>
          <w:szCs w:val="24"/>
          <w:u w:val="single"/>
          <w:rtl/>
        </w:rPr>
        <w:t>זכות השתיקה</w:t>
      </w:r>
      <w:r>
        <w:rPr>
          <w:rFonts w:cs="David" w:hint="cs"/>
          <w:szCs w:val="24"/>
          <w:rtl/>
        </w:rPr>
        <w:t xml:space="preserve"> </w:t>
      </w:r>
      <w:r>
        <w:rPr>
          <w:rFonts w:cs="David"/>
          <w:szCs w:val="24"/>
          <w:rtl/>
        </w:rPr>
        <w:t>–</w:t>
      </w:r>
      <w:r>
        <w:rPr>
          <w:rFonts w:cs="David" w:hint="cs"/>
          <w:szCs w:val="24"/>
          <w:rtl/>
        </w:rPr>
        <w:t xml:space="preserve"> זכות השתיקה עומדת לכל אזרח. אך הדין החל על נבחרי ציבור, שונה מזה של כל הציבור. זכות השתיקה היא זכות במשפט פלילי, הנובעת מכך שעול הוכחת האשמה מוטלת על המדינה, והנאשם לא חייב לסייע לה בכך. השאלה המעניינת היא האם ראוי שאיש ציבור ישמור על זכות השתיקה בנושאים הקשורים להתנהלותו כאיש ציבור. הועדה אשר הציעה כללי אתיקה לחברי הכנסת </w:t>
      </w:r>
      <w:proofErr w:type="spellStart"/>
      <w:r>
        <w:rPr>
          <w:rFonts w:cs="David" w:hint="cs"/>
          <w:szCs w:val="24"/>
          <w:rtl/>
        </w:rPr>
        <w:t>ב06</w:t>
      </w:r>
      <w:proofErr w:type="spellEnd"/>
      <w:r>
        <w:rPr>
          <w:rFonts w:cs="David" w:hint="cs"/>
          <w:szCs w:val="24"/>
          <w:rtl/>
        </w:rPr>
        <w:t xml:space="preserve">' הציעה שלחברי כנסת לא תהיה זכות שתיקה בעניינים הנוגעים בהתנהלותם במסגרת מילוי תפקידם </w:t>
      </w:r>
      <w:r>
        <w:rPr>
          <w:rFonts w:cs="David"/>
          <w:szCs w:val="24"/>
          <w:rtl/>
        </w:rPr>
        <w:t>–</w:t>
      </w:r>
      <w:r>
        <w:rPr>
          <w:rFonts w:cs="David" w:hint="cs"/>
          <w:szCs w:val="24"/>
          <w:rtl/>
        </w:rPr>
        <w:t xml:space="preserve"> והצעה דומה הוצעה גם לגבי שרים וסגני שרים בהצעה לקוד אתי לממשלה. שני הקודים הללו לא אומצו. </w:t>
      </w:r>
      <w:r w:rsidR="003E4850">
        <w:rPr>
          <w:rFonts w:cs="David" w:hint="cs"/>
          <w:szCs w:val="24"/>
          <w:rtl/>
        </w:rPr>
        <w:t xml:space="preserve">עם זאת, </w:t>
      </w:r>
      <w:r>
        <w:rPr>
          <w:rFonts w:cs="David" w:hint="cs"/>
          <w:szCs w:val="24"/>
          <w:rtl/>
        </w:rPr>
        <w:t>נעמי בלומנט</w:t>
      </w:r>
      <w:r w:rsidR="003C6E65">
        <w:rPr>
          <w:rFonts w:cs="David" w:hint="cs"/>
          <w:szCs w:val="24"/>
          <w:rtl/>
        </w:rPr>
        <w:t xml:space="preserve">ל, כסגנית שר, שמרה על זכות השתיקה בחקירתה </w:t>
      </w:r>
      <w:r w:rsidR="003C6E65">
        <w:rPr>
          <w:rFonts w:cs="David"/>
          <w:szCs w:val="24"/>
          <w:rtl/>
        </w:rPr>
        <w:t>–</w:t>
      </w:r>
      <w:r w:rsidR="003C6E65">
        <w:rPr>
          <w:rFonts w:cs="David" w:hint="cs"/>
          <w:szCs w:val="24"/>
          <w:rtl/>
        </w:rPr>
        <w:t xml:space="preserve"> ולמחרת פוטרה על ידי ראש הממשלה אריאל שרון. </w:t>
      </w:r>
      <w:r w:rsidR="003C6E65" w:rsidRPr="003E4850">
        <w:rPr>
          <w:rFonts w:cs="David" w:hint="cs"/>
          <w:b/>
          <w:bCs/>
          <w:szCs w:val="24"/>
          <w:rtl/>
        </w:rPr>
        <w:t>בכך נוצרה מעין נורמה</w:t>
      </w:r>
      <w:r w:rsidR="003C6E65">
        <w:rPr>
          <w:rFonts w:cs="David" w:hint="cs"/>
          <w:szCs w:val="24"/>
          <w:rtl/>
        </w:rPr>
        <w:t xml:space="preserve"> </w:t>
      </w:r>
      <w:r w:rsidR="003C6E65">
        <w:rPr>
          <w:rFonts w:cs="David"/>
          <w:szCs w:val="24"/>
          <w:rtl/>
        </w:rPr>
        <w:t>–</w:t>
      </w:r>
      <w:r w:rsidR="003C6E65">
        <w:rPr>
          <w:rFonts w:cs="David" w:hint="cs"/>
          <w:szCs w:val="24"/>
          <w:rtl/>
        </w:rPr>
        <w:t xml:space="preserve"> אבל זו עדיין לא נבחנה. </w:t>
      </w:r>
    </w:p>
    <w:p w:rsidR="003E4850" w:rsidRDefault="003E4850" w:rsidP="003835F6">
      <w:pPr>
        <w:rPr>
          <w:rFonts w:cs="David" w:hint="cs"/>
          <w:szCs w:val="24"/>
          <w:rtl/>
        </w:rPr>
      </w:pPr>
      <w:r w:rsidRPr="003E4850">
        <w:rPr>
          <w:rFonts w:cs="David" w:hint="cs"/>
          <w:szCs w:val="24"/>
          <w:u w:val="single"/>
          <w:rtl/>
        </w:rPr>
        <w:lastRenderedPageBreak/>
        <w:t>המשך הכהונה</w:t>
      </w:r>
      <w:r>
        <w:rPr>
          <w:rFonts w:cs="David" w:hint="cs"/>
          <w:szCs w:val="24"/>
          <w:rtl/>
        </w:rPr>
        <w:t xml:space="preserve"> </w:t>
      </w:r>
      <w:r>
        <w:rPr>
          <w:rFonts w:cs="David"/>
          <w:szCs w:val="24"/>
          <w:rtl/>
        </w:rPr>
        <w:t>–</w:t>
      </w:r>
      <w:r>
        <w:rPr>
          <w:rFonts w:cs="David" w:hint="cs"/>
          <w:szCs w:val="24"/>
          <w:rtl/>
        </w:rPr>
        <w:t xml:space="preserve"> על פי הפסיקה, שר או סגן שר יפסיקו את תפקידם ביום שבו יוגש כתב אישום בעניינם. במקרים </w:t>
      </w:r>
      <w:proofErr w:type="spellStart"/>
      <w:r>
        <w:rPr>
          <w:rFonts w:cs="David" w:hint="cs"/>
          <w:szCs w:val="24"/>
          <w:rtl/>
        </w:rPr>
        <w:t>מסויימים</w:t>
      </w:r>
      <w:proofErr w:type="spellEnd"/>
      <w:r>
        <w:rPr>
          <w:rFonts w:cs="David" w:hint="cs"/>
          <w:szCs w:val="24"/>
          <w:rtl/>
        </w:rPr>
        <w:t xml:space="preserve"> יתכן </w:t>
      </w:r>
      <w:proofErr w:type="spellStart"/>
      <w:r>
        <w:rPr>
          <w:rFonts w:cs="David" w:hint="cs"/>
          <w:szCs w:val="24"/>
          <w:rtl/>
        </w:rPr>
        <w:t>שידרש</w:t>
      </w:r>
      <w:proofErr w:type="spellEnd"/>
      <w:r>
        <w:rPr>
          <w:rFonts w:cs="David" w:hint="cs"/>
          <w:szCs w:val="24"/>
          <w:rtl/>
        </w:rPr>
        <w:t xml:space="preserve"> השר להשעות עצמו קודם לכן </w:t>
      </w:r>
      <w:r>
        <w:rPr>
          <w:rFonts w:cs="David"/>
          <w:szCs w:val="24"/>
          <w:rtl/>
        </w:rPr>
        <w:t>–</w:t>
      </w:r>
      <w:r>
        <w:rPr>
          <w:rFonts w:cs="David" w:hint="cs"/>
          <w:szCs w:val="24"/>
          <w:rtl/>
        </w:rPr>
        <w:t xml:space="preserve"> למשל במקרה של שר הקשור בגופים החוקרים </w:t>
      </w:r>
      <w:r>
        <w:rPr>
          <w:rFonts w:cs="David"/>
          <w:szCs w:val="24"/>
          <w:rtl/>
        </w:rPr>
        <w:t>–</w:t>
      </w:r>
      <w:r>
        <w:rPr>
          <w:rFonts w:cs="David" w:hint="cs"/>
          <w:szCs w:val="24"/>
          <w:rtl/>
        </w:rPr>
        <w:t xml:space="preserve"> ובמקרה של השר </w:t>
      </w:r>
      <w:proofErr w:type="spellStart"/>
      <w:r>
        <w:rPr>
          <w:rFonts w:cs="David" w:hint="cs"/>
          <w:szCs w:val="24"/>
          <w:rtl/>
        </w:rPr>
        <w:t>לבטחון</w:t>
      </w:r>
      <w:proofErr w:type="spellEnd"/>
      <w:r>
        <w:rPr>
          <w:rFonts w:cs="David" w:hint="cs"/>
          <w:szCs w:val="24"/>
          <w:rtl/>
        </w:rPr>
        <w:t xml:space="preserve"> פנים צחי הנגבי, בית המשפט המליץ שישעה את עצמו כאשר המשטרה עסקה בחקירה נגדו. </w:t>
      </w:r>
    </w:p>
    <w:p w:rsidR="00BA256C" w:rsidRDefault="00BA256C" w:rsidP="003835F6">
      <w:pPr>
        <w:rPr>
          <w:rFonts w:cs="David" w:hint="cs"/>
          <w:szCs w:val="24"/>
          <w:rtl/>
        </w:rPr>
      </w:pPr>
      <w:r>
        <w:rPr>
          <w:rFonts w:cs="David" w:hint="cs"/>
          <w:szCs w:val="24"/>
          <w:rtl/>
        </w:rPr>
        <w:t>אנו מצ</w:t>
      </w:r>
      <w:r w:rsidR="004848C0">
        <w:rPr>
          <w:rFonts w:cs="David" w:hint="cs"/>
          <w:szCs w:val="24"/>
          <w:rtl/>
        </w:rPr>
        <w:t xml:space="preserve">פים מאנשי הציבור לרף ערכי גבוה </w:t>
      </w:r>
      <w:r w:rsidR="004848C0">
        <w:rPr>
          <w:rFonts w:cs="David"/>
          <w:szCs w:val="24"/>
          <w:rtl/>
        </w:rPr>
        <w:t>–</w:t>
      </w:r>
      <w:r w:rsidR="004848C0">
        <w:rPr>
          <w:rFonts w:cs="David" w:hint="cs"/>
          <w:szCs w:val="24"/>
          <w:rtl/>
        </w:rPr>
        <w:t xml:space="preserve"> גם ברמה האישית וגם ברמה המקצועית. </w:t>
      </w:r>
    </w:p>
    <w:p w:rsidR="004848C0" w:rsidRDefault="004848C0" w:rsidP="003835F6">
      <w:pPr>
        <w:rPr>
          <w:rFonts w:cs="David" w:hint="cs"/>
          <w:szCs w:val="24"/>
          <w:rtl/>
        </w:rPr>
      </w:pPr>
      <w:r>
        <w:rPr>
          <w:rFonts w:cs="David" w:hint="cs"/>
          <w:szCs w:val="24"/>
          <w:rtl/>
        </w:rPr>
        <w:t xml:space="preserve">רק התנהגות החוצה את הקו הפלילי כלפי מטה היא התנהגות לא חוקית. כל מה שמעליה, בטח ביחס לעובדי ציבור, יכולה להיות התנהגות לא ראויה, לא תקינה, לא ערכית </w:t>
      </w:r>
      <w:proofErr w:type="spellStart"/>
      <w:r>
        <w:rPr>
          <w:rFonts w:cs="David" w:hint="cs"/>
          <w:szCs w:val="24"/>
          <w:rtl/>
        </w:rPr>
        <w:t>וכו</w:t>
      </w:r>
      <w:proofErr w:type="spellEnd"/>
      <w:r>
        <w:rPr>
          <w:rFonts w:cs="David" w:hint="cs"/>
          <w:szCs w:val="24"/>
          <w:rtl/>
        </w:rPr>
        <w:t xml:space="preserve">' </w:t>
      </w:r>
      <w:r>
        <w:rPr>
          <w:rFonts w:cs="David"/>
          <w:szCs w:val="24"/>
          <w:rtl/>
        </w:rPr>
        <w:t>–</w:t>
      </w:r>
      <w:r>
        <w:rPr>
          <w:rFonts w:cs="David" w:hint="cs"/>
          <w:szCs w:val="24"/>
          <w:rtl/>
        </w:rPr>
        <w:t xml:space="preserve"> אך היא חוקית. </w:t>
      </w:r>
    </w:p>
    <w:p w:rsidR="005C3552" w:rsidRDefault="004848C0" w:rsidP="004848C0">
      <w:pPr>
        <w:rPr>
          <w:rFonts w:cs="David" w:hint="cs"/>
          <w:szCs w:val="24"/>
          <w:rtl/>
        </w:rPr>
      </w:pPr>
      <w:r>
        <w:rPr>
          <w:rFonts w:cs="David" w:hint="cs"/>
          <w:szCs w:val="24"/>
          <w:rtl/>
        </w:rPr>
        <w:t>קו האפס, קו העברה הפלילית</w:t>
      </w:r>
      <w:r w:rsidR="005C3552">
        <w:rPr>
          <w:rFonts w:cs="David" w:hint="cs"/>
          <w:szCs w:val="24"/>
          <w:rtl/>
        </w:rPr>
        <w:t xml:space="preserve"> </w:t>
      </w:r>
      <w:r w:rsidR="005C3552" w:rsidRPr="005C3552">
        <w:rPr>
          <w:rFonts w:cs="David" w:hint="cs"/>
          <w:szCs w:val="24"/>
          <w:u w:val="single"/>
          <w:rtl/>
        </w:rPr>
        <w:t>נקבע על ידי המחוקק</w:t>
      </w:r>
      <w:r w:rsidR="005C3552">
        <w:rPr>
          <w:rFonts w:cs="David" w:hint="cs"/>
          <w:szCs w:val="24"/>
          <w:rtl/>
        </w:rPr>
        <w:t xml:space="preserve">. הכנסת היא שקובעת אם מעשה </w:t>
      </w:r>
      <w:proofErr w:type="spellStart"/>
      <w:r w:rsidR="005C3552">
        <w:rPr>
          <w:rFonts w:cs="David" w:hint="cs"/>
          <w:szCs w:val="24"/>
          <w:rtl/>
        </w:rPr>
        <w:t>מסויים</w:t>
      </w:r>
      <w:proofErr w:type="spellEnd"/>
      <w:r w:rsidR="005C3552">
        <w:rPr>
          <w:rFonts w:cs="David" w:hint="cs"/>
          <w:szCs w:val="24"/>
          <w:rtl/>
        </w:rPr>
        <w:t xml:space="preserve"> הוא פלילי או לא. </w:t>
      </w:r>
    </w:p>
    <w:p w:rsidR="004848C0" w:rsidRDefault="005C3552" w:rsidP="004848C0">
      <w:pPr>
        <w:rPr>
          <w:rFonts w:cs="David" w:hint="cs"/>
          <w:szCs w:val="24"/>
          <w:rtl/>
        </w:rPr>
      </w:pPr>
      <w:r>
        <w:rPr>
          <w:rFonts w:cs="David" w:hint="cs"/>
          <w:szCs w:val="24"/>
          <w:rtl/>
        </w:rPr>
        <w:t xml:space="preserve">יש דוגמאות בודדות של עברות אתיות שאינן מוגדרות היטב על ידי פירוט הנסיבות. הפרת אמונים, בחוק הפלילי, והתנהגות שאינה הולמת בחוק הצבאי, הן עבירות כאלה. </w:t>
      </w:r>
      <w:r w:rsidR="004848C0">
        <w:rPr>
          <w:rFonts w:cs="David" w:hint="cs"/>
          <w:szCs w:val="24"/>
          <w:rtl/>
        </w:rPr>
        <w:t xml:space="preserve"> </w:t>
      </w:r>
    </w:p>
    <w:p w:rsidR="00017C3A" w:rsidRDefault="005C3552" w:rsidP="003835F6">
      <w:pPr>
        <w:rPr>
          <w:rFonts w:cs="David" w:hint="cs"/>
          <w:szCs w:val="24"/>
          <w:rtl/>
        </w:rPr>
      </w:pPr>
      <w:r>
        <w:rPr>
          <w:rFonts w:cs="David" w:hint="cs"/>
          <w:szCs w:val="24"/>
          <w:rtl/>
        </w:rPr>
        <w:t xml:space="preserve">מי שמוסמך לקבוע אם התנהגות </w:t>
      </w:r>
      <w:proofErr w:type="spellStart"/>
      <w:r>
        <w:rPr>
          <w:rFonts w:cs="David" w:hint="cs"/>
          <w:szCs w:val="24"/>
          <w:rtl/>
        </w:rPr>
        <w:t>מסויימת</w:t>
      </w:r>
      <w:proofErr w:type="spellEnd"/>
      <w:r>
        <w:rPr>
          <w:rFonts w:cs="David" w:hint="cs"/>
          <w:szCs w:val="24"/>
          <w:rtl/>
        </w:rPr>
        <w:t xml:space="preserve">, בעיקר בתוך העבירות הלא מוגדרות האלה, מצדיקה העמדה לדין, הנו היועץ המשפט לממשלה. הוא מי שמפעיל את הקו. </w:t>
      </w:r>
    </w:p>
    <w:p w:rsidR="005C3552" w:rsidRDefault="005C3552" w:rsidP="003835F6">
      <w:pPr>
        <w:rPr>
          <w:rFonts w:cs="David" w:hint="cs"/>
          <w:szCs w:val="24"/>
          <w:rtl/>
        </w:rPr>
      </w:pPr>
      <w:r>
        <w:rPr>
          <w:rFonts w:cs="David" w:hint="cs"/>
          <w:szCs w:val="24"/>
          <w:rtl/>
        </w:rPr>
        <w:t xml:space="preserve">מי שפוסק את הפסיקה האחרונה לגבי השאלה אם נעשתה עבירה הוא בית המשפט. </w:t>
      </w:r>
    </w:p>
    <w:p w:rsidR="005C3552" w:rsidRDefault="005C3552" w:rsidP="004A1FCD">
      <w:pPr>
        <w:rPr>
          <w:rFonts w:cs="David" w:hint="cs"/>
          <w:szCs w:val="24"/>
          <w:rtl/>
        </w:rPr>
      </w:pPr>
      <w:r>
        <w:rPr>
          <w:rFonts w:cs="David" w:hint="cs"/>
          <w:szCs w:val="24"/>
          <w:rtl/>
        </w:rPr>
        <w:t xml:space="preserve">היועץ המשפטי לממשלה, בהחלטותיו, </w:t>
      </w:r>
      <w:r w:rsidR="004A1FCD">
        <w:rPr>
          <w:rFonts w:cs="David" w:hint="cs"/>
          <w:szCs w:val="24"/>
          <w:rtl/>
        </w:rPr>
        <w:t xml:space="preserve">יכול </w:t>
      </w:r>
      <w:r w:rsidR="004A1FCD" w:rsidRPr="001451B2">
        <w:rPr>
          <w:rFonts w:cs="David" w:hint="cs"/>
          <w:szCs w:val="24"/>
          <w:u w:val="single"/>
          <w:rtl/>
        </w:rPr>
        <w:t>להעלות</w:t>
      </w:r>
      <w:r w:rsidRPr="001451B2">
        <w:rPr>
          <w:rFonts w:cs="David" w:hint="cs"/>
          <w:szCs w:val="24"/>
          <w:u w:val="single"/>
          <w:rtl/>
        </w:rPr>
        <w:t xml:space="preserve"> את הרף מעל קו האפס</w:t>
      </w:r>
      <w:r w:rsidR="004A1FCD">
        <w:rPr>
          <w:rFonts w:cs="David" w:hint="cs"/>
          <w:szCs w:val="24"/>
          <w:rtl/>
        </w:rPr>
        <w:t xml:space="preserve"> על ידי שהוא מחליט להעמיד לדין אדם על מעשים שנעשו קודם בלי העמדה לדין. מקרה בולט כזה הוא המקרה של העמדתו לדין של צחי הנגבי באשמה של ביצוע מינויים פוליטיים. מינויים פוליטיים היו נורמה ציבורית, עד שהשופט גולדברג, בהיותו מבקר המדינה, קבע שהמינויים הפוליטיים שביצע הנגבי במשרד לאיכות הסביבה, הוו רמיסה של החוק ברגל גסה </w:t>
      </w:r>
      <w:r w:rsidR="004A1FCD">
        <w:rPr>
          <w:rFonts w:cs="David"/>
          <w:szCs w:val="24"/>
          <w:rtl/>
        </w:rPr>
        <w:t>–</w:t>
      </w:r>
      <w:r w:rsidR="004A1FCD">
        <w:rPr>
          <w:rFonts w:cs="David" w:hint="cs"/>
          <w:szCs w:val="24"/>
          <w:rtl/>
        </w:rPr>
        <w:t xml:space="preserve"> והפנה את הדו"ח ליועץ המשפטי לממשלה בטענה שמדובר במעשה פלילי.</w:t>
      </w:r>
    </w:p>
    <w:p w:rsidR="004A1FCD" w:rsidRDefault="004A1FCD" w:rsidP="004A1FCD">
      <w:pPr>
        <w:rPr>
          <w:rFonts w:cs="David" w:hint="cs"/>
          <w:szCs w:val="24"/>
          <w:rtl/>
        </w:rPr>
      </w:pPr>
      <w:r>
        <w:rPr>
          <w:rFonts w:cs="David" w:hint="cs"/>
          <w:szCs w:val="24"/>
          <w:rtl/>
        </w:rPr>
        <w:t xml:space="preserve">מני מזוז, כיועמ"ש, הכין כתב אישום נגד הנגבי, בעבירה של מרמה והפרת אמונים. בכך הוא קבע שהרף הפלילי עובר מעל המעשה של מינוי פוליטי. צחי הנגבי טען בבית המשפט שלא ניתן להעניש אותו בלי שהוזהר קודם שמדובר במעשה לא חוקי. לתימוכין בעמדתו, הוא הציג את כל המינויים הפוליטיים שנעשו במשרד לפניו. בית משפט השלום זיכה את הנגבי בעניין המינויים הפוליטיים, והרשיע אותו בעבירה אחרת של עדות שקר. שניים מהשופטים טענו שמינויים פוליטיים בסדר גודל </w:t>
      </w:r>
      <w:proofErr w:type="spellStart"/>
      <w:r>
        <w:rPr>
          <w:rFonts w:cs="David" w:hint="cs"/>
          <w:szCs w:val="24"/>
          <w:rtl/>
        </w:rPr>
        <w:t>מסויים</w:t>
      </w:r>
      <w:proofErr w:type="spellEnd"/>
      <w:r>
        <w:rPr>
          <w:rFonts w:cs="David" w:hint="cs"/>
          <w:szCs w:val="24"/>
          <w:rtl/>
        </w:rPr>
        <w:t xml:space="preserve"> אכן עולים לרמה של עבירה פלילית </w:t>
      </w:r>
      <w:r>
        <w:rPr>
          <w:rFonts w:cs="David"/>
          <w:szCs w:val="24"/>
          <w:rtl/>
        </w:rPr>
        <w:t>–</w:t>
      </w:r>
      <w:r>
        <w:rPr>
          <w:rFonts w:cs="David" w:hint="cs"/>
          <w:szCs w:val="24"/>
          <w:rtl/>
        </w:rPr>
        <w:t xml:space="preserve"> אך </w:t>
      </w:r>
      <w:r w:rsidR="001451B2">
        <w:rPr>
          <w:rFonts w:cs="David" w:hint="cs"/>
          <w:szCs w:val="24"/>
          <w:rtl/>
        </w:rPr>
        <w:t xml:space="preserve">מאחר שהדבר לא נידון בערכאה גבוהה יותר, לא נקבעה בעניין הזה נורמה שיפוטית. </w:t>
      </w:r>
    </w:p>
    <w:p w:rsidR="001451B2" w:rsidRDefault="001451B2" w:rsidP="004A1FCD">
      <w:pPr>
        <w:rPr>
          <w:rFonts w:cs="David" w:hint="cs"/>
          <w:szCs w:val="24"/>
          <w:rtl/>
        </w:rPr>
      </w:pPr>
      <w:r>
        <w:rPr>
          <w:rFonts w:cs="David" w:hint="cs"/>
          <w:szCs w:val="24"/>
          <w:rtl/>
        </w:rPr>
        <w:t xml:space="preserve">בתיק נגד ליברמן בעניין השגריר </w:t>
      </w:r>
      <w:proofErr w:type="spellStart"/>
      <w:r>
        <w:rPr>
          <w:rFonts w:cs="David" w:hint="cs"/>
          <w:szCs w:val="24"/>
          <w:rtl/>
        </w:rPr>
        <w:t>בבלארוס</w:t>
      </w:r>
      <w:proofErr w:type="spellEnd"/>
      <w:r>
        <w:rPr>
          <w:rFonts w:cs="David" w:hint="cs"/>
          <w:szCs w:val="24"/>
          <w:rtl/>
        </w:rPr>
        <w:t xml:space="preserve">, ליברמן עמד לדין על כך שלא דווח לועדת המינויים על התנהגות השגריר. היועמ"ש </w:t>
      </w:r>
      <w:proofErr w:type="spellStart"/>
      <w:r>
        <w:rPr>
          <w:rFonts w:cs="David" w:hint="cs"/>
          <w:szCs w:val="24"/>
          <w:rtl/>
        </w:rPr>
        <w:t>וינשטיין</w:t>
      </w:r>
      <w:proofErr w:type="spellEnd"/>
      <w:r>
        <w:rPr>
          <w:rFonts w:cs="David" w:hint="cs"/>
          <w:szCs w:val="24"/>
          <w:rtl/>
        </w:rPr>
        <w:t xml:space="preserve"> החליט להעמיד את ליברמן לדין על התנהגות שבעבר לא הביאה להעמדה לדין </w:t>
      </w:r>
      <w:r>
        <w:rPr>
          <w:rFonts w:cs="David"/>
          <w:szCs w:val="24"/>
          <w:rtl/>
        </w:rPr>
        <w:t>–</w:t>
      </w:r>
      <w:r>
        <w:rPr>
          <w:rFonts w:cs="David" w:hint="cs"/>
          <w:szCs w:val="24"/>
          <w:rtl/>
        </w:rPr>
        <w:t xml:space="preserve"> לדוגמא במקרה של צחי הנגבי בפרשיית מינוי בר-און ליועמ"ש. בית המשפט זיכה את ליברמן </w:t>
      </w:r>
      <w:r>
        <w:rPr>
          <w:rFonts w:cs="David"/>
          <w:szCs w:val="24"/>
          <w:rtl/>
        </w:rPr>
        <w:t>–</w:t>
      </w:r>
      <w:r>
        <w:rPr>
          <w:rFonts w:cs="David" w:hint="cs"/>
          <w:szCs w:val="24"/>
          <w:rtl/>
        </w:rPr>
        <w:t xml:space="preserve"> ובכך מנע את ניסיון היועמ"ש להעלות את הרף. </w:t>
      </w:r>
    </w:p>
    <w:p w:rsidR="001451B2" w:rsidRDefault="001451B2" w:rsidP="004A1FCD">
      <w:pPr>
        <w:rPr>
          <w:rFonts w:cs="David" w:hint="cs"/>
          <w:szCs w:val="24"/>
          <w:rtl/>
        </w:rPr>
      </w:pPr>
      <w:r>
        <w:rPr>
          <w:rFonts w:cs="David" w:hint="cs"/>
          <w:szCs w:val="24"/>
          <w:rtl/>
        </w:rPr>
        <w:t xml:space="preserve">היועמ"ש יכול בהחלטותיו גם להוריד את הקו </w:t>
      </w:r>
      <w:r>
        <w:rPr>
          <w:rFonts w:cs="David"/>
          <w:szCs w:val="24"/>
          <w:rtl/>
        </w:rPr>
        <w:t>–</w:t>
      </w:r>
      <w:r>
        <w:rPr>
          <w:rFonts w:cs="David" w:hint="cs"/>
          <w:szCs w:val="24"/>
          <w:rtl/>
        </w:rPr>
        <w:t xml:space="preserve"> כך עשה מני מזוז בפרשת האי היווני, בהחלטה לא להעמיד לדין את אריאל שרון. הפרקליטה ארבל המליצה על העמדה לדין, אך מזוז טען שמדובר בקשר לא ראוי בין הון לשלטון, אך לא בעבירה של שוחד. </w:t>
      </w:r>
    </w:p>
    <w:p w:rsidR="00547101" w:rsidRDefault="00547101" w:rsidP="004A1FCD">
      <w:pPr>
        <w:rPr>
          <w:rFonts w:cs="David" w:hint="cs"/>
          <w:szCs w:val="24"/>
          <w:rtl/>
        </w:rPr>
      </w:pPr>
      <w:r>
        <w:rPr>
          <w:rFonts w:cs="David" w:hint="cs"/>
          <w:szCs w:val="24"/>
          <w:rtl/>
        </w:rPr>
        <w:t xml:space="preserve">התחום האפור הנו התחום של ההתנהגות הלא ראויה, לא תקינה </w:t>
      </w:r>
      <w:proofErr w:type="spellStart"/>
      <w:r>
        <w:rPr>
          <w:rFonts w:cs="David" w:hint="cs"/>
          <w:szCs w:val="24"/>
          <w:rtl/>
        </w:rPr>
        <w:t>וכו</w:t>
      </w:r>
      <w:proofErr w:type="spellEnd"/>
      <w:r>
        <w:rPr>
          <w:rFonts w:cs="David" w:hint="cs"/>
          <w:szCs w:val="24"/>
          <w:rtl/>
        </w:rPr>
        <w:t>' - שאינה פלילית. האם בית המשפט עוסק בתחום הזה?</w:t>
      </w:r>
    </w:p>
    <w:p w:rsidR="001451B2" w:rsidRDefault="00D009C7" w:rsidP="00916B15">
      <w:pPr>
        <w:rPr>
          <w:rFonts w:cs="David" w:hint="cs"/>
          <w:szCs w:val="24"/>
          <w:rtl/>
        </w:rPr>
      </w:pPr>
      <w:r>
        <w:rPr>
          <w:rFonts w:cs="David" w:hint="cs"/>
          <w:szCs w:val="24"/>
          <w:rtl/>
        </w:rPr>
        <w:t xml:space="preserve">אחת המטרות של קביעת כללי אתיקה ומשמעת הנה טיפול בתחום האפור. קודים משמעתיים טובים לוקחים גם תחום שמתחת לקו הפלילי ומכלילים אותו בתוך הקוד. ההנחה היא שהסנקציה הארגונית מספיק טובה כדי לדחות החוצה את </w:t>
      </w:r>
      <w:r w:rsidR="00916B15">
        <w:rPr>
          <w:rFonts w:cs="David" w:hint="cs"/>
          <w:szCs w:val="24"/>
          <w:rtl/>
        </w:rPr>
        <w:t>הצורך ב</w:t>
      </w:r>
      <w:r>
        <w:rPr>
          <w:rFonts w:cs="David" w:hint="cs"/>
          <w:szCs w:val="24"/>
          <w:rtl/>
        </w:rPr>
        <w:t xml:space="preserve">משפט הפלילי. </w:t>
      </w:r>
    </w:p>
    <w:p w:rsidR="004A1FCD" w:rsidRDefault="004A1FCD" w:rsidP="004A1FCD">
      <w:pPr>
        <w:rPr>
          <w:rFonts w:cs="David" w:hint="cs"/>
          <w:szCs w:val="24"/>
          <w:rtl/>
        </w:rPr>
      </w:pPr>
    </w:p>
    <w:p w:rsidR="00004BE0" w:rsidRPr="003835F6" w:rsidRDefault="00004BE0" w:rsidP="003835F6">
      <w:pPr>
        <w:rPr>
          <w:rFonts w:cs="David"/>
          <w:szCs w:val="24"/>
        </w:rPr>
      </w:pPr>
    </w:p>
    <w:sectPr w:rsidR="00004BE0" w:rsidRPr="003835F6" w:rsidSect="00C23C1F">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247" w:rsidRDefault="00722247" w:rsidP="004C3965">
      <w:pPr>
        <w:spacing w:after="0" w:line="240" w:lineRule="auto"/>
      </w:pPr>
      <w:r>
        <w:separator/>
      </w:r>
    </w:p>
  </w:endnote>
  <w:endnote w:type="continuationSeparator" w:id="0">
    <w:p w:rsidR="00722247" w:rsidRDefault="00722247" w:rsidP="004C39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247" w:rsidRDefault="00722247" w:rsidP="004C3965">
      <w:pPr>
        <w:spacing w:after="0" w:line="240" w:lineRule="auto"/>
      </w:pPr>
      <w:r>
        <w:separator/>
      </w:r>
    </w:p>
  </w:footnote>
  <w:footnote w:type="continuationSeparator" w:id="0">
    <w:p w:rsidR="00722247" w:rsidRDefault="00722247" w:rsidP="004C39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965" w:rsidRDefault="004C3965" w:rsidP="00681FE8">
    <w:pPr>
      <w:jc w:val="center"/>
      <w:rPr>
        <w:rFonts w:cs="David"/>
        <w:sz w:val="24"/>
        <w:szCs w:val="24"/>
        <w:rtl/>
      </w:rPr>
    </w:pPr>
    <w:r>
      <w:rPr>
        <w:rFonts w:cs="David" w:hint="cs"/>
        <w:sz w:val="24"/>
        <w:szCs w:val="24"/>
        <w:rtl/>
      </w:rPr>
      <w:t xml:space="preserve">סוגיות במשפט ציבורי </w:t>
    </w:r>
    <w:r>
      <w:rPr>
        <w:rFonts w:cs="David"/>
        <w:sz w:val="24"/>
        <w:szCs w:val="24"/>
        <w:rtl/>
      </w:rPr>
      <w:t>–</w:t>
    </w:r>
    <w:r>
      <w:rPr>
        <w:rFonts w:cs="David" w:hint="cs"/>
        <w:sz w:val="24"/>
        <w:szCs w:val="24"/>
        <w:rtl/>
      </w:rPr>
      <w:t xml:space="preserve"> </w:t>
    </w:r>
    <w:r w:rsidR="00243389">
      <w:rPr>
        <w:rFonts w:cs="David" w:hint="cs"/>
        <w:sz w:val="24"/>
        <w:szCs w:val="24"/>
        <w:rtl/>
      </w:rPr>
      <w:t xml:space="preserve">שיעור </w:t>
    </w:r>
    <w:r w:rsidR="00681FE8">
      <w:rPr>
        <w:rFonts w:cs="David" w:hint="cs"/>
        <w:sz w:val="24"/>
        <w:szCs w:val="24"/>
        <w:rtl/>
      </w:rPr>
      <w:t>11</w:t>
    </w:r>
    <w:r w:rsidR="00243389">
      <w:rPr>
        <w:rFonts w:cs="David" w:hint="cs"/>
        <w:sz w:val="24"/>
        <w:szCs w:val="24"/>
        <w:rtl/>
      </w:rPr>
      <w:t xml:space="preserve"> - </w:t>
    </w:r>
    <w:proofErr w:type="spellStart"/>
    <w:r>
      <w:rPr>
        <w:rFonts w:cs="David" w:hint="cs"/>
        <w:sz w:val="24"/>
        <w:szCs w:val="24"/>
        <w:rtl/>
      </w:rPr>
      <w:t>פרופ</w:t>
    </w:r>
    <w:proofErr w:type="spellEnd"/>
    <w:r>
      <w:rPr>
        <w:rFonts w:cs="David" w:hint="cs"/>
        <w:sz w:val="24"/>
        <w:szCs w:val="24"/>
        <w:rtl/>
      </w:rPr>
      <w:t xml:space="preserve">' סוזי נבות, </w:t>
    </w:r>
    <w:r w:rsidR="00681FE8">
      <w:rPr>
        <w:rFonts w:cs="David" w:hint="cs"/>
        <w:sz w:val="24"/>
        <w:szCs w:val="24"/>
        <w:rtl/>
      </w:rPr>
      <w:t>31</w:t>
    </w:r>
    <w:r w:rsidR="00264C5A">
      <w:rPr>
        <w:rFonts w:cs="David" w:hint="cs"/>
        <w:sz w:val="24"/>
        <w:szCs w:val="24"/>
        <w:rtl/>
      </w:rPr>
      <w:t>.12.14</w:t>
    </w:r>
  </w:p>
  <w:p w:rsidR="004C3965" w:rsidRDefault="004C3965" w:rsidP="004C3965">
    <w:pPr>
      <w:pStyle w:val="a3"/>
    </w:pPr>
  </w:p>
  <w:p w:rsidR="004C3965" w:rsidRDefault="004C396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6E79"/>
    <w:multiLevelType w:val="hybridMultilevel"/>
    <w:tmpl w:val="2FBA5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72A3D"/>
    <w:multiLevelType w:val="hybridMultilevel"/>
    <w:tmpl w:val="FFDC3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793C31"/>
    <w:multiLevelType w:val="hybridMultilevel"/>
    <w:tmpl w:val="2F540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E773B3"/>
    <w:multiLevelType w:val="hybridMultilevel"/>
    <w:tmpl w:val="B8C26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C75F72"/>
    <w:multiLevelType w:val="hybridMultilevel"/>
    <w:tmpl w:val="2FBA5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476537"/>
    <w:multiLevelType w:val="hybridMultilevel"/>
    <w:tmpl w:val="8B2EF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755D4B"/>
    <w:multiLevelType w:val="hybridMultilevel"/>
    <w:tmpl w:val="B96A9C6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4EE74844"/>
    <w:multiLevelType w:val="hybridMultilevel"/>
    <w:tmpl w:val="0996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8F43F8"/>
    <w:multiLevelType w:val="hybridMultilevel"/>
    <w:tmpl w:val="9842A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7C0FA3"/>
    <w:multiLevelType w:val="hybridMultilevel"/>
    <w:tmpl w:val="2DEE6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E33FBB"/>
    <w:multiLevelType w:val="hybridMultilevel"/>
    <w:tmpl w:val="2F540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592645"/>
    <w:multiLevelType w:val="hybridMultilevel"/>
    <w:tmpl w:val="A2B69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8750B8"/>
    <w:multiLevelType w:val="hybridMultilevel"/>
    <w:tmpl w:val="C11CD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0"/>
  </w:num>
  <w:num w:numId="4">
    <w:abstractNumId w:val="2"/>
  </w:num>
  <w:num w:numId="5">
    <w:abstractNumId w:val="12"/>
  </w:num>
  <w:num w:numId="6">
    <w:abstractNumId w:val="9"/>
  </w:num>
  <w:num w:numId="7">
    <w:abstractNumId w:val="4"/>
  </w:num>
  <w:num w:numId="8">
    <w:abstractNumId w:val="0"/>
  </w:num>
  <w:num w:numId="9">
    <w:abstractNumId w:val="7"/>
  </w:num>
  <w:num w:numId="10">
    <w:abstractNumId w:val="1"/>
  </w:num>
  <w:num w:numId="11">
    <w:abstractNumId w:val="11"/>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4C3965"/>
    <w:rsid w:val="00004BE0"/>
    <w:rsid w:val="00017C3A"/>
    <w:rsid w:val="00021862"/>
    <w:rsid w:val="000423E2"/>
    <w:rsid w:val="00056AF8"/>
    <w:rsid w:val="00095C07"/>
    <w:rsid w:val="000A1E04"/>
    <w:rsid w:val="000B71CA"/>
    <w:rsid w:val="000D0AAE"/>
    <w:rsid w:val="000D477E"/>
    <w:rsid w:val="000D65D5"/>
    <w:rsid w:val="0011395F"/>
    <w:rsid w:val="00114E7B"/>
    <w:rsid w:val="00121322"/>
    <w:rsid w:val="001331CC"/>
    <w:rsid w:val="001451B2"/>
    <w:rsid w:val="00150036"/>
    <w:rsid w:val="0017055F"/>
    <w:rsid w:val="001A40F5"/>
    <w:rsid w:val="001A421A"/>
    <w:rsid w:val="001C2481"/>
    <w:rsid w:val="001C3E9F"/>
    <w:rsid w:val="00211C85"/>
    <w:rsid w:val="00224D66"/>
    <w:rsid w:val="00225E23"/>
    <w:rsid w:val="00243389"/>
    <w:rsid w:val="00256720"/>
    <w:rsid w:val="00264C5A"/>
    <w:rsid w:val="002752BE"/>
    <w:rsid w:val="002862BB"/>
    <w:rsid w:val="002A6F6E"/>
    <w:rsid w:val="002B256A"/>
    <w:rsid w:val="002C772D"/>
    <w:rsid w:val="002D4B9A"/>
    <w:rsid w:val="002E5390"/>
    <w:rsid w:val="00301AEC"/>
    <w:rsid w:val="003443CC"/>
    <w:rsid w:val="00352A07"/>
    <w:rsid w:val="00366F9A"/>
    <w:rsid w:val="003737BA"/>
    <w:rsid w:val="00381B53"/>
    <w:rsid w:val="003835F6"/>
    <w:rsid w:val="00396FE2"/>
    <w:rsid w:val="003C6E65"/>
    <w:rsid w:val="003D1E5F"/>
    <w:rsid w:val="003E4850"/>
    <w:rsid w:val="003F1E1E"/>
    <w:rsid w:val="004129BF"/>
    <w:rsid w:val="00436001"/>
    <w:rsid w:val="0044008F"/>
    <w:rsid w:val="004457B0"/>
    <w:rsid w:val="00456872"/>
    <w:rsid w:val="004600CD"/>
    <w:rsid w:val="00467BCE"/>
    <w:rsid w:val="004848C0"/>
    <w:rsid w:val="00484FB4"/>
    <w:rsid w:val="00494BAA"/>
    <w:rsid w:val="004A1FCD"/>
    <w:rsid w:val="004A4784"/>
    <w:rsid w:val="004C3965"/>
    <w:rsid w:val="004C7290"/>
    <w:rsid w:val="004D74B7"/>
    <w:rsid w:val="00547101"/>
    <w:rsid w:val="00580788"/>
    <w:rsid w:val="00581F71"/>
    <w:rsid w:val="005C12AD"/>
    <w:rsid w:val="005C3552"/>
    <w:rsid w:val="005F460E"/>
    <w:rsid w:val="005F68C1"/>
    <w:rsid w:val="006059FD"/>
    <w:rsid w:val="00634912"/>
    <w:rsid w:val="006433A0"/>
    <w:rsid w:val="00645E1F"/>
    <w:rsid w:val="00681FE8"/>
    <w:rsid w:val="00691B8F"/>
    <w:rsid w:val="00695382"/>
    <w:rsid w:val="006A22C0"/>
    <w:rsid w:val="006B5D67"/>
    <w:rsid w:val="006B6730"/>
    <w:rsid w:val="006C6437"/>
    <w:rsid w:val="006D0013"/>
    <w:rsid w:val="006D4457"/>
    <w:rsid w:val="006E2BEB"/>
    <w:rsid w:val="00710FF2"/>
    <w:rsid w:val="00722247"/>
    <w:rsid w:val="007663BF"/>
    <w:rsid w:val="00781458"/>
    <w:rsid w:val="00783C9E"/>
    <w:rsid w:val="00784C9A"/>
    <w:rsid w:val="007905E5"/>
    <w:rsid w:val="007C1898"/>
    <w:rsid w:val="007D0745"/>
    <w:rsid w:val="007E0264"/>
    <w:rsid w:val="00816E95"/>
    <w:rsid w:val="008237F3"/>
    <w:rsid w:val="00832369"/>
    <w:rsid w:val="00833D63"/>
    <w:rsid w:val="00844129"/>
    <w:rsid w:val="00885B1D"/>
    <w:rsid w:val="0089259F"/>
    <w:rsid w:val="00896C2F"/>
    <w:rsid w:val="008B3AE3"/>
    <w:rsid w:val="008B4D02"/>
    <w:rsid w:val="008C2F6B"/>
    <w:rsid w:val="008D4942"/>
    <w:rsid w:val="008D6335"/>
    <w:rsid w:val="00913BF1"/>
    <w:rsid w:val="00916B15"/>
    <w:rsid w:val="00922989"/>
    <w:rsid w:val="009307A4"/>
    <w:rsid w:val="00933CC3"/>
    <w:rsid w:val="0093418E"/>
    <w:rsid w:val="009638C8"/>
    <w:rsid w:val="00963ABA"/>
    <w:rsid w:val="00965879"/>
    <w:rsid w:val="009B15A5"/>
    <w:rsid w:val="009B5544"/>
    <w:rsid w:val="009D4265"/>
    <w:rsid w:val="00A30BDF"/>
    <w:rsid w:val="00A361B6"/>
    <w:rsid w:val="00A50C8B"/>
    <w:rsid w:val="00A554C5"/>
    <w:rsid w:val="00A74B7A"/>
    <w:rsid w:val="00A772CE"/>
    <w:rsid w:val="00A91E6B"/>
    <w:rsid w:val="00AF24D3"/>
    <w:rsid w:val="00B7789F"/>
    <w:rsid w:val="00B86348"/>
    <w:rsid w:val="00B94B4B"/>
    <w:rsid w:val="00BA256C"/>
    <w:rsid w:val="00BC4262"/>
    <w:rsid w:val="00BE36A5"/>
    <w:rsid w:val="00BE401B"/>
    <w:rsid w:val="00BE7EC8"/>
    <w:rsid w:val="00BF7BF1"/>
    <w:rsid w:val="00C23C1F"/>
    <w:rsid w:val="00C55BF8"/>
    <w:rsid w:val="00C675AE"/>
    <w:rsid w:val="00CB5E03"/>
    <w:rsid w:val="00CC363B"/>
    <w:rsid w:val="00D009C7"/>
    <w:rsid w:val="00D01BC4"/>
    <w:rsid w:val="00D67700"/>
    <w:rsid w:val="00D7306B"/>
    <w:rsid w:val="00D80B42"/>
    <w:rsid w:val="00D80F4D"/>
    <w:rsid w:val="00D93157"/>
    <w:rsid w:val="00D946DD"/>
    <w:rsid w:val="00DA5973"/>
    <w:rsid w:val="00DA6930"/>
    <w:rsid w:val="00DA6FF3"/>
    <w:rsid w:val="00DB5263"/>
    <w:rsid w:val="00DD7767"/>
    <w:rsid w:val="00DE10AA"/>
    <w:rsid w:val="00DF7277"/>
    <w:rsid w:val="00E02308"/>
    <w:rsid w:val="00E10B96"/>
    <w:rsid w:val="00E13E4C"/>
    <w:rsid w:val="00E145D4"/>
    <w:rsid w:val="00E255E6"/>
    <w:rsid w:val="00E43A19"/>
    <w:rsid w:val="00E53908"/>
    <w:rsid w:val="00E53975"/>
    <w:rsid w:val="00EB3382"/>
    <w:rsid w:val="00EC22B7"/>
    <w:rsid w:val="00F20C9C"/>
    <w:rsid w:val="00F23478"/>
    <w:rsid w:val="00F30353"/>
    <w:rsid w:val="00F321D1"/>
    <w:rsid w:val="00F419BD"/>
    <w:rsid w:val="00F67D8C"/>
    <w:rsid w:val="00FB23B9"/>
    <w:rsid w:val="00FE12FB"/>
    <w:rsid w:val="00FF4EE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59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3965"/>
    <w:pPr>
      <w:tabs>
        <w:tab w:val="center" w:pos="4153"/>
        <w:tab w:val="right" w:pos="8306"/>
      </w:tabs>
      <w:spacing w:after="0" w:line="240" w:lineRule="auto"/>
    </w:pPr>
  </w:style>
  <w:style w:type="character" w:customStyle="1" w:styleId="a4">
    <w:name w:val="כותרת עליונה תו"/>
    <w:basedOn w:val="a0"/>
    <w:link w:val="a3"/>
    <w:uiPriority w:val="99"/>
    <w:rsid w:val="004C3965"/>
  </w:style>
  <w:style w:type="paragraph" w:styleId="a5">
    <w:name w:val="footer"/>
    <w:basedOn w:val="a"/>
    <w:link w:val="a6"/>
    <w:uiPriority w:val="99"/>
    <w:semiHidden/>
    <w:unhideWhenUsed/>
    <w:rsid w:val="004C3965"/>
    <w:pPr>
      <w:tabs>
        <w:tab w:val="center" w:pos="4153"/>
        <w:tab w:val="right" w:pos="8306"/>
      </w:tabs>
      <w:spacing w:after="0" w:line="240" w:lineRule="auto"/>
    </w:pPr>
  </w:style>
  <w:style w:type="character" w:customStyle="1" w:styleId="a6">
    <w:name w:val="כותרת תחתונה תו"/>
    <w:basedOn w:val="a0"/>
    <w:link w:val="a5"/>
    <w:uiPriority w:val="99"/>
    <w:semiHidden/>
    <w:rsid w:val="004C3965"/>
  </w:style>
  <w:style w:type="paragraph" w:styleId="a7">
    <w:name w:val="Balloon Text"/>
    <w:basedOn w:val="a"/>
    <w:link w:val="a8"/>
    <w:uiPriority w:val="99"/>
    <w:semiHidden/>
    <w:unhideWhenUsed/>
    <w:rsid w:val="004C3965"/>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4C3965"/>
    <w:rPr>
      <w:rFonts w:ascii="Tahoma" w:hAnsi="Tahoma" w:cs="Tahoma"/>
      <w:sz w:val="16"/>
      <w:szCs w:val="16"/>
    </w:rPr>
  </w:style>
  <w:style w:type="paragraph" w:styleId="a9">
    <w:name w:val="List Paragraph"/>
    <w:basedOn w:val="a"/>
    <w:uiPriority w:val="34"/>
    <w:qFormat/>
    <w:rsid w:val="0092298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D3592-8803-46A8-BF64-6530F6F68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912</Words>
  <Characters>4563</Characters>
  <Application>Microsoft Office Word</Application>
  <DocSecurity>0</DocSecurity>
  <Lines>38</Lines>
  <Paragraphs>10</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גל חגי</dc:creator>
  <cp:lastModifiedBy>גל חגי</cp:lastModifiedBy>
  <cp:revision>8</cp:revision>
  <dcterms:created xsi:type="dcterms:W3CDTF">2014-12-31T12:34:00Z</dcterms:created>
  <dcterms:modified xsi:type="dcterms:W3CDTF">2014-12-31T14:01:00Z</dcterms:modified>
</cp:coreProperties>
</file>