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BC44" w14:textId="77777777" w:rsidR="00DC404C" w:rsidRPr="00121BDA" w:rsidRDefault="00DF570B">
      <w:pPr>
        <w:pStyle w:val="Heading1"/>
        <w:rPr>
          <w:color w:val="000000" w:themeColor="text1"/>
        </w:rPr>
      </w:pPr>
      <w:r w:rsidRPr="00121BDA">
        <w:rPr>
          <w:color w:val="000000" w:themeColor="text1"/>
        </w:rPr>
        <w:t>Too much Western Bias? The need for a more culturally adaptable approach to post-conflict Security Sector Reform</w:t>
      </w:r>
    </w:p>
    <w:p w14:paraId="611722D7" w14:textId="77777777" w:rsidR="00DC404C" w:rsidRPr="00121BDA" w:rsidRDefault="00DF570B">
      <w:pPr>
        <w:pStyle w:val="Paragraph"/>
        <w:rPr>
          <w:color w:val="000000" w:themeColor="text1"/>
        </w:rPr>
      </w:pPr>
      <w:r w:rsidRPr="00121BDA">
        <w:rPr>
          <w:color w:val="000000" w:themeColor="text1"/>
        </w:rPr>
        <w:t>Ian Westerman</w:t>
      </w:r>
    </w:p>
    <w:p w14:paraId="4FA07D67" w14:textId="77777777" w:rsidR="00DC404C" w:rsidRPr="00121BDA" w:rsidRDefault="00DF570B">
      <w:pPr>
        <w:pStyle w:val="Newparagraph"/>
        <w:spacing w:line="276" w:lineRule="auto"/>
        <w:ind w:firstLine="0"/>
        <w:rPr>
          <w:color w:val="000000" w:themeColor="text1"/>
        </w:rPr>
      </w:pPr>
      <w:r w:rsidRPr="00121BDA">
        <w:rPr>
          <w:color w:val="000000" w:themeColor="text1"/>
        </w:rPr>
        <w:t xml:space="preserve">Centre for Defence Management and Leadership, Cranfield University, </w:t>
      </w:r>
      <w:proofErr w:type="spellStart"/>
      <w:r w:rsidRPr="00121BDA">
        <w:rPr>
          <w:color w:val="000000" w:themeColor="text1"/>
        </w:rPr>
        <w:t>Shrivenham</w:t>
      </w:r>
      <w:proofErr w:type="spellEnd"/>
      <w:r w:rsidRPr="00121BDA">
        <w:rPr>
          <w:color w:val="000000" w:themeColor="text1"/>
        </w:rPr>
        <w:t>, Swindon, UK</w:t>
      </w:r>
    </w:p>
    <w:p w14:paraId="5AF7B674" w14:textId="77777777" w:rsidR="00DC404C" w:rsidRPr="00121BDA" w:rsidRDefault="00DC404C">
      <w:pPr>
        <w:pStyle w:val="Newparagraph"/>
        <w:spacing w:line="276" w:lineRule="auto"/>
        <w:ind w:firstLine="0"/>
        <w:rPr>
          <w:color w:val="000000" w:themeColor="text1"/>
        </w:rPr>
      </w:pPr>
    </w:p>
    <w:p w14:paraId="6C1F5867" w14:textId="5D976F5B" w:rsidR="00DC404C" w:rsidRPr="00121BDA" w:rsidRDefault="00DF570B" w:rsidP="009E16EB">
      <w:pPr>
        <w:spacing w:line="360" w:lineRule="auto"/>
        <w:ind w:left="720" w:right="701"/>
        <w:rPr>
          <w:color w:val="000000" w:themeColor="text1"/>
          <w:sz w:val="22"/>
          <w:szCs w:val="22"/>
        </w:rPr>
      </w:pPr>
      <w:r w:rsidRPr="00121BDA">
        <w:rPr>
          <w:color w:val="000000" w:themeColor="text1"/>
          <w:sz w:val="22"/>
          <w:szCs w:val="22"/>
        </w:rPr>
        <w:t>The existing guidelines for security sector reform (SSR) tend to draw on theoretical work in the field of civil-military relations, which in turn has been derived from Western, liberal democratic models of governance. Although guidelines strongly advise that local culture and context need to be considered when drawing up objectives for post-conflict SSR programmes, this is not often reflected in practice. This article considers some of the reasons for this, citing both in-country challenges and donor-related issues, and suggests that one of the biggest problems is a lack of alternative, non-orthodox models of civil-military relations to draw upon. It is further suggested that elements of suitable alternative models may be found in states which possess political structures not entirely dissimilar to the Western, liberal democratic ideal, but which can offer different perspectives.</w:t>
      </w:r>
      <w:r w:rsidR="009F56F7" w:rsidRPr="00121BDA">
        <w:rPr>
          <w:color w:val="000000" w:themeColor="text1"/>
          <w:sz w:val="22"/>
          <w:szCs w:val="22"/>
        </w:rPr>
        <w:t xml:space="preserve"> </w:t>
      </w:r>
      <w:r w:rsidR="009E16EB" w:rsidRPr="00121BDA">
        <w:rPr>
          <w:color w:val="000000" w:themeColor="text1"/>
          <w:sz w:val="22"/>
          <w:szCs w:val="22"/>
        </w:rPr>
        <w:t>Detailed research of</w:t>
      </w:r>
      <w:r w:rsidR="009F56F7" w:rsidRPr="00121BDA">
        <w:rPr>
          <w:color w:val="000000" w:themeColor="text1"/>
          <w:sz w:val="22"/>
          <w:szCs w:val="22"/>
        </w:rPr>
        <w:t xml:space="preserve"> these </w:t>
      </w:r>
      <w:r w:rsidR="009E16EB" w:rsidRPr="00121BDA">
        <w:rPr>
          <w:color w:val="000000" w:themeColor="text1"/>
          <w:sz w:val="22"/>
          <w:szCs w:val="22"/>
        </w:rPr>
        <w:t>structures should produce a pool of sub-models which could then be employed to create bespoke, culturally appropriate objectives for use in post-conflict SSR programmes.</w:t>
      </w:r>
    </w:p>
    <w:p w14:paraId="098F6693" w14:textId="77777777" w:rsidR="00DC404C" w:rsidRPr="00121BDA" w:rsidRDefault="00DC404C">
      <w:pPr>
        <w:spacing w:line="360" w:lineRule="auto"/>
        <w:ind w:left="720" w:right="701"/>
        <w:rPr>
          <w:color w:val="000000" w:themeColor="text1"/>
          <w:sz w:val="22"/>
          <w:szCs w:val="22"/>
        </w:rPr>
      </w:pPr>
    </w:p>
    <w:p w14:paraId="5D5ED251" w14:textId="77777777" w:rsidR="00DC404C" w:rsidRDefault="00DF570B">
      <w:pPr>
        <w:spacing w:line="360" w:lineRule="auto"/>
        <w:ind w:left="720" w:right="701"/>
        <w:rPr>
          <w:color w:val="000000" w:themeColor="text1"/>
          <w:sz w:val="22"/>
          <w:szCs w:val="22"/>
        </w:rPr>
      </w:pPr>
      <w:r w:rsidRPr="00121BDA">
        <w:rPr>
          <w:b/>
          <w:bCs/>
          <w:color w:val="000000" w:themeColor="text1"/>
          <w:sz w:val="22"/>
          <w:szCs w:val="22"/>
        </w:rPr>
        <w:t xml:space="preserve">Keywords: </w:t>
      </w:r>
      <w:r w:rsidRPr="00121BDA">
        <w:rPr>
          <w:color w:val="000000" w:themeColor="text1"/>
          <w:sz w:val="22"/>
          <w:szCs w:val="22"/>
        </w:rPr>
        <w:t>civil-military relations; security sector reform; post-conflict; local ownership; local culture</w:t>
      </w:r>
    </w:p>
    <w:p w14:paraId="7400E8BA" w14:textId="780C7746" w:rsidR="00635C62" w:rsidRPr="00121BDA" w:rsidRDefault="00635C62">
      <w:pPr>
        <w:spacing w:line="360" w:lineRule="auto"/>
        <w:ind w:left="720" w:right="701"/>
        <w:rPr>
          <w:color w:val="000000" w:themeColor="text1"/>
        </w:rPr>
      </w:pPr>
      <w:r>
        <w:rPr>
          <w:b/>
          <w:bCs/>
          <w:color w:val="000000" w:themeColor="text1"/>
          <w:sz w:val="22"/>
          <w:szCs w:val="22"/>
        </w:rPr>
        <w:t>Word Count:</w:t>
      </w:r>
      <w:r>
        <w:rPr>
          <w:color w:val="000000" w:themeColor="text1"/>
        </w:rPr>
        <w:t xml:space="preserve"> 7051 words, including abstract and endnotes.</w:t>
      </w:r>
    </w:p>
    <w:p w14:paraId="19B7611E" w14:textId="77777777" w:rsidR="00DC404C" w:rsidRPr="00121BDA" w:rsidRDefault="00DF570B">
      <w:pPr>
        <w:pStyle w:val="Heading2"/>
        <w:rPr>
          <w:color w:val="000000" w:themeColor="text1"/>
        </w:rPr>
      </w:pPr>
      <w:r w:rsidRPr="00121BDA">
        <w:rPr>
          <w:color w:val="000000" w:themeColor="text1"/>
        </w:rPr>
        <w:t>Introduction</w:t>
      </w:r>
    </w:p>
    <w:p w14:paraId="2B1580C2" w14:textId="18B5BB2D" w:rsidR="00DC404C" w:rsidRPr="00121BDA" w:rsidRDefault="00DF570B" w:rsidP="00457AA3">
      <w:pPr>
        <w:rPr>
          <w:color w:val="000000" w:themeColor="text1"/>
          <w:szCs w:val="22"/>
        </w:rPr>
      </w:pPr>
      <w:r w:rsidRPr="00121BDA">
        <w:rPr>
          <w:color w:val="000000" w:themeColor="text1"/>
          <w:szCs w:val="22"/>
        </w:rPr>
        <w:t xml:space="preserve">When conflicts draw to a close, whether internal or external, </w:t>
      </w:r>
      <w:r w:rsidR="00457AA3">
        <w:rPr>
          <w:color w:val="000000" w:themeColor="text1"/>
          <w:szCs w:val="22"/>
        </w:rPr>
        <w:t>the transition from war to peace is never straightforward</w:t>
      </w:r>
      <w:r w:rsidRPr="00121BDA">
        <w:rPr>
          <w:color w:val="000000" w:themeColor="text1"/>
          <w:szCs w:val="22"/>
        </w:rPr>
        <w:t xml:space="preserve"> and much usually remains to be done in terms of both security and development. Ensuring that there is a workable and sustainable security system in place, including a satisfactory and broadly democratic relationship between the legitimate government and the forces of the state, is the primary aim of Security Sector Reform (SSR). However, the record of success in SSR programmes is at best </w:t>
      </w:r>
      <w:r w:rsidRPr="00121BDA">
        <w:rPr>
          <w:color w:val="000000" w:themeColor="text1"/>
          <w:szCs w:val="22"/>
        </w:rPr>
        <w:lastRenderedPageBreak/>
        <w:t>inconsistent, and there are very few examples of truly successful programmes to reflect upon. If we are to improve on this record then it is important to understand some of the reasons why this is.</w:t>
      </w:r>
    </w:p>
    <w:p w14:paraId="72F9698A" w14:textId="77777777" w:rsidR="00DC404C" w:rsidRPr="00121BDA" w:rsidRDefault="00DC404C">
      <w:pPr>
        <w:rPr>
          <w:color w:val="000000" w:themeColor="text1"/>
          <w:szCs w:val="22"/>
        </w:rPr>
      </w:pPr>
    </w:p>
    <w:p w14:paraId="6552D5E1" w14:textId="2F49C6E2" w:rsidR="00DC404C" w:rsidRPr="00121BDA" w:rsidRDefault="00DF570B">
      <w:pPr>
        <w:rPr>
          <w:color w:val="000000" w:themeColor="text1"/>
        </w:rPr>
      </w:pPr>
      <w:r w:rsidRPr="00121BDA">
        <w:rPr>
          <w:color w:val="000000" w:themeColor="text1"/>
          <w:szCs w:val="22"/>
        </w:rPr>
        <w:t>Post-conflict SSR programmes are focused on delivering a safer and more secure environment after a violent struggle has concluded. The objectives tend to be drawn from what is seen as the ideal civil-military relations model, or what Cohen describes as the “normal” theory of civil-military relations.</w:t>
      </w:r>
      <w:r w:rsidRPr="00121BDA">
        <w:rPr>
          <w:rStyle w:val="EndnoteReference"/>
          <w:color w:val="000000" w:themeColor="text1"/>
        </w:rPr>
        <w:endnoteReference w:id="1"/>
      </w:r>
      <w:r w:rsidRPr="00121BDA">
        <w:rPr>
          <w:color w:val="000000" w:themeColor="text1"/>
          <w:szCs w:val="22"/>
        </w:rPr>
        <w:t xml:space="preserve"> This model essentially requires a relationship between the civil government and its military forces that imitates those found in most Western, liberal-democratic states.  But of course these states have evolved their own particular relationships over hundreds of years in order to meet a peculiar set of circumstances pertaining to their individual histories and cultures, and </w:t>
      </w:r>
      <w:r w:rsidR="00694178" w:rsidRPr="00121BDA">
        <w:rPr>
          <w:color w:val="000000" w:themeColor="text1"/>
          <w:szCs w:val="22"/>
        </w:rPr>
        <w:t>seldom</w:t>
      </w:r>
      <w:r w:rsidRPr="00121BDA">
        <w:rPr>
          <w:color w:val="000000" w:themeColor="text1"/>
          <w:szCs w:val="22"/>
        </w:rPr>
        <w:t xml:space="preserve"> can it be said that the situations in which contemporary post-conflict SSR programmes are implemented are even remotely similar. There is a incongruity here.</w:t>
      </w:r>
    </w:p>
    <w:p w14:paraId="35E41798" w14:textId="77777777" w:rsidR="00DC404C" w:rsidRPr="00121BDA" w:rsidRDefault="00DC404C">
      <w:pPr>
        <w:rPr>
          <w:color w:val="000000" w:themeColor="text1"/>
          <w:szCs w:val="22"/>
        </w:rPr>
      </w:pPr>
    </w:p>
    <w:p w14:paraId="0A69E98E" w14:textId="77777777" w:rsidR="00DC404C" w:rsidRPr="00121BDA" w:rsidRDefault="00DF570B">
      <w:pPr>
        <w:rPr>
          <w:color w:val="000000" w:themeColor="text1"/>
        </w:rPr>
      </w:pPr>
      <w:r w:rsidRPr="00121BDA">
        <w:rPr>
          <w:color w:val="000000" w:themeColor="text1"/>
          <w:szCs w:val="22"/>
        </w:rPr>
        <w:t>Post-conflict SSR is a complex business, and there are many reasons why it has not had the success rate that might have been hoped for, and it would be unreasonable to expect to find a single solution to such an intricate problem. Nevertheless, if we ignore the place of local culture and historical context when drawing up SSR programmes, and as a consequence get the objectives wrong, then inevitably this will greatly increase the likelihood of failure from the outset. This conclusion is perhaps somewhat obvious, and it is certainly far from original. Much has been written about the importance of local ownership in SSR and the need to take into account the context of the situation when drawing up programmes, and yet frequently it is still not achieved.</w:t>
      </w:r>
      <w:r w:rsidRPr="00121BDA">
        <w:rPr>
          <w:rStyle w:val="EndnoteReference"/>
          <w:color w:val="000000" w:themeColor="text1"/>
          <w:szCs w:val="22"/>
        </w:rPr>
        <w:endnoteReference w:id="2"/>
      </w:r>
      <w:r w:rsidRPr="00121BDA">
        <w:rPr>
          <w:color w:val="000000" w:themeColor="text1"/>
          <w:szCs w:val="22"/>
        </w:rPr>
        <w:t xml:space="preserve"> Why this should be is a question that has not gone un-asked, particularly after the disappointments of Iraq </w:t>
      </w:r>
      <w:r w:rsidRPr="00121BDA">
        <w:rPr>
          <w:color w:val="000000" w:themeColor="text1"/>
          <w:szCs w:val="22"/>
        </w:rPr>
        <w:lastRenderedPageBreak/>
        <w:t>and Afghanistan, and a great deal of analysis has been carried out, looking at the problem from both the donors’ and the recipients’ perspectives. However, in this article the author proposes the view that there is perhaps a quite straightforward reason why ‘normal’ Western, liberal-democratic models of civil-military relations continue to be inappropriately taken as the focus of SSR in post-conflict states, and that is that there has been very little research carried out to identify alternative, non-Western, models. Therefore, even when advice suggests that less orthodox, more locally appropriate, solutions should be considered, only the standard models are readily available to be used to set objectives and construct programmes.</w:t>
      </w:r>
    </w:p>
    <w:p w14:paraId="1C319D11" w14:textId="77777777" w:rsidR="00DC404C" w:rsidRPr="00121BDA" w:rsidRDefault="00DC404C">
      <w:pPr>
        <w:rPr>
          <w:color w:val="000000" w:themeColor="text1"/>
          <w:szCs w:val="22"/>
        </w:rPr>
      </w:pPr>
    </w:p>
    <w:p w14:paraId="36635CA9" w14:textId="60EF2059" w:rsidR="00DC404C" w:rsidRPr="00121BDA" w:rsidRDefault="00DF570B" w:rsidP="00457AA3">
      <w:pPr>
        <w:rPr>
          <w:color w:val="000000" w:themeColor="text1"/>
          <w:szCs w:val="22"/>
        </w:rPr>
      </w:pPr>
      <w:r w:rsidRPr="00121BDA">
        <w:rPr>
          <w:color w:val="000000" w:themeColor="text1"/>
          <w:szCs w:val="22"/>
        </w:rPr>
        <w:t>It is important, of course, to ensure that one, inappropriate Western template is not simply re</w:t>
      </w:r>
      <w:r w:rsidR="00457AA3">
        <w:rPr>
          <w:color w:val="000000" w:themeColor="text1"/>
          <w:szCs w:val="22"/>
        </w:rPr>
        <w:t xml:space="preserve">placed with another non-Western, </w:t>
      </w:r>
      <w:r w:rsidRPr="00121BDA">
        <w:rPr>
          <w:color w:val="000000" w:themeColor="text1"/>
          <w:szCs w:val="22"/>
        </w:rPr>
        <w:t>but potentially equally inappropriate</w:t>
      </w:r>
      <w:r w:rsidR="00457AA3">
        <w:rPr>
          <w:color w:val="000000" w:themeColor="text1"/>
          <w:szCs w:val="22"/>
        </w:rPr>
        <w:t>,</w:t>
      </w:r>
      <w:r w:rsidRPr="00121BDA">
        <w:rPr>
          <w:color w:val="000000" w:themeColor="text1"/>
          <w:szCs w:val="22"/>
        </w:rPr>
        <w:t xml:space="preserve"> one. Instead, it is suggested that we need to think in terms of the component parts of these models, and identify the sub-models from which they are constructed. </w:t>
      </w:r>
      <w:r w:rsidR="00457AA3">
        <w:rPr>
          <w:color w:val="000000" w:themeColor="text1"/>
          <w:szCs w:val="22"/>
        </w:rPr>
        <w:t>It might then</w:t>
      </w:r>
      <w:r w:rsidRPr="00121BDA">
        <w:rPr>
          <w:color w:val="000000" w:themeColor="text1"/>
          <w:szCs w:val="22"/>
        </w:rPr>
        <w:t xml:space="preserve"> be possible to create a repository of such sub-models that could help programme designers to compile bespoke packages for particular situations, drawing on the local cultural narrative as their primary focus. In this way, </w:t>
      </w:r>
      <w:r w:rsidR="00457AA3">
        <w:rPr>
          <w:color w:val="000000" w:themeColor="text1"/>
          <w:szCs w:val="22"/>
        </w:rPr>
        <w:t>coupled with</w:t>
      </w:r>
      <w:r w:rsidRPr="00121BDA">
        <w:rPr>
          <w:color w:val="000000" w:themeColor="text1"/>
          <w:szCs w:val="22"/>
        </w:rPr>
        <w:t xml:space="preserve"> a much longer-term approach to SSR</w:t>
      </w:r>
      <w:r w:rsidR="00457AA3">
        <w:rPr>
          <w:color w:val="000000" w:themeColor="text1"/>
          <w:szCs w:val="22"/>
        </w:rPr>
        <w:t>,</w:t>
      </w:r>
      <w:r w:rsidRPr="00121BDA">
        <w:rPr>
          <w:color w:val="000000" w:themeColor="text1"/>
          <w:szCs w:val="22"/>
        </w:rPr>
        <w:t xml:space="preserve"> a more practical set of graduated objectives c</w:t>
      </w:r>
      <w:r w:rsidR="00457AA3">
        <w:rPr>
          <w:color w:val="000000" w:themeColor="text1"/>
          <w:szCs w:val="22"/>
        </w:rPr>
        <w:t>ould</w:t>
      </w:r>
      <w:r w:rsidRPr="00121BDA">
        <w:rPr>
          <w:color w:val="000000" w:themeColor="text1"/>
          <w:szCs w:val="22"/>
        </w:rPr>
        <w:t xml:space="preserve"> be identified </w:t>
      </w:r>
      <w:r w:rsidR="00457AA3">
        <w:rPr>
          <w:color w:val="000000" w:themeColor="text1"/>
          <w:szCs w:val="22"/>
        </w:rPr>
        <w:t xml:space="preserve">which could act </w:t>
      </w:r>
      <w:r w:rsidRPr="00121BDA">
        <w:rPr>
          <w:color w:val="000000" w:themeColor="text1"/>
          <w:szCs w:val="22"/>
        </w:rPr>
        <w:t xml:space="preserve">as stepping stones along a slower, more evolutionary process of reform. </w:t>
      </w:r>
    </w:p>
    <w:p w14:paraId="1CE67DD0" w14:textId="77777777" w:rsidR="00DC404C" w:rsidRPr="00121BDA" w:rsidRDefault="00DF570B">
      <w:pPr>
        <w:pStyle w:val="Heading2"/>
        <w:rPr>
          <w:color w:val="000000" w:themeColor="text1"/>
        </w:rPr>
      </w:pPr>
      <w:r w:rsidRPr="00121BDA">
        <w:rPr>
          <w:color w:val="000000" w:themeColor="text1"/>
        </w:rPr>
        <w:t xml:space="preserve">A Brief History of Civil-Military Relations Theory and Security Sector Reform </w:t>
      </w:r>
    </w:p>
    <w:p w14:paraId="517553CD" w14:textId="2E9A02E2" w:rsidR="00DC404C" w:rsidRPr="00121BDA" w:rsidRDefault="00DF570B" w:rsidP="00457AA3">
      <w:pPr>
        <w:rPr>
          <w:color w:val="000000" w:themeColor="text1"/>
        </w:rPr>
      </w:pPr>
      <w:r w:rsidRPr="00121BDA">
        <w:rPr>
          <w:color w:val="000000" w:themeColor="text1"/>
          <w:szCs w:val="22"/>
        </w:rPr>
        <w:t>One of the clearest definitions of civil-military relations is that it simply refers to the interactions between the armed forces of a state, and the institutions and people of that state.</w:t>
      </w:r>
      <w:r w:rsidRPr="00121BDA">
        <w:rPr>
          <w:rStyle w:val="EndnoteReference"/>
          <w:color w:val="000000" w:themeColor="text1"/>
          <w:szCs w:val="22"/>
        </w:rPr>
        <w:endnoteReference w:id="3"/>
      </w:r>
      <w:r w:rsidRPr="00121BDA">
        <w:rPr>
          <w:color w:val="000000" w:themeColor="text1"/>
          <w:szCs w:val="22"/>
        </w:rPr>
        <w:t xml:space="preserve"> This relationship, when working well, is barely noticed in public life and is just something that goes on in the background. However, the consequences of poor civil-</w:t>
      </w:r>
      <w:r w:rsidRPr="00121BDA">
        <w:rPr>
          <w:color w:val="000000" w:themeColor="text1"/>
          <w:szCs w:val="22"/>
        </w:rPr>
        <w:lastRenderedPageBreak/>
        <w:t xml:space="preserve">military relations can be catastrophic for a country, potentially resulting in coups d’état, civil wars and military dictatorships. Getting it right, therefore, is of critical importance, and the question of how to do this </w:t>
      </w:r>
      <w:r w:rsidR="00457AA3">
        <w:rPr>
          <w:color w:val="000000" w:themeColor="text1"/>
          <w:szCs w:val="22"/>
        </w:rPr>
        <w:t>is addressed by</w:t>
      </w:r>
      <w:r w:rsidRPr="00121BDA">
        <w:rPr>
          <w:color w:val="000000" w:themeColor="text1"/>
          <w:szCs w:val="22"/>
        </w:rPr>
        <w:t xml:space="preserve"> a wide variety of disciplines, including political science, international relations, sociology, law and philosophy amongst others, each of which sees the topic from a different angle. Whatever perspective is taken though, the key issue that has to be addressed is what has been described as the paradox of the “civil-military problematique” whereby, in order to afford protection against external violence, the state finds it necessary to create a strong military force of its own, but must then find a way to ensure that this force is obedient to the civil government and does not attempt to wrest power for itself.</w:t>
      </w:r>
      <w:r w:rsidRPr="00121BDA">
        <w:rPr>
          <w:rStyle w:val="EndnoteReference"/>
          <w:color w:val="000000" w:themeColor="text1"/>
          <w:szCs w:val="22"/>
        </w:rPr>
        <w:endnoteReference w:id="4"/>
      </w:r>
      <w:r w:rsidRPr="00121BDA">
        <w:rPr>
          <w:color w:val="000000" w:themeColor="text1"/>
          <w:szCs w:val="22"/>
        </w:rPr>
        <w:t xml:space="preserve"> Over the years, various theoretical solutions to this problem have been presented as normative, with the subordination of the military to a legitimate, democratically elected civilian government always being seen </w:t>
      </w:r>
      <w:r w:rsidR="00457AA3">
        <w:rPr>
          <w:color w:val="000000" w:themeColor="text1"/>
          <w:szCs w:val="22"/>
        </w:rPr>
        <w:t>as a</w:t>
      </w:r>
      <w:r w:rsidRPr="00121BDA">
        <w:rPr>
          <w:color w:val="000000" w:themeColor="text1"/>
          <w:szCs w:val="22"/>
        </w:rPr>
        <w:t xml:space="preserve"> critical element of any theory.</w:t>
      </w:r>
      <w:r w:rsidRPr="00121BDA">
        <w:rPr>
          <w:rStyle w:val="EndnoteReference"/>
          <w:color w:val="000000" w:themeColor="text1"/>
          <w:szCs w:val="22"/>
        </w:rPr>
        <w:endnoteReference w:id="5"/>
      </w:r>
      <w:r w:rsidRPr="00121BDA">
        <w:rPr>
          <w:color w:val="000000" w:themeColor="text1"/>
          <w:szCs w:val="22"/>
        </w:rPr>
        <w:t xml:space="preserve"> In the end, however, nearly all of these solutions have simply been different variations of Cohen’s ‘normal’ theory of civil-military relations.</w:t>
      </w:r>
      <w:r w:rsidRPr="00121BDA">
        <w:rPr>
          <w:rStyle w:val="EndnoteReference"/>
          <w:color w:val="000000" w:themeColor="text1"/>
          <w:szCs w:val="22"/>
        </w:rPr>
        <w:endnoteReference w:id="6"/>
      </w:r>
      <w:r w:rsidRPr="00121BDA">
        <w:rPr>
          <w:color w:val="000000" w:themeColor="text1"/>
          <w:szCs w:val="22"/>
        </w:rPr>
        <w:t xml:space="preserve"> </w:t>
      </w:r>
    </w:p>
    <w:p w14:paraId="1D1CC501" w14:textId="77777777" w:rsidR="00DC404C" w:rsidRPr="00121BDA" w:rsidRDefault="00DC404C">
      <w:pPr>
        <w:rPr>
          <w:color w:val="000000" w:themeColor="text1"/>
          <w:szCs w:val="22"/>
        </w:rPr>
      </w:pPr>
    </w:p>
    <w:p w14:paraId="73BE6F8F" w14:textId="77777777" w:rsidR="00DC404C" w:rsidRPr="00121BDA" w:rsidRDefault="00DF570B">
      <w:pPr>
        <w:rPr>
          <w:color w:val="000000" w:themeColor="text1"/>
        </w:rPr>
      </w:pPr>
      <w:r w:rsidRPr="00121BDA">
        <w:rPr>
          <w:color w:val="000000" w:themeColor="text1"/>
          <w:szCs w:val="22"/>
        </w:rPr>
        <w:t xml:space="preserve">The most predominant work in this field, and arguably that which still overshadows almost every discussion of civil-military relations today, is Huntington’s </w:t>
      </w:r>
      <w:r w:rsidRPr="00121BDA">
        <w:rPr>
          <w:i/>
          <w:iCs/>
          <w:color w:val="000000" w:themeColor="text1"/>
          <w:szCs w:val="22"/>
        </w:rPr>
        <w:t>The Soldier and the State</w:t>
      </w:r>
      <w:r w:rsidRPr="00121BDA">
        <w:rPr>
          <w:color w:val="000000" w:themeColor="text1"/>
          <w:szCs w:val="22"/>
        </w:rPr>
        <w:t>.</w:t>
      </w:r>
      <w:r w:rsidRPr="00121BDA">
        <w:rPr>
          <w:rStyle w:val="EndnoteReference"/>
          <w:color w:val="000000" w:themeColor="text1"/>
          <w:szCs w:val="22"/>
        </w:rPr>
        <w:endnoteReference w:id="7"/>
      </w:r>
      <w:r w:rsidRPr="00121BDA">
        <w:rPr>
          <w:i/>
          <w:iCs/>
          <w:color w:val="000000" w:themeColor="text1"/>
          <w:szCs w:val="22"/>
        </w:rPr>
        <w:t xml:space="preserve"> </w:t>
      </w:r>
      <w:r w:rsidRPr="00121BDA">
        <w:rPr>
          <w:color w:val="000000" w:themeColor="text1"/>
          <w:szCs w:val="22"/>
        </w:rPr>
        <w:t xml:space="preserve">Through the lens of an empirical review of the development of US and European civil-military history Huntington concluded that successful civil-military relations is all about achieving the right balance between “functional and societal imperatives”. Focusing on America in the late 1950s he argued that the way to attain this is by employing what he calls “objective civilian control”. This involves establishing a system in which the military are isolated from government and the rest of society, and have minimal input to any political decision-making. For their part </w:t>
      </w:r>
      <w:r w:rsidRPr="00121BDA">
        <w:rPr>
          <w:color w:val="000000" w:themeColor="text1"/>
          <w:szCs w:val="22"/>
        </w:rPr>
        <w:lastRenderedPageBreak/>
        <w:t xml:space="preserve">(reassured by the “professional” nature of the military officer corps) the civilians can then give the military a free hand in the operational delivery of state violence, allowing them to conduct their business without political interference. In this way civil control of the military is maintained, but at the same time military effectiveness is not diminished. </w:t>
      </w:r>
    </w:p>
    <w:p w14:paraId="6BCAA3A1" w14:textId="77777777" w:rsidR="00DC404C" w:rsidRPr="00121BDA" w:rsidRDefault="00DC404C">
      <w:pPr>
        <w:rPr>
          <w:color w:val="000000" w:themeColor="text1"/>
          <w:szCs w:val="22"/>
        </w:rPr>
      </w:pPr>
    </w:p>
    <w:p w14:paraId="57F439DE" w14:textId="06F0C00F" w:rsidR="00DC404C" w:rsidRPr="00121BDA" w:rsidRDefault="00DF570B" w:rsidP="00F87D21">
      <w:pPr>
        <w:rPr>
          <w:color w:val="000000" w:themeColor="text1"/>
        </w:rPr>
      </w:pPr>
      <w:r w:rsidRPr="00121BDA">
        <w:rPr>
          <w:color w:val="000000" w:themeColor="text1"/>
          <w:szCs w:val="22"/>
        </w:rPr>
        <w:t>Arguably Huntington’s model has remained the most dominant in the field of civil-military relations ever since it was first published in the late 1950s. Of course, over the years his ideas have not been above criticism, and even when his book first came out, there were those who disagreed with his views. Both Janowitz and Finer offered different perspectives on the problem, with the former advocating a military more closely in tune with the civilian politicians, and the latter focusing on the importance of the “political culture” of a state.</w:t>
      </w:r>
      <w:r w:rsidR="00F87D21" w:rsidRPr="00121BDA">
        <w:rPr>
          <w:rStyle w:val="EndnoteReference"/>
          <w:color w:val="000000" w:themeColor="text1"/>
          <w:szCs w:val="22"/>
        </w:rPr>
        <w:endnoteReference w:id="8"/>
      </w:r>
    </w:p>
    <w:p w14:paraId="4F5CE685" w14:textId="77777777" w:rsidR="00DC404C" w:rsidRPr="00121BDA" w:rsidRDefault="00DC404C">
      <w:pPr>
        <w:rPr>
          <w:color w:val="000000" w:themeColor="text1"/>
          <w:szCs w:val="22"/>
        </w:rPr>
      </w:pPr>
    </w:p>
    <w:p w14:paraId="3A04533C" w14:textId="30DB8491" w:rsidR="00DC404C" w:rsidRPr="00121BDA" w:rsidRDefault="00DF570B" w:rsidP="006B2C75">
      <w:pPr>
        <w:rPr>
          <w:color w:val="000000" w:themeColor="text1"/>
        </w:rPr>
      </w:pPr>
      <w:r w:rsidRPr="00121BDA">
        <w:rPr>
          <w:color w:val="000000" w:themeColor="text1"/>
          <w:szCs w:val="22"/>
        </w:rPr>
        <w:t xml:space="preserve"> However, despite their important contemporary contributions, neither Janowitz nor Finer ever achieved Huntington’s prominence. Since then there have also been others who have contested Huntington’s theories; these include Burk</w:t>
      </w:r>
      <w:r w:rsidR="00B859CF" w:rsidRPr="00121BDA">
        <w:rPr>
          <w:color w:val="000000" w:themeColor="text1"/>
          <w:szCs w:val="22"/>
        </w:rPr>
        <w:t>;</w:t>
      </w:r>
      <w:r w:rsidRPr="00121BDA">
        <w:rPr>
          <w:color w:val="000000" w:themeColor="text1"/>
          <w:szCs w:val="22"/>
        </w:rPr>
        <w:t xml:space="preserve"> </w:t>
      </w:r>
      <w:proofErr w:type="spellStart"/>
      <w:r w:rsidRPr="00121BDA">
        <w:rPr>
          <w:color w:val="000000" w:themeColor="text1"/>
          <w:szCs w:val="22"/>
        </w:rPr>
        <w:t>Cottey</w:t>
      </w:r>
      <w:proofErr w:type="spellEnd"/>
      <w:r w:rsidRPr="00121BDA">
        <w:rPr>
          <w:color w:val="000000" w:themeColor="text1"/>
          <w:szCs w:val="22"/>
        </w:rPr>
        <w:t>, Edmunds and Forster</w:t>
      </w:r>
      <w:r w:rsidR="00B859CF" w:rsidRPr="00121BDA">
        <w:rPr>
          <w:color w:val="000000" w:themeColor="text1"/>
          <w:szCs w:val="22"/>
        </w:rPr>
        <w:t>;</w:t>
      </w:r>
      <w:r w:rsidRPr="00121BDA">
        <w:rPr>
          <w:color w:val="000000" w:themeColor="text1"/>
          <w:szCs w:val="22"/>
        </w:rPr>
        <w:t xml:space="preserve"> and </w:t>
      </w:r>
      <w:proofErr w:type="spellStart"/>
      <w:r w:rsidRPr="00121BDA">
        <w:rPr>
          <w:color w:val="000000" w:themeColor="text1"/>
          <w:szCs w:val="22"/>
        </w:rPr>
        <w:t>Feaver</w:t>
      </w:r>
      <w:proofErr w:type="spellEnd"/>
      <w:r w:rsidR="00B859CF" w:rsidRPr="00121BDA">
        <w:rPr>
          <w:color w:val="000000" w:themeColor="text1"/>
          <w:szCs w:val="22"/>
        </w:rPr>
        <w:t xml:space="preserve"> </w:t>
      </w:r>
      <w:r w:rsidR="006B2C75">
        <w:rPr>
          <w:color w:val="000000" w:themeColor="text1"/>
          <w:szCs w:val="22"/>
        </w:rPr>
        <w:t xml:space="preserve">as noteworthy </w:t>
      </w:r>
      <w:r w:rsidRPr="00121BDA">
        <w:rPr>
          <w:color w:val="000000" w:themeColor="text1"/>
          <w:szCs w:val="22"/>
        </w:rPr>
        <w:t xml:space="preserve">amongst </w:t>
      </w:r>
      <w:r w:rsidR="006B2C75">
        <w:rPr>
          <w:color w:val="000000" w:themeColor="text1"/>
          <w:szCs w:val="22"/>
        </w:rPr>
        <w:t>many</w:t>
      </w:r>
      <w:r w:rsidRPr="00121BDA">
        <w:rPr>
          <w:color w:val="000000" w:themeColor="text1"/>
          <w:szCs w:val="22"/>
        </w:rPr>
        <w:t>.</w:t>
      </w:r>
      <w:r w:rsidR="00B859CF" w:rsidRPr="00121BDA">
        <w:rPr>
          <w:rStyle w:val="EndnoteReference"/>
          <w:color w:val="000000" w:themeColor="text1"/>
          <w:szCs w:val="22"/>
        </w:rPr>
        <w:endnoteReference w:id="9"/>
      </w:r>
      <w:r w:rsidR="00B859CF" w:rsidRPr="00121BDA">
        <w:rPr>
          <w:color w:val="000000" w:themeColor="text1"/>
          <w:szCs w:val="22"/>
        </w:rPr>
        <w:t xml:space="preserve"> </w:t>
      </w:r>
      <w:r w:rsidRPr="00121BDA">
        <w:rPr>
          <w:color w:val="000000" w:themeColor="text1"/>
          <w:szCs w:val="22"/>
        </w:rPr>
        <w:t>Most of these have, nevertheless, still taken a similar Western, liberal-democratic viewpoint and have only engaged with particular aspects of the debate such as the precise meaning of professionalism, or the need to separate or integrate the military and civilian echelons. A few have, in a comparable way to Finer, pointed towards the need to consider the local culture and context of the situation. The foremost amongst these are Schiff</w:t>
      </w:r>
      <w:r w:rsidR="00257C23" w:rsidRPr="00121BDA">
        <w:rPr>
          <w:color w:val="000000" w:themeColor="text1"/>
          <w:szCs w:val="22"/>
        </w:rPr>
        <w:t>;</w:t>
      </w:r>
      <w:r w:rsidRPr="00121BDA">
        <w:rPr>
          <w:color w:val="000000" w:themeColor="text1"/>
          <w:szCs w:val="22"/>
        </w:rPr>
        <w:t xml:space="preserve"> Bland</w:t>
      </w:r>
      <w:r w:rsidR="00257C23" w:rsidRPr="00121BDA">
        <w:rPr>
          <w:color w:val="000000" w:themeColor="text1"/>
          <w:szCs w:val="22"/>
        </w:rPr>
        <w:t>;</w:t>
      </w:r>
      <w:r w:rsidRPr="00121BDA">
        <w:rPr>
          <w:color w:val="000000" w:themeColor="text1"/>
          <w:szCs w:val="22"/>
        </w:rPr>
        <w:t xml:space="preserve"> and </w:t>
      </w:r>
      <w:proofErr w:type="spellStart"/>
      <w:r w:rsidRPr="00121BDA">
        <w:rPr>
          <w:color w:val="000000" w:themeColor="text1"/>
          <w:szCs w:val="22"/>
        </w:rPr>
        <w:t>Cawthra</w:t>
      </w:r>
      <w:proofErr w:type="spellEnd"/>
      <w:r w:rsidRPr="00121BDA">
        <w:rPr>
          <w:color w:val="000000" w:themeColor="text1"/>
          <w:szCs w:val="22"/>
        </w:rPr>
        <w:t xml:space="preserve"> and </w:t>
      </w:r>
      <w:proofErr w:type="spellStart"/>
      <w:r w:rsidRPr="00121BDA">
        <w:rPr>
          <w:color w:val="000000" w:themeColor="text1"/>
          <w:szCs w:val="22"/>
        </w:rPr>
        <w:t>Luckham</w:t>
      </w:r>
      <w:proofErr w:type="spellEnd"/>
      <w:r w:rsidRPr="00121BDA">
        <w:rPr>
          <w:color w:val="000000" w:themeColor="text1"/>
          <w:szCs w:val="22"/>
        </w:rPr>
        <w:t>.</w:t>
      </w:r>
      <w:r w:rsidRPr="00121BDA">
        <w:rPr>
          <w:rStyle w:val="EndnoteReference"/>
          <w:color w:val="000000" w:themeColor="text1"/>
          <w:szCs w:val="22"/>
        </w:rPr>
        <w:endnoteReference w:id="10"/>
      </w:r>
      <w:r w:rsidRPr="00121BDA">
        <w:rPr>
          <w:color w:val="000000" w:themeColor="text1"/>
          <w:szCs w:val="22"/>
        </w:rPr>
        <w:t xml:space="preserve"> The latter recognized that the style of the political framework of a state is fundamental, acknowledging that when considering military involvement in politics the place of a particular nation’s “historic t</w:t>
      </w:r>
      <w:r w:rsidR="008C3C68" w:rsidRPr="00121BDA">
        <w:rPr>
          <w:color w:val="000000" w:themeColor="text1"/>
          <w:szCs w:val="22"/>
        </w:rPr>
        <w:t>rajectory” is critical. Schiff with her</w:t>
      </w:r>
      <w:r w:rsidRPr="00121BDA">
        <w:rPr>
          <w:color w:val="000000" w:themeColor="text1"/>
          <w:szCs w:val="22"/>
        </w:rPr>
        <w:t xml:space="preserve"> </w:t>
      </w:r>
      <w:r w:rsidRPr="00121BDA">
        <w:rPr>
          <w:color w:val="000000" w:themeColor="text1"/>
          <w:szCs w:val="22"/>
        </w:rPr>
        <w:lastRenderedPageBreak/>
        <w:t xml:space="preserve">Concordance theory </w:t>
      </w:r>
      <w:r w:rsidR="008C3C68" w:rsidRPr="00121BDA">
        <w:rPr>
          <w:color w:val="000000" w:themeColor="text1"/>
          <w:szCs w:val="22"/>
        </w:rPr>
        <w:t>and Bland with his</w:t>
      </w:r>
      <w:r w:rsidRPr="00121BDA">
        <w:rPr>
          <w:color w:val="000000" w:themeColor="text1"/>
          <w:szCs w:val="22"/>
        </w:rPr>
        <w:t xml:space="preserve"> Unified theory </w:t>
      </w:r>
      <w:r w:rsidR="008C3C68" w:rsidRPr="00121BDA">
        <w:rPr>
          <w:color w:val="000000" w:themeColor="text1"/>
          <w:szCs w:val="22"/>
        </w:rPr>
        <w:t xml:space="preserve">both </w:t>
      </w:r>
      <w:r w:rsidRPr="00121BDA">
        <w:rPr>
          <w:color w:val="000000" w:themeColor="text1"/>
          <w:szCs w:val="22"/>
        </w:rPr>
        <w:t>also contest</w:t>
      </w:r>
      <w:r w:rsidR="006B2C75">
        <w:rPr>
          <w:color w:val="000000" w:themeColor="text1"/>
          <w:szCs w:val="22"/>
        </w:rPr>
        <w:t>ed</w:t>
      </w:r>
      <w:r w:rsidRPr="00121BDA">
        <w:rPr>
          <w:color w:val="000000" w:themeColor="text1"/>
          <w:szCs w:val="22"/>
        </w:rPr>
        <w:t xml:space="preserve"> the idea of the Western, liberal-democratic </w:t>
      </w:r>
      <w:r w:rsidR="008C3C68" w:rsidRPr="00121BDA">
        <w:rPr>
          <w:color w:val="000000" w:themeColor="text1"/>
          <w:szCs w:val="22"/>
        </w:rPr>
        <w:t>model as a normative ideal,</w:t>
      </w:r>
      <w:r w:rsidRPr="00121BDA">
        <w:rPr>
          <w:color w:val="000000" w:themeColor="text1"/>
          <w:szCs w:val="22"/>
        </w:rPr>
        <w:t xml:space="preserve"> making the point that by ignoring the cultural, historical and contextual background to a situation any attempt to successfully reform it is unlikely to succeed. However, none of these approaches succeeded in moving from the periphery to the mainstream of civil-military relations studies and Huntington’s idea</w:t>
      </w:r>
      <w:r w:rsidR="006B2C75">
        <w:rPr>
          <w:color w:val="000000" w:themeColor="text1"/>
          <w:szCs w:val="22"/>
        </w:rPr>
        <w:t>s</w:t>
      </w:r>
      <w:r w:rsidRPr="00121BDA">
        <w:rPr>
          <w:color w:val="000000" w:themeColor="text1"/>
          <w:szCs w:val="22"/>
        </w:rPr>
        <w:t xml:space="preserve"> still prevail.</w:t>
      </w:r>
      <w:r w:rsidRPr="00121BDA">
        <w:rPr>
          <w:color w:val="000000" w:themeColor="text1"/>
        </w:rPr>
        <w:t xml:space="preserve"> </w:t>
      </w:r>
    </w:p>
    <w:p w14:paraId="52F9F33F" w14:textId="77777777" w:rsidR="00DC404C" w:rsidRPr="00121BDA" w:rsidRDefault="00DC404C">
      <w:pPr>
        <w:rPr>
          <w:color w:val="000000" w:themeColor="text1"/>
          <w:szCs w:val="22"/>
        </w:rPr>
      </w:pPr>
    </w:p>
    <w:p w14:paraId="59F5988B" w14:textId="5EC1E3FD" w:rsidR="00DC404C" w:rsidRPr="00121BDA" w:rsidRDefault="00DF570B" w:rsidP="006B2C75">
      <w:pPr>
        <w:rPr>
          <w:color w:val="000000" w:themeColor="text1"/>
          <w:szCs w:val="22"/>
        </w:rPr>
      </w:pPr>
      <w:r w:rsidRPr="00121BDA">
        <w:rPr>
          <w:color w:val="000000" w:themeColor="text1"/>
          <w:szCs w:val="22"/>
        </w:rPr>
        <w:t xml:space="preserve">For many years, within the international relations community, the reform of a state’s defence structure was seen as a stand-alone activity, unrelated, except perhaps tangentially, to other areas of development that might also be taking place within the same state. This changed, in the late 1990s when the idea </w:t>
      </w:r>
      <w:r w:rsidR="006B2C75" w:rsidRPr="00121BDA">
        <w:rPr>
          <w:color w:val="000000" w:themeColor="text1"/>
          <w:szCs w:val="22"/>
        </w:rPr>
        <w:t xml:space="preserve">began to take shape </w:t>
      </w:r>
      <w:r w:rsidRPr="00121BDA">
        <w:rPr>
          <w:color w:val="000000" w:themeColor="text1"/>
          <w:szCs w:val="22"/>
        </w:rPr>
        <w:t>that security and development could, and indeed</w:t>
      </w:r>
      <w:r w:rsidR="006B2C75">
        <w:rPr>
          <w:color w:val="000000" w:themeColor="text1"/>
          <w:szCs w:val="22"/>
        </w:rPr>
        <w:t xml:space="preserve"> should, be delivered together,</w:t>
      </w:r>
      <w:r w:rsidRPr="00121BDA">
        <w:rPr>
          <w:color w:val="000000" w:themeColor="text1"/>
          <w:szCs w:val="22"/>
        </w:rPr>
        <w:t xml:space="preserve"> with an early advocate for what has now become known as Security Sector Reform (SSR) being the then, UK Secretary of State for Development, Clare Short. Since then SSR as a concept has continued to grow, and is now accepted as a fundamental aspect of the international development agenda. Prior to this there had always been a strict distance kept between the security specialists and the development experts. The advent of the widespread recognition of the concept of human security also helped to broaden the focus of security away from being state-centric to people-centric, which </w:t>
      </w:r>
      <w:r w:rsidR="006B2C75">
        <w:rPr>
          <w:color w:val="000000" w:themeColor="text1"/>
          <w:szCs w:val="22"/>
        </w:rPr>
        <w:t xml:space="preserve">further </w:t>
      </w:r>
      <w:r w:rsidRPr="00121BDA">
        <w:rPr>
          <w:color w:val="000000" w:themeColor="text1"/>
          <w:szCs w:val="22"/>
        </w:rPr>
        <w:t xml:space="preserve">contributed to both sides seeing the advantages of a more synergistic approach. Although today there does still remain a degree of mistrust between the hardliners in each camp, there is no doubt that the broad, holistic idea of SSR is now firmly established as the primary accepted practice in both the security and development arenas. </w:t>
      </w:r>
    </w:p>
    <w:p w14:paraId="3DE9F279" w14:textId="77777777" w:rsidR="00DC404C" w:rsidRPr="00121BDA" w:rsidRDefault="00DC404C">
      <w:pPr>
        <w:rPr>
          <w:color w:val="000000" w:themeColor="text1"/>
          <w:szCs w:val="22"/>
        </w:rPr>
      </w:pPr>
    </w:p>
    <w:p w14:paraId="5307EDF6" w14:textId="4F825BF1" w:rsidR="00DC404C" w:rsidRPr="00121BDA" w:rsidRDefault="00DF570B" w:rsidP="006B2C75">
      <w:pPr>
        <w:rPr>
          <w:color w:val="000000" w:themeColor="text1"/>
        </w:rPr>
      </w:pPr>
      <w:r w:rsidRPr="00121BDA">
        <w:rPr>
          <w:color w:val="000000" w:themeColor="text1"/>
          <w:szCs w:val="22"/>
        </w:rPr>
        <w:lastRenderedPageBreak/>
        <w:t>For some time there was a great deal of debate about what comprised a working defin</w:t>
      </w:r>
      <w:r w:rsidR="006B2C75">
        <w:rPr>
          <w:color w:val="000000" w:themeColor="text1"/>
          <w:szCs w:val="22"/>
        </w:rPr>
        <w:t>ition of SSR, but a consensus on</w:t>
      </w:r>
      <w:r w:rsidRPr="00121BDA">
        <w:rPr>
          <w:color w:val="000000" w:themeColor="text1"/>
          <w:szCs w:val="22"/>
        </w:rPr>
        <w:t xml:space="preserve"> what the term actually means appears to have finally been reached. It is true that there are still some semantic issues to be resolved (is it security </w:t>
      </w:r>
      <w:r w:rsidRPr="00121BDA">
        <w:rPr>
          <w:i/>
          <w:iCs/>
          <w:color w:val="000000" w:themeColor="text1"/>
          <w:szCs w:val="22"/>
        </w:rPr>
        <w:t>sector</w:t>
      </w:r>
      <w:r w:rsidRPr="00121BDA">
        <w:rPr>
          <w:color w:val="000000" w:themeColor="text1"/>
          <w:szCs w:val="22"/>
        </w:rPr>
        <w:t xml:space="preserve"> reform or security </w:t>
      </w:r>
      <w:r w:rsidRPr="00121BDA">
        <w:rPr>
          <w:i/>
          <w:iCs/>
          <w:color w:val="000000" w:themeColor="text1"/>
          <w:szCs w:val="22"/>
        </w:rPr>
        <w:t>system</w:t>
      </w:r>
      <w:r w:rsidRPr="00121BDA">
        <w:rPr>
          <w:color w:val="000000" w:themeColor="text1"/>
          <w:szCs w:val="22"/>
        </w:rPr>
        <w:t xml:space="preserve"> reform?) but by and large most people are content to work with the definition offered by the Geneva Centre for the Democratic Control of Armed Forces (DCAF) as SSR being: “the process through which a country seeks to review and enhance the effectiveness and the accountability of its security and justice providers”.</w:t>
      </w:r>
      <w:r w:rsidRPr="00121BDA">
        <w:rPr>
          <w:rStyle w:val="EndnoteReference"/>
          <w:color w:val="000000" w:themeColor="text1"/>
          <w:szCs w:val="22"/>
        </w:rPr>
        <w:endnoteReference w:id="11"/>
      </w:r>
      <w:r w:rsidRPr="00121BDA">
        <w:rPr>
          <w:color w:val="000000" w:themeColor="text1"/>
          <w:szCs w:val="22"/>
        </w:rPr>
        <w:t xml:space="preserve"> Discussion continues about precisely which organisations should be included within the remit of security and justice providers, but this will always vary from programme to programme and so precise definitions here are perhaps of less concern. What is important is the recognition that defence reform cannot </w:t>
      </w:r>
      <w:r w:rsidR="006B2C75">
        <w:rPr>
          <w:color w:val="000000" w:themeColor="text1"/>
          <w:szCs w:val="22"/>
        </w:rPr>
        <w:t>stand on its own</w:t>
      </w:r>
      <w:r w:rsidRPr="00121BDA">
        <w:rPr>
          <w:color w:val="000000" w:themeColor="text1"/>
          <w:szCs w:val="22"/>
        </w:rPr>
        <w:t xml:space="preserve"> but must be implemented alongside programmes addressing such elements as the police, the intelligence community and the justice system, and that how the security sector is governed and overseen is as important as the organisation and structure of the armed forces </w:t>
      </w:r>
      <w:r w:rsidR="006B2C75">
        <w:rPr>
          <w:color w:val="000000" w:themeColor="text1"/>
          <w:szCs w:val="22"/>
        </w:rPr>
        <w:t>itself</w:t>
      </w:r>
      <w:r w:rsidRPr="00121BDA">
        <w:rPr>
          <w:color w:val="000000" w:themeColor="text1"/>
          <w:szCs w:val="22"/>
        </w:rPr>
        <w:t>.</w:t>
      </w:r>
      <w:r w:rsidRPr="00121BDA">
        <w:rPr>
          <w:rStyle w:val="EndnoteReference"/>
          <w:color w:val="000000" w:themeColor="text1"/>
          <w:szCs w:val="22"/>
        </w:rPr>
        <w:endnoteReference w:id="12"/>
      </w:r>
      <w:r w:rsidR="00457AA3">
        <w:rPr>
          <w:color w:val="000000" w:themeColor="text1"/>
          <w:szCs w:val="22"/>
        </w:rPr>
        <w:t xml:space="preserve"> This of course is just theory; as with most issues involving people and politics, those who attempt to implement such programmes in the real world </w:t>
      </w:r>
      <w:r w:rsidR="006B2C75">
        <w:rPr>
          <w:color w:val="000000" w:themeColor="text1"/>
          <w:szCs w:val="22"/>
        </w:rPr>
        <w:t>inevitably</w:t>
      </w:r>
      <w:r w:rsidR="00457AA3">
        <w:rPr>
          <w:color w:val="000000" w:themeColor="text1"/>
          <w:szCs w:val="22"/>
        </w:rPr>
        <w:t xml:space="preserve"> confront many unanticipated complications. </w:t>
      </w:r>
    </w:p>
    <w:p w14:paraId="7240E6AF" w14:textId="77777777" w:rsidR="00DC404C" w:rsidRPr="00121BDA" w:rsidRDefault="00DF570B">
      <w:pPr>
        <w:pStyle w:val="Heading2"/>
        <w:rPr>
          <w:color w:val="000000" w:themeColor="text1"/>
        </w:rPr>
      </w:pPr>
      <w:r w:rsidRPr="00121BDA">
        <w:rPr>
          <w:color w:val="000000" w:themeColor="text1"/>
        </w:rPr>
        <w:t>Problems with SSR in Practice</w:t>
      </w:r>
    </w:p>
    <w:p w14:paraId="3EDEAC21" w14:textId="5893A685" w:rsidR="00DC404C" w:rsidRPr="00121BDA" w:rsidRDefault="00DF570B" w:rsidP="006B2C75">
      <w:pPr>
        <w:rPr>
          <w:color w:val="000000" w:themeColor="text1"/>
        </w:rPr>
      </w:pPr>
      <w:r w:rsidRPr="00121BDA">
        <w:rPr>
          <w:color w:val="000000" w:themeColor="text1"/>
          <w:szCs w:val="22"/>
        </w:rPr>
        <w:t xml:space="preserve">Since the early 1990s, SSR programmes in various forms have been </w:t>
      </w:r>
      <w:r w:rsidR="006B2C75">
        <w:rPr>
          <w:color w:val="000000" w:themeColor="text1"/>
          <w:szCs w:val="22"/>
        </w:rPr>
        <w:t>undertaken</w:t>
      </w:r>
      <w:r w:rsidRPr="00121BDA">
        <w:rPr>
          <w:color w:val="000000" w:themeColor="text1"/>
          <w:szCs w:val="22"/>
        </w:rPr>
        <w:t xml:space="preserve"> in many countries around the world. The focus of these programmes has not always been post-conflict reform, with programmes are often being enacted in failed states more generally, and even in developing democracies such as those emerging from the collapse of the Warsaw Pact after the fall of the Soviet Union. Although the literature is rich with case studies from SSR</w:t>
      </w:r>
      <w:r w:rsidR="00457AA3">
        <w:rPr>
          <w:color w:val="000000" w:themeColor="text1"/>
          <w:szCs w:val="22"/>
        </w:rPr>
        <w:t xml:space="preserve">, in all </w:t>
      </w:r>
      <w:r w:rsidR="006B2C75">
        <w:rPr>
          <w:color w:val="000000" w:themeColor="text1"/>
          <w:szCs w:val="22"/>
        </w:rPr>
        <w:t xml:space="preserve">of </w:t>
      </w:r>
      <w:r w:rsidR="00457AA3">
        <w:rPr>
          <w:color w:val="000000" w:themeColor="text1"/>
          <w:szCs w:val="22"/>
        </w:rPr>
        <w:t>these scenarios</w:t>
      </w:r>
      <w:r w:rsidRPr="00121BDA">
        <w:rPr>
          <w:color w:val="000000" w:themeColor="text1"/>
          <w:szCs w:val="22"/>
        </w:rPr>
        <w:t xml:space="preserve"> post-conflict studies such as </w:t>
      </w:r>
      <w:r w:rsidRPr="00121BDA">
        <w:rPr>
          <w:color w:val="000000" w:themeColor="text1"/>
          <w:szCs w:val="22"/>
        </w:rPr>
        <w:lastRenderedPageBreak/>
        <w:t xml:space="preserve">South Africa, Sierra Leone and Timor-Leste tend to dominate, (see </w:t>
      </w:r>
      <w:proofErr w:type="spellStart"/>
      <w:r w:rsidRPr="00121BDA">
        <w:rPr>
          <w:color w:val="000000" w:themeColor="text1"/>
          <w:szCs w:val="22"/>
        </w:rPr>
        <w:t>Cawthra</w:t>
      </w:r>
      <w:proofErr w:type="spellEnd"/>
      <w:r w:rsidR="0073064D" w:rsidRPr="00121BDA">
        <w:rPr>
          <w:color w:val="000000" w:themeColor="text1"/>
          <w:szCs w:val="22"/>
        </w:rPr>
        <w:t>;</w:t>
      </w:r>
      <w:r w:rsidRPr="00121BDA">
        <w:rPr>
          <w:color w:val="000000" w:themeColor="text1"/>
          <w:szCs w:val="22"/>
        </w:rPr>
        <w:t xml:space="preserve"> Jackson</w:t>
      </w:r>
      <w:r w:rsidR="0073064D" w:rsidRPr="00121BDA">
        <w:rPr>
          <w:color w:val="000000" w:themeColor="text1"/>
          <w:szCs w:val="22"/>
        </w:rPr>
        <w:t>;</w:t>
      </w:r>
      <w:r w:rsidRPr="00121BDA">
        <w:rPr>
          <w:color w:val="000000" w:themeColor="text1"/>
          <w:szCs w:val="22"/>
        </w:rPr>
        <w:t xml:space="preserve"> and Schroeder, </w:t>
      </w:r>
      <w:proofErr w:type="spellStart"/>
      <w:r w:rsidRPr="00121BDA">
        <w:rPr>
          <w:color w:val="000000" w:themeColor="text1"/>
          <w:szCs w:val="22"/>
        </w:rPr>
        <w:t>Chappuis</w:t>
      </w:r>
      <w:proofErr w:type="spellEnd"/>
      <w:r w:rsidRPr="00121BDA">
        <w:rPr>
          <w:color w:val="000000" w:themeColor="text1"/>
          <w:szCs w:val="22"/>
        </w:rPr>
        <w:t xml:space="preserve"> and </w:t>
      </w:r>
      <w:proofErr w:type="spellStart"/>
      <w:r w:rsidRPr="00121BDA">
        <w:rPr>
          <w:color w:val="000000" w:themeColor="text1"/>
          <w:szCs w:val="22"/>
        </w:rPr>
        <w:t>Kocak</w:t>
      </w:r>
      <w:proofErr w:type="spellEnd"/>
      <w:r w:rsidRPr="00121BDA">
        <w:rPr>
          <w:color w:val="000000" w:themeColor="text1"/>
          <w:szCs w:val="22"/>
        </w:rPr>
        <w:t xml:space="preserve"> amongst others</w:t>
      </w:r>
      <w:r w:rsidR="0073064D" w:rsidRPr="00121BDA">
        <w:rPr>
          <w:rStyle w:val="EndnoteReference"/>
          <w:color w:val="000000" w:themeColor="text1"/>
          <w:szCs w:val="22"/>
        </w:rPr>
        <w:endnoteReference w:id="13"/>
      </w:r>
      <w:r w:rsidRPr="00121BDA">
        <w:rPr>
          <w:color w:val="000000" w:themeColor="text1"/>
          <w:szCs w:val="22"/>
        </w:rPr>
        <w:t>). Of course, most recently it has been Iraq and Afghanistan that have generated the greatest amount of research and analysis.</w:t>
      </w:r>
    </w:p>
    <w:p w14:paraId="7F7E3ED5" w14:textId="77777777" w:rsidR="00DC404C" w:rsidRPr="00121BDA" w:rsidRDefault="00DC404C">
      <w:pPr>
        <w:rPr>
          <w:color w:val="000000" w:themeColor="text1"/>
          <w:szCs w:val="22"/>
        </w:rPr>
      </w:pPr>
    </w:p>
    <w:p w14:paraId="293D7135" w14:textId="3919590D" w:rsidR="00DC404C" w:rsidRPr="00121BDA" w:rsidRDefault="00DF570B" w:rsidP="00685A55">
      <w:pPr>
        <w:rPr>
          <w:color w:val="000000" w:themeColor="text1"/>
          <w:szCs w:val="22"/>
        </w:rPr>
      </w:pPr>
      <w:r w:rsidRPr="00121BDA">
        <w:rPr>
          <w:color w:val="000000" w:themeColor="text1"/>
          <w:szCs w:val="22"/>
        </w:rPr>
        <w:t xml:space="preserve">For post-conflict SSR to </w:t>
      </w:r>
      <w:r w:rsidR="00685A55" w:rsidRPr="00121BDA">
        <w:rPr>
          <w:color w:val="000000" w:themeColor="text1"/>
          <w:szCs w:val="22"/>
        </w:rPr>
        <w:t xml:space="preserve">be successful </w:t>
      </w:r>
      <w:r w:rsidRPr="00121BDA">
        <w:rPr>
          <w:color w:val="000000" w:themeColor="text1"/>
          <w:szCs w:val="22"/>
        </w:rPr>
        <w:t xml:space="preserve">the timing </w:t>
      </w:r>
      <w:r w:rsidR="00685A55" w:rsidRPr="00121BDA">
        <w:rPr>
          <w:color w:val="000000" w:themeColor="text1"/>
          <w:szCs w:val="22"/>
        </w:rPr>
        <w:t>of the initiation of the programme is critical.</w:t>
      </w:r>
      <w:r w:rsidRPr="00121BDA">
        <w:rPr>
          <w:color w:val="000000" w:themeColor="text1"/>
          <w:szCs w:val="22"/>
        </w:rPr>
        <w:t xml:space="preserve"> There is some debate over which preconditions are necessary if an SSR programme is to at least have a chance of succeeding, but Schnabel and Born have offered some clear thoughts on what they believe such preconditions might be:</w:t>
      </w:r>
    </w:p>
    <w:p w14:paraId="352CD399" w14:textId="77777777" w:rsidR="00DC404C" w:rsidRPr="00121BDA" w:rsidRDefault="00DF570B" w:rsidP="005E147B">
      <w:pPr>
        <w:spacing w:before="120" w:after="120" w:line="360" w:lineRule="auto"/>
        <w:ind w:left="992" w:right="765"/>
        <w:rPr>
          <w:color w:val="000000" w:themeColor="text1"/>
        </w:rPr>
      </w:pPr>
      <w:r w:rsidRPr="00121BDA">
        <w:rPr>
          <w:color w:val="000000" w:themeColor="text1"/>
          <w:sz w:val="22"/>
          <w:szCs w:val="22"/>
        </w:rPr>
        <w:t>“These include the presence of an environment that is conducive to reform, characterised by an absence – or at least low levels – of violence; the availability of basic infrastructure and a working and favourable legal framework; the presence of solid, stable and well</w:t>
      </w:r>
      <w:r w:rsidRPr="00121BDA">
        <w:rPr>
          <w:rFonts w:ascii="Calibri" w:eastAsia="Calibri" w:hAnsi="Calibri" w:cs="Calibri"/>
          <w:color w:val="000000" w:themeColor="text1"/>
          <w:sz w:val="22"/>
          <w:szCs w:val="22"/>
        </w:rPr>
        <w:t>‐</w:t>
      </w:r>
      <w:r w:rsidRPr="00121BDA">
        <w:rPr>
          <w:color w:val="000000" w:themeColor="text1"/>
          <w:sz w:val="22"/>
          <w:szCs w:val="22"/>
        </w:rPr>
        <w:t xml:space="preserve">organised domestic security and political institutions; low levels of corruption; and an active and informed civil society.” </w:t>
      </w:r>
      <w:r w:rsidRPr="00121BDA">
        <w:rPr>
          <w:rStyle w:val="EndnoteReference"/>
          <w:color w:val="000000" w:themeColor="text1"/>
          <w:sz w:val="22"/>
          <w:szCs w:val="22"/>
        </w:rPr>
        <w:endnoteReference w:id="14"/>
      </w:r>
    </w:p>
    <w:p w14:paraId="13BE6A27" w14:textId="49621DC4" w:rsidR="00DC404C" w:rsidRPr="00121BDA" w:rsidRDefault="00DF570B" w:rsidP="00DC03E9">
      <w:pPr>
        <w:rPr>
          <w:color w:val="000000" w:themeColor="text1"/>
        </w:rPr>
      </w:pPr>
      <w:r w:rsidRPr="00121BDA">
        <w:rPr>
          <w:color w:val="000000" w:themeColor="text1"/>
          <w:szCs w:val="22"/>
        </w:rPr>
        <w:t xml:space="preserve">It is fair to say that such a benign environment is rarely, if ever, going to be found in a post-conflict situation, but it does at least provide a benchmark against which to assess the likelihood of success. It is also easy to see from this why, although very different cases from </w:t>
      </w:r>
      <w:r w:rsidR="00694178" w:rsidRPr="00121BDA">
        <w:rPr>
          <w:color w:val="000000" w:themeColor="text1"/>
          <w:szCs w:val="22"/>
        </w:rPr>
        <w:t>one another</w:t>
      </w:r>
      <w:r w:rsidRPr="00121BDA">
        <w:rPr>
          <w:color w:val="000000" w:themeColor="text1"/>
          <w:szCs w:val="22"/>
        </w:rPr>
        <w:t>, both Iraq and Afghanistan are in fact not the best examples from which to draw lessons about what compris</w:t>
      </w:r>
      <w:r w:rsidR="006B2C75">
        <w:rPr>
          <w:color w:val="000000" w:themeColor="text1"/>
          <w:szCs w:val="22"/>
        </w:rPr>
        <w:t>es successful post-conflict SSR. I</w:t>
      </w:r>
      <w:r w:rsidRPr="00121BDA">
        <w:rPr>
          <w:color w:val="000000" w:themeColor="text1"/>
          <w:szCs w:val="22"/>
        </w:rPr>
        <w:t>n fact, given their extreme distance from this ideal</w:t>
      </w:r>
      <w:r w:rsidR="00694178" w:rsidRPr="00121BDA">
        <w:rPr>
          <w:color w:val="000000" w:themeColor="text1"/>
          <w:szCs w:val="22"/>
        </w:rPr>
        <w:t>, it is probable that</w:t>
      </w:r>
      <w:r w:rsidRPr="00121BDA">
        <w:rPr>
          <w:color w:val="000000" w:themeColor="text1"/>
          <w:szCs w:val="22"/>
        </w:rPr>
        <w:t xml:space="preserve"> almost any programme in these scenarios </w:t>
      </w:r>
      <w:r w:rsidR="00694178" w:rsidRPr="00121BDA">
        <w:rPr>
          <w:color w:val="000000" w:themeColor="text1"/>
          <w:szCs w:val="22"/>
        </w:rPr>
        <w:t xml:space="preserve">would have </w:t>
      </w:r>
      <w:r w:rsidRPr="00121BDA">
        <w:rPr>
          <w:color w:val="000000" w:themeColor="text1"/>
          <w:szCs w:val="22"/>
        </w:rPr>
        <w:t xml:space="preserve">had a high chance of failure. It has been suggested that, even in situations where the indicators are more positive for SSR programmes, the </w:t>
      </w:r>
      <w:r w:rsidR="00DC03E9" w:rsidRPr="00121BDA">
        <w:rPr>
          <w:color w:val="000000" w:themeColor="text1"/>
          <w:szCs w:val="22"/>
        </w:rPr>
        <w:t xml:space="preserve">intrinsic </w:t>
      </w:r>
      <w:r w:rsidRPr="00121BDA">
        <w:rPr>
          <w:color w:val="000000" w:themeColor="text1"/>
          <w:szCs w:val="22"/>
        </w:rPr>
        <w:t xml:space="preserve">challenges </w:t>
      </w:r>
      <w:r w:rsidR="00DC03E9" w:rsidRPr="00121BDA">
        <w:rPr>
          <w:color w:val="000000" w:themeColor="text1"/>
          <w:szCs w:val="22"/>
        </w:rPr>
        <w:t>found in</w:t>
      </w:r>
      <w:r w:rsidR="00694178" w:rsidRPr="00121BDA">
        <w:rPr>
          <w:color w:val="000000" w:themeColor="text1"/>
          <w:szCs w:val="22"/>
        </w:rPr>
        <w:t xml:space="preserve"> any</w:t>
      </w:r>
      <w:r w:rsidRPr="00121BDA">
        <w:rPr>
          <w:color w:val="000000" w:themeColor="text1"/>
          <w:szCs w:val="22"/>
        </w:rPr>
        <w:t xml:space="preserve"> post-conflict situation are likely to be so considerable that failure is always going to be a more likely outcome than success.</w:t>
      </w:r>
      <w:r w:rsidRPr="00121BDA">
        <w:rPr>
          <w:rStyle w:val="EndnoteReference"/>
          <w:color w:val="000000" w:themeColor="text1"/>
          <w:szCs w:val="22"/>
        </w:rPr>
        <w:endnoteReference w:id="15"/>
      </w:r>
      <w:r w:rsidRPr="00121BDA">
        <w:rPr>
          <w:color w:val="000000" w:themeColor="text1"/>
          <w:szCs w:val="22"/>
        </w:rPr>
        <w:t xml:space="preserve"> This view may be overly pessimistic, nevertheless it is perhaps unsurprising given that the reason most </w:t>
      </w:r>
      <w:r w:rsidRPr="00121BDA">
        <w:rPr>
          <w:color w:val="000000" w:themeColor="text1"/>
          <w:szCs w:val="22"/>
        </w:rPr>
        <w:lastRenderedPageBreak/>
        <w:t xml:space="preserve">post-conflict SSR is contemplated in the first place is because serious instabilities and uncertainties already exist in the states under consideration. </w:t>
      </w:r>
    </w:p>
    <w:p w14:paraId="0AFB1E48" w14:textId="77777777" w:rsidR="00DC404C" w:rsidRPr="00121BDA" w:rsidRDefault="00DC404C">
      <w:pPr>
        <w:rPr>
          <w:color w:val="000000" w:themeColor="text1"/>
          <w:szCs w:val="22"/>
        </w:rPr>
      </w:pPr>
    </w:p>
    <w:p w14:paraId="5EC567E7" w14:textId="0CD99AA9" w:rsidR="00DC404C" w:rsidRPr="00121BDA" w:rsidRDefault="00DF570B" w:rsidP="00694178">
      <w:pPr>
        <w:rPr>
          <w:color w:val="000000" w:themeColor="text1"/>
        </w:rPr>
      </w:pPr>
      <w:r w:rsidRPr="00121BDA">
        <w:rPr>
          <w:color w:val="000000" w:themeColor="text1"/>
          <w:szCs w:val="22"/>
        </w:rPr>
        <w:t>The problems that SSR programmes encounter can be seen as having one of two origins - they are either in-country challenges or donor-related issues. That is not to say that the two can always be entirely separated, but this is a useful lens through which to examine the question of what impedi</w:t>
      </w:r>
      <w:r w:rsidR="00694178" w:rsidRPr="00121BDA">
        <w:rPr>
          <w:color w:val="000000" w:themeColor="text1"/>
          <w:szCs w:val="22"/>
        </w:rPr>
        <w:t>ments post-conflict SSR faces. Perhaps t</w:t>
      </w:r>
      <w:r w:rsidRPr="00121BDA">
        <w:rPr>
          <w:color w:val="000000" w:themeColor="text1"/>
          <w:szCs w:val="22"/>
        </w:rPr>
        <w:t xml:space="preserve">he most obvious in-country challenges relate to the inherent difficulties found in any post-conflict scenario, which were </w:t>
      </w:r>
      <w:r w:rsidR="00694178" w:rsidRPr="00121BDA">
        <w:rPr>
          <w:color w:val="000000" w:themeColor="text1"/>
          <w:szCs w:val="22"/>
        </w:rPr>
        <w:t>alluded to earlier in</w:t>
      </w:r>
      <w:r w:rsidRPr="00121BDA">
        <w:rPr>
          <w:color w:val="000000" w:themeColor="text1"/>
          <w:szCs w:val="22"/>
        </w:rPr>
        <w:t xml:space="preserve"> Schnabel and </w:t>
      </w:r>
      <w:proofErr w:type="spellStart"/>
      <w:r w:rsidRPr="00121BDA">
        <w:rPr>
          <w:color w:val="000000" w:themeColor="text1"/>
          <w:szCs w:val="22"/>
        </w:rPr>
        <w:t>Born’s</w:t>
      </w:r>
      <w:proofErr w:type="spellEnd"/>
      <w:r w:rsidRPr="00121BDA">
        <w:rPr>
          <w:color w:val="000000" w:themeColor="text1"/>
          <w:szCs w:val="22"/>
        </w:rPr>
        <w:t xml:space="preserve"> view of the necessary preconditions for a programme to begin.  Another key concern is that many SSR programmes tend to require what Jackson describes as “a radical restructuring of values and cultures within usually secretive and insular institutions”.</w:t>
      </w:r>
      <w:r w:rsidRPr="00121BDA">
        <w:rPr>
          <w:rStyle w:val="EndnoteReference"/>
          <w:color w:val="000000" w:themeColor="text1"/>
          <w:szCs w:val="22"/>
        </w:rPr>
        <w:endnoteReference w:id="16"/>
      </w:r>
      <w:r w:rsidRPr="00121BDA">
        <w:rPr>
          <w:color w:val="000000" w:themeColor="text1"/>
          <w:szCs w:val="22"/>
        </w:rPr>
        <w:t xml:space="preserve">  Successfully dealing with this is difficult and in many cases it is only achieved on the surface, with the changes never becoming genuinely embedded in the way the state actually operates on the ground. This can result in what Schroeder, </w:t>
      </w:r>
      <w:proofErr w:type="spellStart"/>
      <w:r w:rsidRPr="00121BDA">
        <w:rPr>
          <w:color w:val="000000" w:themeColor="text1"/>
          <w:szCs w:val="22"/>
        </w:rPr>
        <w:t>Chappuis</w:t>
      </w:r>
      <w:proofErr w:type="spellEnd"/>
      <w:r w:rsidRPr="00121BDA">
        <w:rPr>
          <w:color w:val="000000" w:themeColor="text1"/>
          <w:szCs w:val="22"/>
        </w:rPr>
        <w:t xml:space="preserve"> and </w:t>
      </w:r>
      <w:proofErr w:type="spellStart"/>
      <w:r w:rsidRPr="00121BDA">
        <w:rPr>
          <w:color w:val="000000" w:themeColor="text1"/>
          <w:szCs w:val="22"/>
        </w:rPr>
        <w:t>Kocak</w:t>
      </w:r>
      <w:proofErr w:type="spellEnd"/>
      <w:r w:rsidRPr="00121BDA">
        <w:rPr>
          <w:color w:val="000000" w:themeColor="text1"/>
          <w:szCs w:val="22"/>
        </w:rPr>
        <w:t xml:space="preserve"> describe as “hybrid security governance” in which new structures and organisations are created on paper, but in reality nothing alters in the way in which day to day practices are enacted.</w:t>
      </w:r>
      <w:r w:rsidRPr="00121BDA">
        <w:rPr>
          <w:rStyle w:val="EndnoteReference"/>
          <w:color w:val="000000" w:themeColor="text1"/>
          <w:szCs w:val="22"/>
        </w:rPr>
        <w:endnoteReference w:id="17"/>
      </w:r>
      <w:r w:rsidRPr="00121BDA">
        <w:rPr>
          <w:color w:val="000000" w:themeColor="text1"/>
          <w:szCs w:val="22"/>
        </w:rPr>
        <w:t xml:space="preserve">   </w:t>
      </w:r>
    </w:p>
    <w:p w14:paraId="562FE827" w14:textId="77777777" w:rsidR="00DC404C" w:rsidRPr="00121BDA" w:rsidRDefault="00DC404C">
      <w:pPr>
        <w:rPr>
          <w:color w:val="000000" w:themeColor="text1"/>
          <w:szCs w:val="22"/>
        </w:rPr>
      </w:pPr>
    </w:p>
    <w:p w14:paraId="06E9F4D7" w14:textId="300162D0" w:rsidR="00DC404C" w:rsidRPr="00121BDA" w:rsidRDefault="00DF570B" w:rsidP="006B2C75">
      <w:pPr>
        <w:rPr>
          <w:color w:val="000000" w:themeColor="text1"/>
        </w:rPr>
      </w:pPr>
      <w:r w:rsidRPr="00121BDA">
        <w:rPr>
          <w:color w:val="000000" w:themeColor="text1"/>
          <w:szCs w:val="22"/>
        </w:rPr>
        <w:t>To a certain extent, many of these in-country issues are unavoidable – they are simply indicative of most post-conflict conditions and occur as a result of the nature and complexity of the situation; they just have to be seen as challenges that</w:t>
      </w:r>
      <w:r w:rsidR="00DC03E9" w:rsidRPr="00121BDA">
        <w:rPr>
          <w:color w:val="000000" w:themeColor="text1"/>
          <w:szCs w:val="22"/>
        </w:rPr>
        <w:t xml:space="preserve"> need to be overcome. T</w:t>
      </w:r>
      <w:r w:rsidRPr="00121BDA">
        <w:rPr>
          <w:color w:val="000000" w:themeColor="text1"/>
          <w:szCs w:val="22"/>
        </w:rPr>
        <w:t xml:space="preserve">he donor-related issues are different as, in theory at least, any possible solutions to these should be within the gift of the donors to apply. One concern that has been expressed, that of donor self-interest, is linked to the historical distrust between the development and security communities regarding SSR that </w:t>
      </w:r>
      <w:r w:rsidR="006B2C75">
        <w:rPr>
          <w:color w:val="000000" w:themeColor="text1"/>
          <w:szCs w:val="22"/>
        </w:rPr>
        <w:t>was previously</w:t>
      </w:r>
      <w:r w:rsidRPr="00121BDA">
        <w:rPr>
          <w:color w:val="000000" w:themeColor="text1"/>
          <w:szCs w:val="22"/>
        </w:rPr>
        <w:t xml:space="preserve"> </w:t>
      </w:r>
      <w:r w:rsidR="00DC03E9" w:rsidRPr="00121BDA">
        <w:rPr>
          <w:color w:val="000000" w:themeColor="text1"/>
          <w:szCs w:val="22"/>
        </w:rPr>
        <w:t>noted</w:t>
      </w:r>
      <w:r w:rsidRPr="00121BDA">
        <w:rPr>
          <w:color w:val="000000" w:themeColor="text1"/>
          <w:szCs w:val="22"/>
        </w:rPr>
        <w:t xml:space="preserve">. </w:t>
      </w:r>
      <w:r w:rsidRPr="00121BDA">
        <w:rPr>
          <w:color w:val="000000" w:themeColor="text1"/>
          <w:szCs w:val="22"/>
        </w:rPr>
        <w:lastRenderedPageBreak/>
        <w:t xml:space="preserve">Greene and </w:t>
      </w:r>
      <w:proofErr w:type="spellStart"/>
      <w:r w:rsidRPr="00121BDA">
        <w:rPr>
          <w:color w:val="000000" w:themeColor="text1"/>
          <w:szCs w:val="22"/>
        </w:rPr>
        <w:t>Rynn</w:t>
      </w:r>
      <w:proofErr w:type="spellEnd"/>
      <w:r w:rsidRPr="00121BDA">
        <w:rPr>
          <w:color w:val="000000" w:themeColor="text1"/>
          <w:szCs w:val="22"/>
        </w:rPr>
        <w:t xml:space="preserve"> talk about suspicions that are harboured by some development bodies that SSR may be “a cover for self–interested pursuit of contestable foreign and security policy objectives”.</w:t>
      </w:r>
      <w:r w:rsidRPr="00121BDA">
        <w:rPr>
          <w:rStyle w:val="EndnoteReference"/>
          <w:color w:val="000000" w:themeColor="text1"/>
          <w:szCs w:val="22"/>
        </w:rPr>
        <w:endnoteReference w:id="18"/>
      </w:r>
      <w:r w:rsidRPr="00121BDA">
        <w:rPr>
          <w:color w:val="000000" w:themeColor="text1"/>
          <w:szCs w:val="22"/>
        </w:rPr>
        <w:t xml:space="preserve"> If such suspicions are founded, and unless the aims and objectives of a given SSR programme are specifically aligned to needs of the recipient state not those of the donors, then it is always going to be very difficult to obtain a sense of local ownership – something that is widely </w:t>
      </w:r>
      <w:r w:rsidR="00DC03E9" w:rsidRPr="00121BDA">
        <w:rPr>
          <w:color w:val="000000" w:themeColor="text1"/>
          <w:szCs w:val="22"/>
        </w:rPr>
        <w:t>recognised</w:t>
      </w:r>
      <w:r w:rsidRPr="00121BDA">
        <w:rPr>
          <w:color w:val="000000" w:themeColor="text1"/>
          <w:szCs w:val="22"/>
        </w:rPr>
        <w:t xml:space="preserve"> as being </w:t>
      </w:r>
      <w:r w:rsidR="00DC03E9" w:rsidRPr="00121BDA">
        <w:rPr>
          <w:color w:val="000000" w:themeColor="text1"/>
          <w:szCs w:val="22"/>
        </w:rPr>
        <w:t xml:space="preserve">an important </w:t>
      </w:r>
      <w:r w:rsidRPr="00121BDA">
        <w:rPr>
          <w:color w:val="000000" w:themeColor="text1"/>
          <w:szCs w:val="22"/>
        </w:rPr>
        <w:t xml:space="preserve">key to achieving success. Amongst other donor issues that have been highlighted are: </w:t>
      </w:r>
    </w:p>
    <w:p w14:paraId="58629952" w14:textId="529AEC6D" w:rsidR="00DC404C" w:rsidRPr="00121BDA" w:rsidRDefault="00DC03E9" w:rsidP="00DC03E9">
      <w:pPr>
        <w:pStyle w:val="ListParagraph"/>
        <w:numPr>
          <w:ilvl w:val="0"/>
          <w:numId w:val="1"/>
        </w:numPr>
        <w:rPr>
          <w:color w:val="000000" w:themeColor="text1"/>
        </w:rPr>
      </w:pPr>
      <w:r w:rsidRPr="00121BDA">
        <w:rPr>
          <w:color w:val="000000" w:themeColor="text1"/>
          <w:szCs w:val="22"/>
        </w:rPr>
        <w:t xml:space="preserve">the reluctance of </w:t>
      </w:r>
      <w:r w:rsidR="000E688C">
        <w:rPr>
          <w:color w:val="000000" w:themeColor="text1"/>
          <w:szCs w:val="22"/>
        </w:rPr>
        <w:t>many donors</w:t>
      </w:r>
      <w:r w:rsidR="00DF570B" w:rsidRPr="00121BDA">
        <w:rPr>
          <w:color w:val="000000" w:themeColor="text1"/>
          <w:szCs w:val="22"/>
        </w:rPr>
        <w:t xml:space="preserve"> to engage in long-term commitment to programmes, </w:t>
      </w:r>
      <w:r w:rsidRPr="00121BDA">
        <w:rPr>
          <w:color w:val="000000" w:themeColor="text1"/>
          <w:szCs w:val="22"/>
        </w:rPr>
        <w:t>and</w:t>
      </w:r>
      <w:r w:rsidR="00DF570B" w:rsidRPr="00121BDA">
        <w:rPr>
          <w:color w:val="000000" w:themeColor="text1"/>
          <w:szCs w:val="22"/>
        </w:rPr>
        <w:t xml:space="preserve"> the associated problems of the relatively short length of staff positions in donor organisations;</w:t>
      </w:r>
      <w:r w:rsidR="00DF570B" w:rsidRPr="00121BDA">
        <w:rPr>
          <w:rStyle w:val="EndnoteReference"/>
          <w:color w:val="000000" w:themeColor="text1"/>
          <w:szCs w:val="22"/>
        </w:rPr>
        <w:endnoteReference w:id="19"/>
      </w:r>
      <w:r w:rsidR="00DF570B" w:rsidRPr="00121BDA">
        <w:rPr>
          <w:color w:val="000000" w:themeColor="text1"/>
          <w:szCs w:val="22"/>
        </w:rPr>
        <w:t xml:space="preserve"> </w:t>
      </w:r>
    </w:p>
    <w:p w14:paraId="59A0C7FD" w14:textId="59F48935" w:rsidR="00DC404C" w:rsidRPr="00121BDA" w:rsidRDefault="00DF570B" w:rsidP="00143BC6">
      <w:pPr>
        <w:pStyle w:val="ListParagraph"/>
        <w:numPr>
          <w:ilvl w:val="0"/>
          <w:numId w:val="1"/>
        </w:numPr>
        <w:rPr>
          <w:color w:val="000000" w:themeColor="text1"/>
        </w:rPr>
      </w:pPr>
      <w:r w:rsidRPr="00121BDA">
        <w:rPr>
          <w:color w:val="000000" w:themeColor="text1"/>
          <w:szCs w:val="22"/>
        </w:rPr>
        <w:t xml:space="preserve">an unwillingness of donors to work with non-state actors, despite the reality being that they are often </w:t>
      </w:r>
      <w:r w:rsidR="00143BC6" w:rsidRPr="00121BDA">
        <w:rPr>
          <w:color w:val="000000" w:themeColor="text1"/>
          <w:szCs w:val="22"/>
        </w:rPr>
        <w:t>critical</w:t>
      </w:r>
      <w:r w:rsidRPr="00121BDA">
        <w:rPr>
          <w:color w:val="000000" w:themeColor="text1"/>
          <w:szCs w:val="22"/>
        </w:rPr>
        <w:t xml:space="preserve"> players in post-conflict scenarios;</w:t>
      </w:r>
      <w:r w:rsidRPr="00121BDA">
        <w:rPr>
          <w:rStyle w:val="EndnoteReference"/>
          <w:color w:val="000000" w:themeColor="text1"/>
          <w:szCs w:val="22"/>
        </w:rPr>
        <w:endnoteReference w:id="20"/>
      </w:r>
      <w:r w:rsidRPr="00121BDA">
        <w:rPr>
          <w:color w:val="000000" w:themeColor="text1"/>
          <w:szCs w:val="22"/>
        </w:rPr>
        <w:t xml:space="preserve"> </w:t>
      </w:r>
    </w:p>
    <w:p w14:paraId="10D62BE0" w14:textId="40A8AE86" w:rsidR="00DC404C" w:rsidRPr="00121BDA" w:rsidRDefault="00DF570B" w:rsidP="00285D52">
      <w:pPr>
        <w:pStyle w:val="ListParagraph"/>
        <w:numPr>
          <w:ilvl w:val="0"/>
          <w:numId w:val="1"/>
        </w:numPr>
        <w:rPr>
          <w:color w:val="000000" w:themeColor="text1"/>
          <w:szCs w:val="22"/>
        </w:rPr>
      </w:pPr>
      <w:r w:rsidRPr="00121BDA">
        <w:rPr>
          <w:color w:val="000000" w:themeColor="text1"/>
          <w:szCs w:val="22"/>
        </w:rPr>
        <w:t xml:space="preserve">a preference for the more clearly defined tasks such as demobilization and reintegration, police reform or civil society-based work, rather than the </w:t>
      </w:r>
      <w:r w:rsidR="00143BC6" w:rsidRPr="00121BDA">
        <w:rPr>
          <w:color w:val="000000" w:themeColor="text1"/>
          <w:szCs w:val="22"/>
        </w:rPr>
        <w:t>essentia</w:t>
      </w:r>
      <w:r w:rsidRPr="00121BDA">
        <w:rPr>
          <w:color w:val="000000" w:themeColor="text1"/>
          <w:szCs w:val="22"/>
        </w:rPr>
        <w:t>l, but more challenging</w:t>
      </w:r>
      <w:r w:rsidR="00143BC6" w:rsidRPr="00121BDA">
        <w:rPr>
          <w:color w:val="000000" w:themeColor="text1"/>
          <w:szCs w:val="22"/>
        </w:rPr>
        <w:t>,</w:t>
      </w:r>
      <w:r w:rsidRPr="00121BDA">
        <w:rPr>
          <w:color w:val="000000" w:themeColor="text1"/>
          <w:szCs w:val="22"/>
        </w:rPr>
        <w:t xml:space="preserve"> areas of policy development, budgeting and legislative reform.</w:t>
      </w:r>
      <w:r w:rsidR="0096419F" w:rsidRPr="00121BDA">
        <w:rPr>
          <w:rStyle w:val="EndnoteReference"/>
          <w:color w:val="000000" w:themeColor="text1"/>
          <w:szCs w:val="22"/>
        </w:rPr>
        <w:endnoteReference w:id="21"/>
      </w:r>
    </w:p>
    <w:p w14:paraId="11BD4D15" w14:textId="77777777" w:rsidR="00285D52" w:rsidRPr="00121BDA" w:rsidRDefault="00285D52" w:rsidP="00285D52">
      <w:pPr>
        <w:pStyle w:val="ListParagraph"/>
        <w:rPr>
          <w:color w:val="000000" w:themeColor="text1"/>
          <w:szCs w:val="22"/>
        </w:rPr>
      </w:pPr>
    </w:p>
    <w:p w14:paraId="035DD851" w14:textId="4038A120" w:rsidR="00DC404C" w:rsidRPr="00121BDA" w:rsidRDefault="00DF570B" w:rsidP="006B2C75">
      <w:pPr>
        <w:rPr>
          <w:color w:val="000000" w:themeColor="text1"/>
        </w:rPr>
      </w:pPr>
      <w:r w:rsidRPr="00121BDA">
        <w:rPr>
          <w:color w:val="000000" w:themeColor="text1"/>
          <w:szCs w:val="22"/>
        </w:rPr>
        <w:t>Given these problems, various studies have looked at the gap between what is expected of SSR programmes and what is regularly observed in the field. Sedra has suggested that a complete re-evaluation is required of the suitability of the whole way that SSR is planned and delivered.</w:t>
      </w:r>
      <w:r w:rsidRPr="00121BDA">
        <w:rPr>
          <w:rStyle w:val="EndnoteReference"/>
          <w:color w:val="000000" w:themeColor="text1"/>
          <w:szCs w:val="22"/>
        </w:rPr>
        <w:endnoteReference w:id="22"/>
      </w:r>
      <w:r w:rsidRPr="00121BDA">
        <w:rPr>
          <w:color w:val="000000" w:themeColor="text1"/>
          <w:szCs w:val="22"/>
        </w:rPr>
        <w:t xml:space="preserve">  He believes not only that some aspects of the orthodox model of SSR may be inappropriate in certain cases, but also that the speed with which the donors expect results is unrealistic, given the level of cultural change that is required. In Schnabel’s look at the mismatch between SSR theory and reality, he expresses the view that, whilst many of the obstacles to success will always exist, they can be made easier </w:t>
      </w:r>
      <w:r w:rsidRPr="00121BDA">
        <w:rPr>
          <w:color w:val="000000" w:themeColor="text1"/>
          <w:szCs w:val="22"/>
        </w:rPr>
        <w:lastRenderedPageBreak/>
        <w:t>to deal with if the process and the method of the reform programme can be “attuned to local contexts”.</w:t>
      </w:r>
      <w:r w:rsidRPr="00121BDA">
        <w:rPr>
          <w:rStyle w:val="EndnoteReference"/>
          <w:color w:val="000000" w:themeColor="text1"/>
          <w:szCs w:val="22"/>
        </w:rPr>
        <w:endnoteReference w:id="23"/>
      </w:r>
      <w:r w:rsidRPr="00121BDA">
        <w:rPr>
          <w:color w:val="000000" w:themeColor="text1"/>
          <w:szCs w:val="22"/>
        </w:rPr>
        <w:t xml:space="preserve"> He points out that societies which are still feeling the effects of recent, and perhaps still unresolved, conflict may not yet be ready to accept what can be seen as “peacetime security institutions”. </w:t>
      </w:r>
      <w:r w:rsidR="00143BC6" w:rsidRPr="00121BDA">
        <w:rPr>
          <w:color w:val="000000" w:themeColor="text1"/>
          <w:szCs w:val="22"/>
        </w:rPr>
        <w:t>Furthermore</w:t>
      </w:r>
      <w:r w:rsidRPr="00121BDA">
        <w:rPr>
          <w:color w:val="000000" w:themeColor="text1"/>
          <w:szCs w:val="22"/>
        </w:rPr>
        <w:t>, such societies may view ‘Northern’ solutions as failing to understand the place that traditional security and justice bodies have always played in the ‘South’.</w:t>
      </w:r>
      <w:r w:rsidRPr="00121BDA">
        <w:rPr>
          <w:rStyle w:val="EndnoteReference"/>
          <w:color w:val="000000" w:themeColor="text1"/>
          <w:szCs w:val="22"/>
        </w:rPr>
        <w:t xml:space="preserve"> </w:t>
      </w:r>
      <w:r w:rsidR="00285D52" w:rsidRPr="00121BDA">
        <w:rPr>
          <w:color w:val="000000" w:themeColor="text1"/>
          <w:szCs w:val="22"/>
        </w:rPr>
        <w:t>To put it more succinctly</w:t>
      </w:r>
      <w:r w:rsidRPr="00121BDA">
        <w:rPr>
          <w:color w:val="000000" w:themeColor="text1"/>
          <w:szCs w:val="22"/>
        </w:rPr>
        <w:t xml:space="preserve">, there is too much Western bias in </w:t>
      </w:r>
      <w:r w:rsidR="00285D52" w:rsidRPr="00121BDA">
        <w:rPr>
          <w:color w:val="000000" w:themeColor="text1"/>
          <w:szCs w:val="22"/>
        </w:rPr>
        <w:t>most</w:t>
      </w:r>
      <w:r w:rsidRPr="00121BDA">
        <w:rPr>
          <w:color w:val="000000" w:themeColor="text1"/>
          <w:szCs w:val="22"/>
        </w:rPr>
        <w:t xml:space="preserve"> SSR programmes. This is not always deliberate, and often the need to avoid such ethnocentrism is recognised at the start of the programme development process. Nevertheless, </w:t>
      </w:r>
      <w:r w:rsidR="00285D52" w:rsidRPr="00121BDA">
        <w:rPr>
          <w:color w:val="000000" w:themeColor="text1"/>
          <w:szCs w:val="22"/>
        </w:rPr>
        <w:t xml:space="preserve">despite the fact that so much of the literature highlights the need for this, </w:t>
      </w:r>
      <w:r w:rsidRPr="00121BDA">
        <w:rPr>
          <w:color w:val="000000" w:themeColor="text1"/>
          <w:szCs w:val="22"/>
        </w:rPr>
        <w:t>more c</w:t>
      </w:r>
      <w:r w:rsidR="00285D52" w:rsidRPr="00121BDA">
        <w:rPr>
          <w:color w:val="000000" w:themeColor="text1"/>
          <w:szCs w:val="22"/>
        </w:rPr>
        <w:t>ulturally relativist approaches</w:t>
      </w:r>
      <w:r w:rsidRPr="00121BDA">
        <w:rPr>
          <w:color w:val="000000" w:themeColor="text1"/>
          <w:szCs w:val="22"/>
        </w:rPr>
        <w:t xml:space="preserve"> </w:t>
      </w:r>
      <w:r w:rsidR="00285D52" w:rsidRPr="00121BDA">
        <w:rPr>
          <w:color w:val="000000" w:themeColor="text1"/>
          <w:szCs w:val="22"/>
        </w:rPr>
        <w:t>(</w:t>
      </w:r>
      <w:r w:rsidRPr="00121BDA">
        <w:rPr>
          <w:color w:val="000000" w:themeColor="text1"/>
          <w:szCs w:val="22"/>
        </w:rPr>
        <w:t>especially with rega</w:t>
      </w:r>
      <w:r w:rsidR="00285D52" w:rsidRPr="00121BDA">
        <w:rPr>
          <w:color w:val="000000" w:themeColor="text1"/>
          <w:szCs w:val="22"/>
        </w:rPr>
        <w:t>rds the defence elements of SSR)</w:t>
      </w:r>
      <w:r w:rsidRPr="00121BDA">
        <w:rPr>
          <w:color w:val="000000" w:themeColor="text1"/>
          <w:szCs w:val="22"/>
        </w:rPr>
        <w:t xml:space="preserve"> are </w:t>
      </w:r>
      <w:r w:rsidR="00694178" w:rsidRPr="00121BDA">
        <w:rPr>
          <w:color w:val="000000" w:themeColor="text1"/>
          <w:szCs w:val="22"/>
        </w:rPr>
        <w:t>uncommon</w:t>
      </w:r>
      <w:r w:rsidR="00285D52" w:rsidRPr="00121BDA">
        <w:rPr>
          <w:color w:val="000000" w:themeColor="text1"/>
          <w:szCs w:val="22"/>
        </w:rPr>
        <w:t>.</w:t>
      </w:r>
    </w:p>
    <w:p w14:paraId="424047C9" w14:textId="25611A2E" w:rsidR="00DC404C" w:rsidRPr="00121BDA" w:rsidRDefault="00DF570B" w:rsidP="00121BDA">
      <w:pPr>
        <w:pStyle w:val="Heading2"/>
        <w:rPr>
          <w:color w:val="000000" w:themeColor="text1"/>
        </w:rPr>
      </w:pPr>
      <w:r w:rsidRPr="00121BDA">
        <w:rPr>
          <w:color w:val="000000" w:themeColor="text1"/>
        </w:rPr>
        <w:t xml:space="preserve">The Need for </w:t>
      </w:r>
      <w:r w:rsidR="00121BDA" w:rsidRPr="00121BDA">
        <w:rPr>
          <w:color w:val="000000" w:themeColor="text1"/>
        </w:rPr>
        <w:t>a Less Conventional Approach</w:t>
      </w:r>
      <w:r w:rsidR="00215C4C" w:rsidRPr="00121BDA">
        <w:rPr>
          <w:color w:val="000000" w:themeColor="text1"/>
        </w:rPr>
        <w:t xml:space="preserve"> to</w:t>
      </w:r>
      <w:r w:rsidRPr="00121BDA">
        <w:rPr>
          <w:color w:val="000000" w:themeColor="text1"/>
        </w:rPr>
        <w:t xml:space="preserve"> SSR</w:t>
      </w:r>
    </w:p>
    <w:p w14:paraId="49CABFA2" w14:textId="2C4D918E" w:rsidR="00DC404C" w:rsidRDefault="00DF570B" w:rsidP="006B2C75">
      <w:pPr>
        <w:rPr>
          <w:color w:val="000000" w:themeColor="text1"/>
          <w:szCs w:val="22"/>
        </w:rPr>
      </w:pPr>
      <w:r w:rsidRPr="00121BDA">
        <w:rPr>
          <w:color w:val="000000" w:themeColor="text1"/>
          <w:szCs w:val="22"/>
        </w:rPr>
        <w:t xml:space="preserve">As has been shown, the problems faced by SSR programmes in post-conflict situations are manifold and each situation is unique. It would therefore be very rash to suggest that </w:t>
      </w:r>
      <w:r w:rsidR="00215C4C" w:rsidRPr="00121BDA">
        <w:rPr>
          <w:color w:val="000000" w:themeColor="text1"/>
          <w:szCs w:val="22"/>
        </w:rPr>
        <w:t>something as simple as</w:t>
      </w:r>
      <w:r w:rsidRPr="00121BDA">
        <w:rPr>
          <w:color w:val="000000" w:themeColor="text1"/>
          <w:szCs w:val="22"/>
        </w:rPr>
        <w:t xml:space="preserve"> changing the model of civil-military relations on which the desired outcome is based could be an all-embracing solution that would successfully address all of the issues. However, </w:t>
      </w:r>
      <w:r w:rsidR="006B2C75">
        <w:rPr>
          <w:color w:val="000000" w:themeColor="text1"/>
          <w:szCs w:val="22"/>
        </w:rPr>
        <w:t xml:space="preserve">establishing an appropriate and effective </w:t>
      </w:r>
      <w:r w:rsidRPr="00121BDA">
        <w:rPr>
          <w:color w:val="000000" w:themeColor="text1"/>
          <w:szCs w:val="22"/>
        </w:rPr>
        <w:t xml:space="preserve">working relationship between the legitimate state government and its military forces can be perceived as </w:t>
      </w:r>
      <w:r w:rsidR="006B2C75">
        <w:rPr>
          <w:color w:val="000000" w:themeColor="text1"/>
          <w:szCs w:val="22"/>
        </w:rPr>
        <w:t>a necessary</w:t>
      </w:r>
      <w:r w:rsidRPr="00121BDA">
        <w:rPr>
          <w:color w:val="000000" w:themeColor="text1"/>
          <w:szCs w:val="22"/>
        </w:rPr>
        <w:t xml:space="preserve"> baseline from which </w:t>
      </w:r>
      <w:r w:rsidR="006B2C75">
        <w:rPr>
          <w:color w:val="000000" w:themeColor="text1"/>
          <w:szCs w:val="22"/>
        </w:rPr>
        <w:t>to begin the process</w:t>
      </w:r>
      <w:r w:rsidRPr="00121BDA">
        <w:rPr>
          <w:color w:val="000000" w:themeColor="text1"/>
          <w:szCs w:val="22"/>
        </w:rPr>
        <w:t xml:space="preserve">. </w:t>
      </w:r>
      <w:r w:rsidR="00285D52" w:rsidRPr="00121BDA">
        <w:rPr>
          <w:color w:val="000000" w:themeColor="text1"/>
          <w:szCs w:val="22"/>
        </w:rPr>
        <w:t>An attempt to illustrate this</w:t>
      </w:r>
      <w:r w:rsidRPr="00121BDA">
        <w:rPr>
          <w:color w:val="000000" w:themeColor="text1"/>
          <w:szCs w:val="22"/>
        </w:rPr>
        <w:t xml:space="preserve"> </w:t>
      </w:r>
      <w:r w:rsidR="00285D52" w:rsidRPr="00121BDA">
        <w:rPr>
          <w:color w:val="000000" w:themeColor="text1"/>
          <w:szCs w:val="22"/>
        </w:rPr>
        <w:t>idea can be seen</w:t>
      </w:r>
      <w:r w:rsidRPr="00121BDA">
        <w:rPr>
          <w:color w:val="000000" w:themeColor="text1"/>
          <w:szCs w:val="22"/>
        </w:rPr>
        <w:t xml:space="preserve"> in Figure 1. Here the ultimate objective of an effective and accountable security and justice system is shown as being the result of assembling the individual </w:t>
      </w:r>
      <w:r w:rsidR="00285D52" w:rsidRPr="00121BDA">
        <w:rPr>
          <w:color w:val="000000" w:themeColor="text1"/>
          <w:szCs w:val="22"/>
        </w:rPr>
        <w:t>elements of the security sector</w:t>
      </w:r>
      <w:r w:rsidRPr="00121BDA">
        <w:rPr>
          <w:color w:val="000000" w:themeColor="text1"/>
          <w:szCs w:val="22"/>
        </w:rPr>
        <w:t xml:space="preserve"> identified in the DCAF SSR manual.</w:t>
      </w:r>
      <w:r w:rsidRPr="00121BDA">
        <w:rPr>
          <w:rStyle w:val="EndnoteReference"/>
          <w:color w:val="000000" w:themeColor="text1"/>
          <w:szCs w:val="22"/>
        </w:rPr>
        <w:endnoteReference w:id="24"/>
      </w:r>
      <w:r w:rsidRPr="00121BDA">
        <w:rPr>
          <w:color w:val="000000" w:themeColor="text1"/>
          <w:szCs w:val="22"/>
        </w:rPr>
        <w:t xml:space="preserve"> The legitimization of the military by the civilian government, and the reciprocal </w:t>
      </w:r>
      <w:r w:rsidRPr="00121BDA">
        <w:rPr>
          <w:color w:val="000000" w:themeColor="text1"/>
          <w:szCs w:val="22"/>
        </w:rPr>
        <w:lastRenderedPageBreak/>
        <w:t xml:space="preserve">acknowledgement of that authority by the military, is </w:t>
      </w:r>
      <w:r w:rsidR="00285D52" w:rsidRPr="00121BDA">
        <w:rPr>
          <w:color w:val="000000" w:themeColor="text1"/>
          <w:szCs w:val="22"/>
        </w:rPr>
        <w:t xml:space="preserve">seen as </w:t>
      </w:r>
      <w:r w:rsidRPr="00121BDA">
        <w:rPr>
          <w:color w:val="000000" w:themeColor="text1"/>
          <w:szCs w:val="22"/>
        </w:rPr>
        <w:t xml:space="preserve">a fundamental necessity if the other blocks are to be able to interlock and play their part. </w:t>
      </w:r>
    </w:p>
    <w:p w14:paraId="064395D8" w14:textId="77777777" w:rsidR="00053E7E" w:rsidRPr="00121BDA" w:rsidRDefault="00053E7E" w:rsidP="006B2C75">
      <w:pPr>
        <w:rPr>
          <w:color w:val="000000" w:themeColor="text1"/>
        </w:rPr>
      </w:pPr>
    </w:p>
    <w:p w14:paraId="27FB6B91" w14:textId="0ACC7275" w:rsidR="005E147B" w:rsidRPr="00121BDA" w:rsidRDefault="00B1020B" w:rsidP="005E147B">
      <w:pPr>
        <w:rPr>
          <w:color w:val="000000" w:themeColor="text1"/>
        </w:rPr>
      </w:pPr>
      <w:r>
        <w:rPr>
          <w:noProof/>
          <w:color w:val="000000" w:themeColor="text1"/>
          <w:lang w:val="en-US" w:eastAsia="en-US" w:bidi="he-IL"/>
        </w:rPr>
        <w:drawing>
          <wp:inline distT="0" distB="0" distL="0" distR="0" wp14:anchorId="604FB680" wp14:editId="7EB5433D">
            <wp:extent cx="5396230" cy="30378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SSR Relationships Diagram Too Much Western Bias I D Westerm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230" cy="3037840"/>
                    </a:xfrm>
                    <a:prstGeom prst="rect">
                      <a:avLst/>
                    </a:prstGeom>
                  </pic:spPr>
                </pic:pic>
              </a:graphicData>
            </a:graphic>
          </wp:inline>
        </w:drawing>
      </w:r>
    </w:p>
    <w:p w14:paraId="13938530" w14:textId="77777777" w:rsidR="00501E1F" w:rsidRDefault="00501E1F" w:rsidP="00501E1F">
      <w:pPr>
        <w:spacing w:before="120" w:after="480" w:line="240" w:lineRule="auto"/>
        <w:jc w:val="center"/>
        <w:rPr>
          <w:color w:val="000000"/>
          <w:szCs w:val="22"/>
        </w:rPr>
      </w:pPr>
      <w:r>
        <w:rPr>
          <w:color w:val="000000"/>
          <w:szCs w:val="22"/>
        </w:rPr>
        <w:t>Figure 1. The baseline position of civil-military relations with respect to SSR.</w:t>
      </w:r>
      <w:bookmarkStart w:id="0" w:name="_GoBack"/>
      <w:bookmarkEnd w:id="0"/>
    </w:p>
    <w:p w14:paraId="2CA6637E" w14:textId="77777777" w:rsidR="00053E7E" w:rsidRDefault="00053E7E" w:rsidP="00635C62">
      <w:pPr>
        <w:rPr>
          <w:color w:val="000000" w:themeColor="text1"/>
          <w:szCs w:val="22"/>
        </w:rPr>
      </w:pPr>
    </w:p>
    <w:p w14:paraId="02267ADA" w14:textId="6C455D97" w:rsidR="00DC404C" w:rsidRPr="00121BDA" w:rsidRDefault="00DF570B" w:rsidP="00635C62">
      <w:pPr>
        <w:rPr>
          <w:color w:val="000000" w:themeColor="text1"/>
          <w:szCs w:val="22"/>
        </w:rPr>
      </w:pPr>
      <w:r w:rsidRPr="00121BDA">
        <w:rPr>
          <w:color w:val="000000" w:themeColor="text1"/>
          <w:szCs w:val="22"/>
        </w:rPr>
        <w:t xml:space="preserve">The reason for this criticality of the civil-military relationship is explained quite </w:t>
      </w:r>
      <w:proofErr w:type="spellStart"/>
      <w:r w:rsidR="00285D52" w:rsidRPr="00121BDA">
        <w:rPr>
          <w:color w:val="000000" w:themeColor="text1"/>
          <w:szCs w:val="22"/>
        </w:rPr>
        <w:t>uniequivocally</w:t>
      </w:r>
      <w:proofErr w:type="spellEnd"/>
      <w:r w:rsidRPr="00121BDA">
        <w:rPr>
          <w:color w:val="000000" w:themeColor="text1"/>
          <w:szCs w:val="22"/>
        </w:rPr>
        <w:t xml:space="preserve"> by Finer when, in his consideration of why some states seem more susceptible to coups than others, he suggests that:</w:t>
      </w:r>
    </w:p>
    <w:p w14:paraId="1943BE3C" w14:textId="77777777" w:rsidR="00DC404C" w:rsidRPr="00121BDA" w:rsidRDefault="00DF570B" w:rsidP="00215C4C">
      <w:pPr>
        <w:spacing w:before="120" w:after="120" w:line="360" w:lineRule="auto"/>
        <w:ind w:left="720" w:right="561"/>
        <w:rPr>
          <w:color w:val="000000" w:themeColor="text1"/>
        </w:rPr>
      </w:pPr>
      <w:r w:rsidRPr="00121BDA">
        <w:rPr>
          <w:color w:val="000000" w:themeColor="text1"/>
          <w:sz w:val="22"/>
          <w:szCs w:val="22"/>
        </w:rPr>
        <w:t>“Instead of asking why the military engage in politics, we ought surely ask why they ever do otherwise. For at first sight the political advantages of the military vis-à-vis other and civilian groups are overwhelming. The military possess vastly superior organisation. And they possess arms.”</w:t>
      </w:r>
      <w:r w:rsidRPr="00121BDA">
        <w:rPr>
          <w:rStyle w:val="EndnoteReference"/>
          <w:color w:val="000000" w:themeColor="text1"/>
          <w:sz w:val="22"/>
          <w:szCs w:val="22"/>
        </w:rPr>
        <w:endnoteReference w:id="25"/>
      </w:r>
    </w:p>
    <w:p w14:paraId="5479D92F" w14:textId="77777777" w:rsidR="00215C4C" w:rsidRPr="00121BDA" w:rsidRDefault="00215C4C" w:rsidP="00702F2D">
      <w:pPr>
        <w:rPr>
          <w:color w:val="000000" w:themeColor="text1"/>
          <w:szCs w:val="22"/>
        </w:rPr>
      </w:pPr>
    </w:p>
    <w:p w14:paraId="56E5D0C0" w14:textId="6389F731" w:rsidR="00DC404C" w:rsidRPr="00121BDA" w:rsidRDefault="00285D52" w:rsidP="00702F2D">
      <w:pPr>
        <w:rPr>
          <w:color w:val="000000" w:themeColor="text1"/>
        </w:rPr>
      </w:pPr>
      <w:r w:rsidRPr="00121BDA">
        <w:rPr>
          <w:color w:val="000000" w:themeColor="text1"/>
          <w:szCs w:val="22"/>
        </w:rPr>
        <w:t xml:space="preserve">Once the importance of </w:t>
      </w:r>
      <w:r w:rsidR="002251CB" w:rsidRPr="00121BDA">
        <w:rPr>
          <w:color w:val="000000" w:themeColor="text1"/>
          <w:szCs w:val="22"/>
        </w:rPr>
        <w:t>achieving effective</w:t>
      </w:r>
      <w:r w:rsidRPr="00121BDA">
        <w:rPr>
          <w:color w:val="000000" w:themeColor="text1"/>
          <w:szCs w:val="22"/>
        </w:rPr>
        <w:t xml:space="preserve"> civil-m</w:t>
      </w:r>
      <w:r w:rsidR="002251CB" w:rsidRPr="00121BDA">
        <w:rPr>
          <w:color w:val="000000" w:themeColor="text1"/>
          <w:szCs w:val="22"/>
        </w:rPr>
        <w:t>ilitary relations is recognised,</w:t>
      </w:r>
      <w:r w:rsidR="00DF570B" w:rsidRPr="00121BDA">
        <w:rPr>
          <w:color w:val="000000" w:themeColor="text1"/>
          <w:szCs w:val="22"/>
        </w:rPr>
        <w:t xml:space="preserve"> it becomes easier to understand why setting outcomes and</w:t>
      </w:r>
      <w:r w:rsidR="002251CB" w:rsidRPr="00121BDA">
        <w:rPr>
          <w:color w:val="000000" w:themeColor="text1"/>
          <w:szCs w:val="22"/>
        </w:rPr>
        <w:t xml:space="preserve"> objectives that are based on a culturally inappropriate </w:t>
      </w:r>
      <w:r w:rsidR="00DF570B" w:rsidRPr="00121BDA">
        <w:rPr>
          <w:color w:val="000000" w:themeColor="text1"/>
          <w:szCs w:val="22"/>
        </w:rPr>
        <w:t xml:space="preserve">model </w:t>
      </w:r>
      <w:r w:rsidR="002251CB" w:rsidRPr="00121BDA">
        <w:rPr>
          <w:color w:val="000000" w:themeColor="text1"/>
          <w:szCs w:val="22"/>
        </w:rPr>
        <w:t>is likely to severely hinder</w:t>
      </w:r>
      <w:r w:rsidR="00DF570B" w:rsidRPr="00121BDA">
        <w:rPr>
          <w:color w:val="000000" w:themeColor="text1"/>
          <w:szCs w:val="22"/>
        </w:rPr>
        <w:t xml:space="preserve"> the chances of success from </w:t>
      </w:r>
      <w:r w:rsidR="00DF570B" w:rsidRPr="00121BDA">
        <w:rPr>
          <w:color w:val="000000" w:themeColor="text1"/>
          <w:szCs w:val="22"/>
        </w:rPr>
        <w:lastRenderedPageBreak/>
        <w:t>the outset – and yet this phenomenon appears to be consistent with what has been happening in many SSR programmes over the years. Bland makes the point that even when we are in a position to improve situations of dysfunctional civil-military relationships, replacing them with examples from the mature democracies is rarely either appropriate or relevant to the conditions.</w:t>
      </w:r>
      <w:r w:rsidR="00DF570B" w:rsidRPr="00121BDA">
        <w:rPr>
          <w:rStyle w:val="EndnoteReference"/>
          <w:color w:val="000000" w:themeColor="text1"/>
          <w:szCs w:val="22"/>
        </w:rPr>
        <w:endnoteReference w:id="26"/>
      </w:r>
      <w:r w:rsidR="00DF570B" w:rsidRPr="00121BDA">
        <w:rPr>
          <w:color w:val="000000" w:themeColor="text1"/>
          <w:szCs w:val="22"/>
        </w:rPr>
        <w:t xml:space="preserve"> Mannitz also highlights the fact that, in research on security sector governance and civil-military relations, insufficient attention has been paid to what she describes as “the subjective dimension of democratic political culture and its capacity for transformation”, pointing out that such transformation takes time to achieve.</w:t>
      </w:r>
      <w:r w:rsidR="00DF570B" w:rsidRPr="00121BDA">
        <w:rPr>
          <w:rStyle w:val="EndnoteReference"/>
          <w:color w:val="000000" w:themeColor="text1"/>
          <w:szCs w:val="22"/>
        </w:rPr>
        <w:endnoteReference w:id="27"/>
      </w:r>
      <w:r w:rsidR="00DF570B" w:rsidRPr="00121BDA">
        <w:rPr>
          <w:color w:val="000000" w:themeColor="text1"/>
          <w:szCs w:val="22"/>
        </w:rPr>
        <w:t xml:space="preserve"> Apart from one or two texts which have attempted to address</w:t>
      </w:r>
      <w:r w:rsidR="000E688C">
        <w:rPr>
          <w:color w:val="000000" w:themeColor="text1"/>
          <w:szCs w:val="22"/>
        </w:rPr>
        <w:t xml:space="preserve"> this in depth (Schiff and her C</w:t>
      </w:r>
      <w:r w:rsidR="00DF570B" w:rsidRPr="00121BDA">
        <w:rPr>
          <w:color w:val="000000" w:themeColor="text1"/>
          <w:szCs w:val="22"/>
        </w:rPr>
        <w:t>oncordance theory being one of them</w:t>
      </w:r>
      <w:r w:rsidR="00DF570B" w:rsidRPr="00121BDA">
        <w:rPr>
          <w:rStyle w:val="EndnoteReference"/>
          <w:color w:val="000000" w:themeColor="text1"/>
          <w:szCs w:val="22"/>
        </w:rPr>
        <w:endnoteReference w:id="28"/>
      </w:r>
      <w:r w:rsidR="00DF570B" w:rsidRPr="00121BDA">
        <w:rPr>
          <w:color w:val="000000" w:themeColor="text1"/>
          <w:szCs w:val="22"/>
        </w:rPr>
        <w:t xml:space="preserve">) most approaches </w:t>
      </w:r>
      <w:r w:rsidR="00702F2D" w:rsidRPr="00121BDA">
        <w:rPr>
          <w:color w:val="000000" w:themeColor="text1"/>
          <w:szCs w:val="22"/>
        </w:rPr>
        <w:t xml:space="preserve">do not highlight the fact </w:t>
      </w:r>
      <w:r w:rsidR="00DF570B" w:rsidRPr="00121BDA">
        <w:rPr>
          <w:color w:val="000000" w:themeColor="text1"/>
          <w:szCs w:val="22"/>
        </w:rPr>
        <w:t xml:space="preserve">that the way in which a military force is embedded in a democracy can be, and indeed should be, different in different </w:t>
      </w:r>
      <w:r w:rsidR="002251CB" w:rsidRPr="00121BDA">
        <w:rPr>
          <w:color w:val="000000" w:themeColor="text1"/>
          <w:szCs w:val="22"/>
        </w:rPr>
        <w:t>states</w:t>
      </w:r>
      <w:r w:rsidR="00DF570B" w:rsidRPr="00121BDA">
        <w:rPr>
          <w:color w:val="000000" w:themeColor="text1"/>
          <w:szCs w:val="22"/>
        </w:rPr>
        <w:t>. In other words, with civil-military relations one size does not fit all. All of this might appear to be quite obvious, even to anyone who is not an expert in the subject, and certainly most of the guidance that is now produced for SSR practitioners highlights the need to be open-minded and adaptable when designing programmes.</w:t>
      </w:r>
      <w:r w:rsidR="00DF570B" w:rsidRPr="00121BDA">
        <w:rPr>
          <w:rStyle w:val="EndnoteReference"/>
          <w:color w:val="000000" w:themeColor="text1"/>
          <w:szCs w:val="22"/>
        </w:rPr>
        <w:endnoteReference w:id="29"/>
      </w:r>
      <w:r w:rsidR="00DF570B" w:rsidRPr="00121BDA">
        <w:rPr>
          <w:color w:val="000000" w:themeColor="text1"/>
          <w:szCs w:val="22"/>
        </w:rPr>
        <w:t xml:space="preserve"> Nevertheless, the issue remains, and there is still a surprising lack of flexibility displayed by donors when implementing reform programmes, so it is worth asking the question why this might be. </w:t>
      </w:r>
    </w:p>
    <w:p w14:paraId="49863522" w14:textId="77777777" w:rsidR="00DC404C" w:rsidRPr="00121BDA" w:rsidRDefault="00DC404C">
      <w:pPr>
        <w:rPr>
          <w:color w:val="000000" w:themeColor="text1"/>
          <w:szCs w:val="22"/>
        </w:rPr>
      </w:pPr>
    </w:p>
    <w:p w14:paraId="3CB13BF5" w14:textId="290E2089" w:rsidR="00DC404C" w:rsidRPr="00121BDA" w:rsidRDefault="00CC693F" w:rsidP="006B2C75">
      <w:pPr>
        <w:rPr>
          <w:color w:val="000000" w:themeColor="text1"/>
        </w:rPr>
      </w:pPr>
      <w:r w:rsidRPr="00121BDA">
        <w:rPr>
          <w:color w:val="000000" w:themeColor="text1"/>
          <w:szCs w:val="22"/>
        </w:rPr>
        <w:t>For many donors, th</w:t>
      </w:r>
      <w:r w:rsidR="00DF570B" w:rsidRPr="00121BDA">
        <w:rPr>
          <w:color w:val="000000" w:themeColor="text1"/>
          <w:szCs w:val="22"/>
        </w:rPr>
        <w:t xml:space="preserve">e difficulty with taking a more flexible approach is that, due to the strategic policy agendas to which SSR funding is often tied, it may not be possible for </w:t>
      </w:r>
      <w:r w:rsidRPr="00121BDA">
        <w:rPr>
          <w:color w:val="000000" w:themeColor="text1"/>
          <w:szCs w:val="22"/>
        </w:rPr>
        <w:t>them</w:t>
      </w:r>
      <w:r w:rsidR="00DF570B" w:rsidRPr="00121BDA">
        <w:rPr>
          <w:color w:val="000000" w:themeColor="text1"/>
          <w:szCs w:val="22"/>
        </w:rPr>
        <w:t xml:space="preserve"> to</w:t>
      </w:r>
      <w:r w:rsidR="006B2C75">
        <w:rPr>
          <w:color w:val="000000" w:themeColor="text1"/>
          <w:szCs w:val="22"/>
        </w:rPr>
        <w:t xml:space="preserve"> easily</w:t>
      </w:r>
      <w:r w:rsidR="00DF570B" w:rsidRPr="00121BDA">
        <w:rPr>
          <w:color w:val="000000" w:themeColor="text1"/>
          <w:szCs w:val="22"/>
        </w:rPr>
        <w:t xml:space="preserve"> </w:t>
      </w:r>
      <w:r w:rsidR="000E688C">
        <w:rPr>
          <w:color w:val="000000" w:themeColor="text1"/>
          <w:szCs w:val="22"/>
        </w:rPr>
        <w:t>accept the idea of compromise. For them, t</w:t>
      </w:r>
      <w:r w:rsidR="00DF570B" w:rsidRPr="00121BDA">
        <w:rPr>
          <w:color w:val="000000" w:themeColor="text1"/>
          <w:szCs w:val="22"/>
        </w:rPr>
        <w:t xml:space="preserve">he purpose of a reform programme is to replace unacceptable practices with acceptable ones, however challenging that might be, and any </w:t>
      </w:r>
      <w:r w:rsidRPr="00121BDA">
        <w:rPr>
          <w:color w:val="000000" w:themeColor="text1"/>
          <w:szCs w:val="22"/>
        </w:rPr>
        <w:t>suggestion of a less rigid application of the</w:t>
      </w:r>
      <w:r w:rsidR="00DF570B" w:rsidRPr="00121BDA">
        <w:rPr>
          <w:color w:val="000000" w:themeColor="text1"/>
          <w:szCs w:val="22"/>
        </w:rPr>
        <w:t xml:space="preserve"> idea</w:t>
      </w:r>
      <w:r w:rsidRPr="00121BDA">
        <w:rPr>
          <w:color w:val="000000" w:themeColor="text1"/>
          <w:szCs w:val="22"/>
        </w:rPr>
        <w:t>l</w:t>
      </w:r>
      <w:r w:rsidR="00DF570B" w:rsidRPr="00121BDA">
        <w:rPr>
          <w:color w:val="000000" w:themeColor="text1"/>
          <w:szCs w:val="22"/>
        </w:rPr>
        <w:t xml:space="preserve"> </w:t>
      </w:r>
      <w:r w:rsidR="000E688C">
        <w:rPr>
          <w:color w:val="000000" w:themeColor="text1"/>
          <w:szCs w:val="22"/>
        </w:rPr>
        <w:t>can be hard to accept</w:t>
      </w:r>
      <w:r w:rsidR="00DF570B" w:rsidRPr="00121BDA">
        <w:rPr>
          <w:color w:val="000000" w:themeColor="text1"/>
          <w:szCs w:val="22"/>
        </w:rPr>
        <w:t xml:space="preserve">. Nevertheless, provided that any </w:t>
      </w:r>
      <w:r w:rsidRPr="00121BDA">
        <w:rPr>
          <w:color w:val="000000" w:themeColor="text1"/>
          <w:szCs w:val="22"/>
        </w:rPr>
        <w:t>compromises</w:t>
      </w:r>
      <w:r w:rsidR="00DF570B" w:rsidRPr="00121BDA">
        <w:rPr>
          <w:color w:val="000000" w:themeColor="text1"/>
          <w:szCs w:val="22"/>
        </w:rPr>
        <w:t xml:space="preserve"> do not cause the overall </w:t>
      </w:r>
      <w:r w:rsidR="00DF570B" w:rsidRPr="00121BDA">
        <w:rPr>
          <w:color w:val="000000" w:themeColor="text1"/>
          <w:szCs w:val="22"/>
        </w:rPr>
        <w:lastRenderedPageBreak/>
        <w:t>strategic objectives and core principles to be abandoned, and that they are seen as steps along the way to achieving those more idealistic long-term goals, then they should be embraced.</w:t>
      </w:r>
      <w:r w:rsidR="00DF570B" w:rsidRPr="00121BDA">
        <w:rPr>
          <w:rStyle w:val="EndnoteReference"/>
          <w:color w:val="000000" w:themeColor="text1"/>
          <w:szCs w:val="22"/>
        </w:rPr>
        <w:endnoteReference w:id="30"/>
      </w:r>
      <w:r w:rsidR="00DF570B" w:rsidRPr="00121BDA">
        <w:rPr>
          <w:color w:val="000000" w:themeColor="text1"/>
          <w:szCs w:val="22"/>
        </w:rPr>
        <w:t xml:space="preserve"> The key is to ensure that any such practical changes to the mainstream, orthodox approach of SSR are fully recognised for what they are, and do not become long-term, embedded solutions – resulting in what Sedra has described as “illiberal liberalism”.</w:t>
      </w:r>
      <w:r w:rsidR="00DF570B" w:rsidRPr="00121BDA">
        <w:rPr>
          <w:rStyle w:val="EndnoteReference"/>
          <w:color w:val="000000" w:themeColor="text1"/>
          <w:szCs w:val="22"/>
        </w:rPr>
        <w:endnoteReference w:id="31"/>
      </w:r>
      <w:r w:rsidR="00DF570B" w:rsidRPr="00121BDA">
        <w:rPr>
          <w:color w:val="000000" w:themeColor="text1"/>
          <w:szCs w:val="22"/>
        </w:rPr>
        <w:t xml:space="preserve"> To avoid this, right from the </w:t>
      </w:r>
      <w:r w:rsidR="006B2C75">
        <w:rPr>
          <w:color w:val="000000" w:themeColor="text1"/>
          <w:szCs w:val="22"/>
        </w:rPr>
        <w:t>outset</w:t>
      </w:r>
      <w:r w:rsidR="00DF570B" w:rsidRPr="00121BDA">
        <w:rPr>
          <w:color w:val="000000" w:themeColor="text1"/>
          <w:szCs w:val="22"/>
        </w:rPr>
        <w:t xml:space="preserve"> </w:t>
      </w:r>
      <w:r w:rsidR="00670F63">
        <w:rPr>
          <w:color w:val="000000" w:themeColor="text1"/>
          <w:szCs w:val="22"/>
        </w:rPr>
        <w:t xml:space="preserve">their </w:t>
      </w:r>
      <w:r w:rsidR="00670F63" w:rsidRPr="00121BDA">
        <w:rPr>
          <w:color w:val="000000" w:themeColor="text1"/>
          <w:szCs w:val="22"/>
        </w:rPr>
        <w:t xml:space="preserve">amendment or reversal at an appropriate point in the future of the programme </w:t>
      </w:r>
      <w:r w:rsidR="00DF570B" w:rsidRPr="00121BDA">
        <w:rPr>
          <w:color w:val="000000" w:themeColor="text1"/>
          <w:szCs w:val="22"/>
        </w:rPr>
        <w:t xml:space="preserve">must be </w:t>
      </w:r>
      <w:r w:rsidR="00670F63">
        <w:rPr>
          <w:color w:val="000000" w:themeColor="text1"/>
          <w:szCs w:val="22"/>
        </w:rPr>
        <w:t>planned for</w:t>
      </w:r>
      <w:r w:rsidR="00DF570B" w:rsidRPr="00121BDA">
        <w:rPr>
          <w:color w:val="000000" w:themeColor="text1"/>
          <w:szCs w:val="22"/>
        </w:rPr>
        <w:t xml:space="preserve">. </w:t>
      </w:r>
    </w:p>
    <w:p w14:paraId="76560157" w14:textId="77777777" w:rsidR="00DC404C" w:rsidRPr="00121BDA" w:rsidRDefault="00DC404C">
      <w:pPr>
        <w:rPr>
          <w:color w:val="000000" w:themeColor="text1"/>
          <w:szCs w:val="22"/>
        </w:rPr>
      </w:pPr>
    </w:p>
    <w:p w14:paraId="5C7E508D" w14:textId="681B9C34" w:rsidR="00DC404C" w:rsidRPr="00121BDA" w:rsidRDefault="00121BDA" w:rsidP="0029060B">
      <w:pPr>
        <w:rPr>
          <w:color w:val="000000" w:themeColor="text1"/>
        </w:rPr>
      </w:pPr>
      <w:r w:rsidRPr="00121BDA">
        <w:rPr>
          <w:color w:val="000000" w:themeColor="text1"/>
          <w:szCs w:val="22"/>
        </w:rPr>
        <w:t xml:space="preserve">For Sedra another, perhaps more fundamental issue with the orthodox model is that, “donors simply lack the outlook, political wherewithal and institutional tools to implement the model’s principles </w:t>
      </w:r>
      <w:r w:rsidR="00DF570B" w:rsidRPr="00121BDA">
        <w:rPr>
          <w:color w:val="000000" w:themeColor="text1"/>
          <w:szCs w:val="22"/>
        </w:rPr>
        <w:t>in today’s complex reform contexts.”</w:t>
      </w:r>
      <w:r w:rsidR="00DF570B" w:rsidRPr="00121BDA">
        <w:rPr>
          <w:rStyle w:val="EndnoteReference"/>
          <w:color w:val="000000" w:themeColor="text1"/>
          <w:szCs w:val="22"/>
        </w:rPr>
        <w:endnoteReference w:id="32"/>
      </w:r>
      <w:r w:rsidR="00DF570B" w:rsidRPr="00121BDA">
        <w:rPr>
          <w:color w:val="000000" w:themeColor="text1"/>
          <w:szCs w:val="22"/>
        </w:rPr>
        <w:t xml:space="preserve"> If </w:t>
      </w:r>
      <w:r w:rsidR="00CC693F" w:rsidRPr="00121BDA">
        <w:rPr>
          <w:color w:val="000000" w:themeColor="text1"/>
          <w:szCs w:val="22"/>
        </w:rPr>
        <w:t>this is the case,</w:t>
      </w:r>
      <w:r w:rsidR="00DF570B" w:rsidRPr="00121BDA">
        <w:rPr>
          <w:color w:val="000000" w:themeColor="text1"/>
          <w:szCs w:val="22"/>
        </w:rPr>
        <w:t xml:space="preserve"> then </w:t>
      </w:r>
      <w:r w:rsidR="00594260" w:rsidRPr="00121BDA">
        <w:rPr>
          <w:color w:val="000000" w:themeColor="text1"/>
          <w:szCs w:val="22"/>
        </w:rPr>
        <w:t>perhaps a different approach is</w:t>
      </w:r>
      <w:r w:rsidR="00DF570B" w:rsidRPr="00121BDA">
        <w:rPr>
          <w:color w:val="000000" w:themeColor="text1"/>
          <w:szCs w:val="22"/>
        </w:rPr>
        <w:t xml:space="preserve"> necessary</w:t>
      </w:r>
      <w:r w:rsidR="00594260" w:rsidRPr="00121BDA">
        <w:rPr>
          <w:color w:val="000000" w:themeColor="text1"/>
          <w:szCs w:val="22"/>
        </w:rPr>
        <w:t>, one</w:t>
      </w:r>
      <w:r w:rsidR="00DF570B" w:rsidRPr="00121BDA">
        <w:rPr>
          <w:color w:val="000000" w:themeColor="text1"/>
          <w:szCs w:val="22"/>
        </w:rPr>
        <w:t xml:space="preserve"> that </w:t>
      </w:r>
      <w:r w:rsidR="00594260" w:rsidRPr="00121BDA">
        <w:rPr>
          <w:color w:val="000000" w:themeColor="text1"/>
          <w:szCs w:val="22"/>
        </w:rPr>
        <w:t>is</w:t>
      </w:r>
      <w:r w:rsidR="00DF570B" w:rsidRPr="00121BDA">
        <w:rPr>
          <w:color w:val="000000" w:themeColor="text1"/>
          <w:szCs w:val="22"/>
        </w:rPr>
        <w:t xml:space="preserve"> less fixated on the traditiona</w:t>
      </w:r>
      <w:r w:rsidR="00594260" w:rsidRPr="00121BDA">
        <w:rPr>
          <w:color w:val="000000" w:themeColor="text1"/>
          <w:szCs w:val="22"/>
        </w:rPr>
        <w:t>l, state-focused</w:t>
      </w:r>
      <w:r w:rsidR="0029060B" w:rsidRPr="00121BDA">
        <w:rPr>
          <w:color w:val="000000" w:themeColor="text1"/>
          <w:szCs w:val="22"/>
        </w:rPr>
        <w:t>,</w:t>
      </w:r>
      <w:r w:rsidR="00594260" w:rsidRPr="00121BDA">
        <w:rPr>
          <w:color w:val="000000" w:themeColor="text1"/>
          <w:szCs w:val="22"/>
        </w:rPr>
        <w:t xml:space="preserve"> orthodox model</w:t>
      </w:r>
      <w:r w:rsidR="0029060B" w:rsidRPr="00121BDA">
        <w:rPr>
          <w:color w:val="000000" w:themeColor="text1"/>
          <w:szCs w:val="22"/>
        </w:rPr>
        <w:t>,</w:t>
      </w:r>
      <w:r w:rsidR="00DF570B" w:rsidRPr="00121BDA">
        <w:rPr>
          <w:color w:val="000000" w:themeColor="text1"/>
          <w:szCs w:val="22"/>
        </w:rPr>
        <w:t xml:space="preserve"> </w:t>
      </w:r>
      <w:r w:rsidR="0029060B" w:rsidRPr="00121BDA">
        <w:rPr>
          <w:color w:val="000000" w:themeColor="text1"/>
          <w:szCs w:val="22"/>
        </w:rPr>
        <w:t xml:space="preserve">one that </w:t>
      </w:r>
      <w:r w:rsidR="00594260" w:rsidRPr="00121BDA">
        <w:rPr>
          <w:color w:val="000000" w:themeColor="text1"/>
          <w:szCs w:val="22"/>
        </w:rPr>
        <w:t>is more</w:t>
      </w:r>
      <w:r w:rsidR="00CC693F" w:rsidRPr="00121BDA">
        <w:rPr>
          <w:color w:val="000000" w:themeColor="text1"/>
          <w:szCs w:val="22"/>
        </w:rPr>
        <w:t xml:space="preserve"> </w:t>
      </w:r>
      <w:r w:rsidR="00DF570B" w:rsidRPr="00121BDA">
        <w:rPr>
          <w:color w:val="000000" w:themeColor="text1"/>
          <w:szCs w:val="22"/>
        </w:rPr>
        <w:t>willi</w:t>
      </w:r>
      <w:r w:rsidR="00CC693F" w:rsidRPr="00121BDA">
        <w:rPr>
          <w:color w:val="000000" w:themeColor="text1"/>
          <w:szCs w:val="22"/>
        </w:rPr>
        <w:t>ng to adapt to</w:t>
      </w:r>
      <w:r w:rsidR="0029060B" w:rsidRPr="00121BDA">
        <w:rPr>
          <w:color w:val="000000" w:themeColor="text1"/>
          <w:szCs w:val="22"/>
        </w:rPr>
        <w:t>,</w:t>
      </w:r>
      <w:r w:rsidR="00CC693F" w:rsidRPr="00121BDA">
        <w:rPr>
          <w:color w:val="000000" w:themeColor="text1"/>
          <w:szCs w:val="22"/>
        </w:rPr>
        <w:t xml:space="preserve"> and accommodate</w:t>
      </w:r>
      <w:r w:rsidR="0029060B" w:rsidRPr="00121BDA">
        <w:rPr>
          <w:color w:val="000000" w:themeColor="text1"/>
          <w:szCs w:val="22"/>
        </w:rPr>
        <w:t>,</w:t>
      </w:r>
      <w:r w:rsidR="00CC693F" w:rsidRPr="00121BDA">
        <w:rPr>
          <w:color w:val="000000" w:themeColor="text1"/>
          <w:szCs w:val="22"/>
        </w:rPr>
        <w:t xml:space="preserve"> </w:t>
      </w:r>
      <w:r w:rsidR="00DF570B" w:rsidRPr="00121BDA">
        <w:rPr>
          <w:color w:val="000000" w:themeColor="text1"/>
          <w:szCs w:val="22"/>
        </w:rPr>
        <w:t>non-state</w:t>
      </w:r>
      <w:r w:rsidR="00CC693F" w:rsidRPr="00121BDA">
        <w:rPr>
          <w:color w:val="000000" w:themeColor="text1"/>
          <w:szCs w:val="22"/>
        </w:rPr>
        <w:t xml:space="preserve"> elements</w:t>
      </w:r>
      <w:r w:rsidR="00DF570B" w:rsidRPr="00121BDA">
        <w:rPr>
          <w:color w:val="000000" w:themeColor="text1"/>
          <w:szCs w:val="22"/>
        </w:rPr>
        <w:t>.</w:t>
      </w:r>
      <w:r w:rsidR="00DF570B" w:rsidRPr="00121BDA">
        <w:rPr>
          <w:rStyle w:val="EndnoteReference"/>
          <w:color w:val="000000" w:themeColor="text1"/>
          <w:szCs w:val="22"/>
        </w:rPr>
        <w:endnoteReference w:id="33"/>
      </w:r>
      <w:r w:rsidR="00DF570B" w:rsidRPr="00121BDA">
        <w:rPr>
          <w:color w:val="000000" w:themeColor="text1"/>
          <w:szCs w:val="22"/>
        </w:rPr>
        <w:t xml:space="preserve"> One way that this could be achieved </w:t>
      </w:r>
      <w:r w:rsidR="00594260" w:rsidRPr="00121BDA">
        <w:rPr>
          <w:color w:val="000000" w:themeColor="text1"/>
          <w:szCs w:val="22"/>
        </w:rPr>
        <w:t xml:space="preserve">is by </w:t>
      </w:r>
      <w:r w:rsidR="0029060B" w:rsidRPr="00121BDA">
        <w:rPr>
          <w:color w:val="000000" w:themeColor="text1"/>
          <w:szCs w:val="22"/>
        </w:rPr>
        <w:t>drawing on</w:t>
      </w:r>
      <w:r w:rsidR="00594260" w:rsidRPr="00121BDA">
        <w:rPr>
          <w:color w:val="000000" w:themeColor="text1"/>
          <w:szCs w:val="22"/>
        </w:rPr>
        <w:t xml:space="preserve"> less-</w:t>
      </w:r>
      <w:r w:rsidR="00DF570B" w:rsidRPr="00121BDA">
        <w:rPr>
          <w:color w:val="000000" w:themeColor="text1"/>
          <w:szCs w:val="22"/>
        </w:rPr>
        <w:t xml:space="preserve">traditional, non-Western </w:t>
      </w:r>
      <w:r w:rsidR="0029060B" w:rsidRPr="00121BDA">
        <w:rPr>
          <w:color w:val="000000" w:themeColor="text1"/>
          <w:szCs w:val="22"/>
        </w:rPr>
        <w:t>examples</w:t>
      </w:r>
      <w:r w:rsidR="00DF570B" w:rsidRPr="00121BDA">
        <w:rPr>
          <w:color w:val="000000" w:themeColor="text1"/>
          <w:szCs w:val="22"/>
        </w:rPr>
        <w:t xml:space="preserve"> of civil-military relationships </w:t>
      </w:r>
      <w:r w:rsidR="0029060B" w:rsidRPr="00121BDA">
        <w:rPr>
          <w:color w:val="000000" w:themeColor="text1"/>
          <w:szCs w:val="22"/>
        </w:rPr>
        <w:t>and using them to create</w:t>
      </w:r>
      <w:r w:rsidR="00DF570B" w:rsidRPr="00121BDA">
        <w:rPr>
          <w:color w:val="000000" w:themeColor="text1"/>
          <w:szCs w:val="22"/>
        </w:rPr>
        <w:t xml:space="preserve"> alternative</w:t>
      </w:r>
      <w:r w:rsidR="0029060B" w:rsidRPr="00121BDA">
        <w:rPr>
          <w:color w:val="000000" w:themeColor="text1"/>
          <w:szCs w:val="22"/>
        </w:rPr>
        <w:t>, non-orthodox</w:t>
      </w:r>
      <w:r w:rsidR="00DF570B" w:rsidRPr="00121BDA">
        <w:rPr>
          <w:color w:val="000000" w:themeColor="text1"/>
          <w:szCs w:val="22"/>
        </w:rPr>
        <w:t xml:space="preserve"> SSR </w:t>
      </w:r>
      <w:r w:rsidR="0029060B" w:rsidRPr="00121BDA">
        <w:rPr>
          <w:color w:val="000000" w:themeColor="text1"/>
          <w:szCs w:val="22"/>
        </w:rPr>
        <w:t>aims and objectives</w:t>
      </w:r>
      <w:r w:rsidR="00DF570B" w:rsidRPr="00121BDA">
        <w:rPr>
          <w:color w:val="000000" w:themeColor="text1"/>
          <w:szCs w:val="22"/>
        </w:rPr>
        <w:t xml:space="preserve">. </w:t>
      </w:r>
    </w:p>
    <w:p w14:paraId="74E52B6E" w14:textId="72DC5BF6" w:rsidR="00DC404C" w:rsidRPr="00121BDA" w:rsidRDefault="00DC404C" w:rsidP="00215C4C">
      <w:pPr>
        <w:pStyle w:val="Heading2"/>
        <w:rPr>
          <w:color w:val="000000" w:themeColor="text1"/>
        </w:rPr>
      </w:pPr>
    </w:p>
    <w:p w14:paraId="1D7883EE" w14:textId="1E02FBD7" w:rsidR="00A91FF2" w:rsidRPr="00121BDA" w:rsidRDefault="00DF570B" w:rsidP="00391C0B">
      <w:pPr>
        <w:rPr>
          <w:color w:val="000000" w:themeColor="text1"/>
          <w:szCs w:val="22"/>
        </w:rPr>
      </w:pPr>
      <w:r w:rsidRPr="00121BDA">
        <w:rPr>
          <w:color w:val="000000" w:themeColor="text1"/>
          <w:szCs w:val="22"/>
        </w:rPr>
        <w:t xml:space="preserve">If </w:t>
      </w:r>
      <w:r w:rsidR="00391C0B" w:rsidRPr="00121BDA">
        <w:rPr>
          <w:color w:val="000000" w:themeColor="text1"/>
          <w:szCs w:val="22"/>
        </w:rPr>
        <w:t>an approach were to be taken which made more use of non-orthodox civil-military relations models</w:t>
      </w:r>
      <w:r w:rsidRPr="00121BDA">
        <w:rPr>
          <w:color w:val="000000" w:themeColor="text1"/>
          <w:szCs w:val="22"/>
        </w:rPr>
        <w:t xml:space="preserve">, </w:t>
      </w:r>
      <w:r w:rsidR="006B2C75">
        <w:rPr>
          <w:color w:val="000000" w:themeColor="text1"/>
          <w:szCs w:val="22"/>
        </w:rPr>
        <w:t xml:space="preserve">then </w:t>
      </w:r>
      <w:r w:rsidRPr="00121BDA">
        <w:rPr>
          <w:color w:val="000000" w:themeColor="text1"/>
          <w:szCs w:val="22"/>
        </w:rPr>
        <w:t>for it to be of any practical use there would need to be a number of different mod</w:t>
      </w:r>
      <w:r w:rsidR="00391C0B" w:rsidRPr="00121BDA">
        <w:rPr>
          <w:color w:val="000000" w:themeColor="text1"/>
          <w:szCs w:val="22"/>
        </w:rPr>
        <w:t>els available for consideration. If not,</w:t>
      </w:r>
      <w:r w:rsidRPr="00121BDA">
        <w:rPr>
          <w:color w:val="000000" w:themeColor="text1"/>
          <w:szCs w:val="22"/>
        </w:rPr>
        <w:t xml:space="preserve"> </w:t>
      </w:r>
      <w:r w:rsidR="00391C0B" w:rsidRPr="00121BDA">
        <w:rPr>
          <w:color w:val="000000" w:themeColor="text1"/>
          <w:szCs w:val="22"/>
        </w:rPr>
        <w:t>the danger would be</w:t>
      </w:r>
      <w:r w:rsidRPr="00121BDA">
        <w:rPr>
          <w:color w:val="000000" w:themeColor="text1"/>
          <w:szCs w:val="22"/>
        </w:rPr>
        <w:t xml:space="preserve"> that one rigid, ina</w:t>
      </w:r>
      <w:r w:rsidR="00AA7CDB" w:rsidRPr="00121BDA">
        <w:rPr>
          <w:color w:val="000000" w:themeColor="text1"/>
          <w:szCs w:val="22"/>
        </w:rPr>
        <w:t>ppropriate Western template would</w:t>
      </w:r>
      <w:r w:rsidRPr="00121BDA">
        <w:rPr>
          <w:color w:val="000000" w:themeColor="text1"/>
          <w:szCs w:val="22"/>
        </w:rPr>
        <w:t xml:space="preserve"> simply be replaced with a different</w:t>
      </w:r>
      <w:r w:rsidR="00A91FF2" w:rsidRPr="00121BDA">
        <w:rPr>
          <w:color w:val="000000" w:themeColor="text1"/>
          <w:szCs w:val="22"/>
        </w:rPr>
        <w:t>, equally inappropriate</w:t>
      </w:r>
      <w:r w:rsidRPr="00121BDA">
        <w:rPr>
          <w:color w:val="000000" w:themeColor="text1"/>
          <w:szCs w:val="22"/>
        </w:rPr>
        <w:t xml:space="preserve"> one drawn from elsewhere. In fact, given the richness and variety </w:t>
      </w:r>
      <w:r w:rsidR="00A91FF2" w:rsidRPr="00121BDA">
        <w:rPr>
          <w:color w:val="000000" w:themeColor="text1"/>
          <w:szCs w:val="22"/>
        </w:rPr>
        <w:t xml:space="preserve">that </w:t>
      </w:r>
      <w:r w:rsidRPr="00121BDA">
        <w:rPr>
          <w:color w:val="000000" w:themeColor="text1"/>
          <w:szCs w:val="22"/>
        </w:rPr>
        <w:t xml:space="preserve">we see in the states in question, the whole concept of templating does not make much sense at all. Rather, those who are charged with designing SSR programmes should be able to </w:t>
      </w:r>
      <w:r w:rsidRPr="00121BDA">
        <w:rPr>
          <w:color w:val="000000" w:themeColor="text1"/>
          <w:szCs w:val="22"/>
        </w:rPr>
        <w:lastRenderedPageBreak/>
        <w:t xml:space="preserve">draw on a </w:t>
      </w:r>
      <w:r w:rsidR="00414E26" w:rsidRPr="00121BDA">
        <w:rPr>
          <w:color w:val="000000" w:themeColor="text1"/>
          <w:szCs w:val="22"/>
        </w:rPr>
        <w:t>wide selection</w:t>
      </w:r>
      <w:r w:rsidRPr="00121BDA">
        <w:rPr>
          <w:color w:val="000000" w:themeColor="text1"/>
          <w:szCs w:val="22"/>
        </w:rPr>
        <w:t xml:space="preserve"> of </w:t>
      </w:r>
      <w:r w:rsidR="00391C0B" w:rsidRPr="00121BDA">
        <w:rPr>
          <w:color w:val="000000" w:themeColor="text1"/>
          <w:szCs w:val="22"/>
        </w:rPr>
        <w:t xml:space="preserve">lower level </w:t>
      </w:r>
      <w:r w:rsidRPr="00121BDA">
        <w:rPr>
          <w:color w:val="000000" w:themeColor="text1"/>
          <w:szCs w:val="22"/>
        </w:rPr>
        <w:t xml:space="preserve">civil-military relations elements, or sub-models, from which </w:t>
      </w:r>
      <w:r w:rsidR="00391C0B" w:rsidRPr="00121BDA">
        <w:rPr>
          <w:color w:val="000000" w:themeColor="text1"/>
          <w:szCs w:val="22"/>
        </w:rPr>
        <w:t>they could then</w:t>
      </w:r>
      <w:r w:rsidRPr="00121BDA">
        <w:rPr>
          <w:color w:val="000000" w:themeColor="text1"/>
          <w:szCs w:val="22"/>
        </w:rPr>
        <w:t xml:space="preserve"> construct a bespoke higher-level model that </w:t>
      </w:r>
      <w:r w:rsidR="00391C0B" w:rsidRPr="00121BDA">
        <w:rPr>
          <w:color w:val="000000" w:themeColor="text1"/>
          <w:szCs w:val="22"/>
        </w:rPr>
        <w:t>would be</w:t>
      </w:r>
      <w:r w:rsidRPr="00121BDA">
        <w:rPr>
          <w:color w:val="000000" w:themeColor="text1"/>
          <w:szCs w:val="22"/>
        </w:rPr>
        <w:t xml:space="preserve"> unique and appropriate to the problem in hand. </w:t>
      </w:r>
    </w:p>
    <w:p w14:paraId="053C51F7" w14:textId="77777777" w:rsidR="00A91FF2" w:rsidRPr="00121BDA" w:rsidRDefault="00A91FF2" w:rsidP="00A91FF2">
      <w:pPr>
        <w:rPr>
          <w:color w:val="000000" w:themeColor="text1"/>
          <w:szCs w:val="22"/>
        </w:rPr>
      </w:pPr>
    </w:p>
    <w:p w14:paraId="7E480A3F" w14:textId="7384394D" w:rsidR="00DC404C" w:rsidRPr="00121BDA" w:rsidRDefault="003A394F" w:rsidP="000B7B83">
      <w:pPr>
        <w:rPr>
          <w:color w:val="000000" w:themeColor="text1"/>
          <w:szCs w:val="22"/>
        </w:rPr>
      </w:pPr>
      <w:r w:rsidRPr="00121BDA">
        <w:rPr>
          <w:color w:val="000000" w:themeColor="text1"/>
          <w:szCs w:val="22"/>
        </w:rPr>
        <w:t>This</w:t>
      </w:r>
      <w:r w:rsidR="00DF570B" w:rsidRPr="00121BDA">
        <w:rPr>
          <w:color w:val="000000" w:themeColor="text1"/>
          <w:szCs w:val="22"/>
        </w:rPr>
        <w:t xml:space="preserve"> idea of having a series of sub-models of civil-military relations that can be brought together to create an overall model that is appropriate and practical for a particular situation at any given time, actually fits well with current thinking on how the design process should work. </w:t>
      </w:r>
      <w:r w:rsidR="00414E26" w:rsidRPr="00121BDA">
        <w:rPr>
          <w:color w:val="000000" w:themeColor="text1"/>
          <w:szCs w:val="22"/>
        </w:rPr>
        <w:t>For example</w:t>
      </w:r>
      <w:r w:rsidR="00D20744" w:rsidRPr="00121BDA">
        <w:rPr>
          <w:color w:val="000000" w:themeColor="text1"/>
          <w:szCs w:val="22"/>
        </w:rPr>
        <w:t>,</w:t>
      </w:r>
      <w:r w:rsidR="00414E26" w:rsidRPr="00121BDA">
        <w:rPr>
          <w:color w:val="000000" w:themeColor="text1"/>
          <w:szCs w:val="22"/>
        </w:rPr>
        <w:t xml:space="preserve"> employing an understanding of local culture to establish a tailor-made programme for SSR is </w:t>
      </w:r>
      <w:r w:rsidR="00027D15" w:rsidRPr="00121BDA">
        <w:rPr>
          <w:color w:val="000000" w:themeColor="text1"/>
          <w:szCs w:val="22"/>
        </w:rPr>
        <w:t xml:space="preserve">already </w:t>
      </w:r>
      <w:r w:rsidR="00414E26" w:rsidRPr="00121BDA">
        <w:rPr>
          <w:color w:val="000000" w:themeColor="text1"/>
          <w:szCs w:val="22"/>
        </w:rPr>
        <w:t>advocated by the OECD Development Assistance Committee (DAC). In their reference document on SSR they explicitly state the need for external actors to become “more finely attuned to the context in which they work”</w:t>
      </w:r>
      <w:r w:rsidR="00027D15" w:rsidRPr="00121BDA">
        <w:rPr>
          <w:color w:val="000000" w:themeColor="text1"/>
          <w:szCs w:val="22"/>
        </w:rPr>
        <w:t>,</w:t>
      </w:r>
      <w:r w:rsidR="00414E26" w:rsidRPr="00121BDA">
        <w:rPr>
          <w:color w:val="000000" w:themeColor="text1"/>
          <w:szCs w:val="22"/>
        </w:rPr>
        <w:t xml:space="preserve"> and it is made clear that it is essential for SSR programmes to be preceded by a security environment assessment, which in turn must consider the local context.</w:t>
      </w:r>
      <w:r w:rsidR="00414E26" w:rsidRPr="00121BDA">
        <w:rPr>
          <w:rStyle w:val="EndnoteReference"/>
          <w:color w:val="000000" w:themeColor="text1"/>
          <w:szCs w:val="22"/>
        </w:rPr>
        <w:endnoteReference w:id="34"/>
      </w:r>
      <w:r w:rsidR="00A91FF2" w:rsidRPr="00121BDA">
        <w:rPr>
          <w:color w:val="000000" w:themeColor="text1"/>
          <w:szCs w:val="22"/>
        </w:rPr>
        <w:t xml:space="preserve"> Equally</w:t>
      </w:r>
      <w:r w:rsidR="00414E26" w:rsidRPr="00121BDA">
        <w:rPr>
          <w:color w:val="000000" w:themeColor="text1"/>
          <w:szCs w:val="22"/>
        </w:rPr>
        <w:t>, t</w:t>
      </w:r>
      <w:r w:rsidR="00DF570B" w:rsidRPr="00121BDA">
        <w:rPr>
          <w:color w:val="000000" w:themeColor="text1"/>
          <w:szCs w:val="22"/>
        </w:rPr>
        <w:t xml:space="preserve">he ISSAT web site lays out an approach to SSR which involves an iterative assessment and design sequence, which theoretically should lead to a reform programme that is specifically suited to the country in question. Although not described as such by ISSAT, the various strands of SSR such as defence, the police, intelligence services, the judiciary </w:t>
      </w:r>
      <w:proofErr w:type="spellStart"/>
      <w:r w:rsidR="00DF570B" w:rsidRPr="00121BDA">
        <w:rPr>
          <w:color w:val="000000" w:themeColor="text1"/>
          <w:szCs w:val="22"/>
        </w:rPr>
        <w:t>etc</w:t>
      </w:r>
      <w:proofErr w:type="spellEnd"/>
      <w:r w:rsidR="00DF570B" w:rsidRPr="00121BDA">
        <w:rPr>
          <w:color w:val="000000" w:themeColor="text1"/>
          <w:szCs w:val="22"/>
        </w:rPr>
        <w:t xml:space="preserve"> are in fact </w:t>
      </w:r>
      <w:r w:rsidR="006B2C75">
        <w:rPr>
          <w:color w:val="000000" w:themeColor="text1"/>
          <w:szCs w:val="22"/>
        </w:rPr>
        <w:t xml:space="preserve">already </w:t>
      </w:r>
      <w:r w:rsidR="00DF570B" w:rsidRPr="00121BDA">
        <w:rPr>
          <w:color w:val="000000" w:themeColor="text1"/>
          <w:szCs w:val="22"/>
        </w:rPr>
        <w:t>aggregates of a series of lower level elements, or sub-models, within each field. The precise way they are all then brought together to produce an overall set of aims and objectives, together with a programme which is designed to achi</w:t>
      </w:r>
      <w:r w:rsidR="000B7B83" w:rsidRPr="00121BDA">
        <w:rPr>
          <w:color w:val="000000" w:themeColor="text1"/>
          <w:szCs w:val="22"/>
        </w:rPr>
        <w:t>eve these, will of course vary from one situation to another.</w:t>
      </w:r>
    </w:p>
    <w:p w14:paraId="2CBE09F3" w14:textId="764DA487" w:rsidR="00DC404C" w:rsidRPr="00121BDA" w:rsidRDefault="00DC404C">
      <w:pPr>
        <w:rPr>
          <w:color w:val="000000" w:themeColor="text1"/>
          <w:szCs w:val="22"/>
        </w:rPr>
      </w:pPr>
    </w:p>
    <w:p w14:paraId="11907AE2" w14:textId="6B1E0408" w:rsidR="00DC404C" w:rsidRPr="00121BDA" w:rsidRDefault="000B7B83" w:rsidP="006B2C75">
      <w:pPr>
        <w:rPr>
          <w:color w:val="000000" w:themeColor="text1"/>
          <w:szCs w:val="22"/>
        </w:rPr>
      </w:pPr>
      <w:r w:rsidRPr="00121BDA">
        <w:rPr>
          <w:color w:val="000000" w:themeColor="text1"/>
          <w:szCs w:val="22"/>
        </w:rPr>
        <w:t>For this to be effective of course,</w:t>
      </w:r>
      <w:r w:rsidR="00A91FF2" w:rsidRPr="00121BDA">
        <w:rPr>
          <w:color w:val="000000" w:themeColor="text1"/>
          <w:szCs w:val="22"/>
        </w:rPr>
        <w:t xml:space="preserve"> the assumption </w:t>
      </w:r>
      <w:r w:rsidRPr="00121BDA">
        <w:rPr>
          <w:color w:val="000000" w:themeColor="text1"/>
          <w:szCs w:val="22"/>
        </w:rPr>
        <w:t xml:space="preserve">is </w:t>
      </w:r>
      <w:r w:rsidR="00A91FF2" w:rsidRPr="00121BDA">
        <w:rPr>
          <w:color w:val="000000" w:themeColor="text1"/>
          <w:szCs w:val="22"/>
        </w:rPr>
        <w:t xml:space="preserve">that those drawing up any bespoke solution possess a deep enough knowledge and understanding of the state with which </w:t>
      </w:r>
      <w:r w:rsidR="00A91FF2" w:rsidRPr="00121BDA">
        <w:rPr>
          <w:color w:val="000000" w:themeColor="text1"/>
          <w:szCs w:val="22"/>
        </w:rPr>
        <w:lastRenderedPageBreak/>
        <w:t xml:space="preserve">they are working to allow them to do this effectively – something which is a separate concern and which needs to be addressed elsewhere. The other issue is </w:t>
      </w:r>
      <w:r w:rsidRPr="00121BDA">
        <w:rPr>
          <w:color w:val="000000" w:themeColor="text1"/>
          <w:szCs w:val="22"/>
        </w:rPr>
        <w:t>that</w:t>
      </w:r>
      <w:r w:rsidR="003A394F" w:rsidRPr="00121BDA">
        <w:rPr>
          <w:color w:val="000000" w:themeColor="text1"/>
          <w:szCs w:val="22"/>
        </w:rPr>
        <w:t>, even where there is a genuine desire to do so, donors are hampered in their attempts to design more culturally and contextually appropriate aims and objectives as there is currently no</w:t>
      </w:r>
      <w:r w:rsidR="00A91FF2" w:rsidRPr="00121BDA">
        <w:rPr>
          <w:color w:val="000000" w:themeColor="text1"/>
          <w:szCs w:val="22"/>
        </w:rPr>
        <w:t xml:space="preserve"> pool of well-researched</w:t>
      </w:r>
      <w:r w:rsidR="003A394F" w:rsidRPr="00121BDA">
        <w:rPr>
          <w:color w:val="000000" w:themeColor="text1"/>
          <w:szCs w:val="22"/>
        </w:rPr>
        <w:t>,</w:t>
      </w:r>
      <w:r w:rsidR="00A91FF2" w:rsidRPr="00121BDA">
        <w:rPr>
          <w:color w:val="000000" w:themeColor="text1"/>
          <w:szCs w:val="22"/>
        </w:rPr>
        <w:t xml:space="preserve"> </w:t>
      </w:r>
      <w:r w:rsidR="00DF570B" w:rsidRPr="00121BDA">
        <w:rPr>
          <w:color w:val="000000" w:themeColor="text1"/>
          <w:szCs w:val="22"/>
        </w:rPr>
        <w:t xml:space="preserve">alternative, non-Western, liberal-democratic </w:t>
      </w:r>
      <w:r w:rsidR="00A91FF2" w:rsidRPr="00121BDA">
        <w:rPr>
          <w:color w:val="000000" w:themeColor="text1"/>
          <w:szCs w:val="22"/>
        </w:rPr>
        <w:t>sub-models</w:t>
      </w:r>
      <w:r w:rsidR="00DF570B" w:rsidRPr="00121BDA">
        <w:rPr>
          <w:color w:val="000000" w:themeColor="text1"/>
          <w:szCs w:val="22"/>
        </w:rPr>
        <w:t xml:space="preserve"> </w:t>
      </w:r>
      <w:r w:rsidR="003A394F" w:rsidRPr="00121BDA">
        <w:rPr>
          <w:color w:val="000000" w:themeColor="text1"/>
          <w:szCs w:val="22"/>
        </w:rPr>
        <w:t>for them to draw upon</w:t>
      </w:r>
      <w:r w:rsidR="00A91FF2" w:rsidRPr="00121BDA">
        <w:rPr>
          <w:color w:val="000000" w:themeColor="text1"/>
          <w:szCs w:val="22"/>
        </w:rPr>
        <w:t xml:space="preserve">. </w:t>
      </w:r>
      <w:r w:rsidR="00215C4C" w:rsidRPr="00121BDA">
        <w:rPr>
          <w:color w:val="000000" w:themeColor="text1"/>
          <w:szCs w:val="22"/>
        </w:rPr>
        <w:t xml:space="preserve">Likely sources </w:t>
      </w:r>
      <w:r w:rsidR="006B2C75">
        <w:rPr>
          <w:color w:val="000000" w:themeColor="text1"/>
          <w:szCs w:val="22"/>
        </w:rPr>
        <w:t>do exist</w:t>
      </w:r>
      <w:r w:rsidR="00215C4C" w:rsidRPr="00121BDA">
        <w:rPr>
          <w:color w:val="000000" w:themeColor="text1"/>
          <w:szCs w:val="22"/>
        </w:rPr>
        <w:t>, they just need to be identified and then analysed from a slightly different perspective than perhaps they have been in previous research.</w:t>
      </w:r>
    </w:p>
    <w:p w14:paraId="776D04C3" w14:textId="77777777" w:rsidR="00215C4C" w:rsidRPr="00121BDA" w:rsidRDefault="00215C4C" w:rsidP="006A2656">
      <w:pPr>
        <w:rPr>
          <w:color w:val="000000" w:themeColor="text1"/>
        </w:rPr>
      </w:pPr>
    </w:p>
    <w:p w14:paraId="2030A30F" w14:textId="1BADD910" w:rsidR="00215C4C" w:rsidRPr="006B2C75" w:rsidRDefault="00215C4C" w:rsidP="006B2C75">
      <w:pPr>
        <w:pStyle w:val="Heading2"/>
        <w:rPr>
          <w:color w:val="000000" w:themeColor="text1"/>
        </w:rPr>
      </w:pPr>
      <w:r w:rsidRPr="00121BDA">
        <w:rPr>
          <w:color w:val="000000" w:themeColor="text1"/>
        </w:rPr>
        <w:t>Alternative Models of Civil-Military Relationships</w:t>
      </w:r>
    </w:p>
    <w:p w14:paraId="60AAC433" w14:textId="1B4FE2E3" w:rsidR="00DC404C" w:rsidRPr="00121BDA" w:rsidRDefault="00DF570B" w:rsidP="006A2656">
      <w:pPr>
        <w:rPr>
          <w:color w:val="000000" w:themeColor="text1"/>
          <w:szCs w:val="22"/>
        </w:rPr>
      </w:pPr>
      <w:r w:rsidRPr="00121BDA">
        <w:rPr>
          <w:color w:val="000000" w:themeColor="text1"/>
          <w:szCs w:val="22"/>
        </w:rPr>
        <w:t xml:space="preserve">Every state, whatever its political situation or history, has a civil-military relationship which might be considered as source of </w:t>
      </w:r>
      <w:r w:rsidR="006A2656" w:rsidRPr="00121BDA">
        <w:rPr>
          <w:color w:val="000000" w:themeColor="text1"/>
          <w:szCs w:val="22"/>
        </w:rPr>
        <w:t>potential</w:t>
      </w:r>
      <w:r w:rsidRPr="00121BDA">
        <w:rPr>
          <w:color w:val="000000" w:themeColor="text1"/>
          <w:szCs w:val="22"/>
        </w:rPr>
        <w:t xml:space="preserve"> non-orthodox sub-models. However, not all are likely to be both relevant to a post-conflict situation, and at the same time meet the minimum acceptable standards and principles required even for interim solutions. In drawing up a short list of states which might be considered, it is suggested that there are three criteria which should be employed: </w:t>
      </w:r>
    </w:p>
    <w:p w14:paraId="1235D2BD" w14:textId="77777777" w:rsidR="00DC404C" w:rsidRPr="00121BDA" w:rsidRDefault="00DF570B" w:rsidP="00A67D4D">
      <w:pPr>
        <w:pStyle w:val="ListParagraph"/>
        <w:numPr>
          <w:ilvl w:val="0"/>
          <w:numId w:val="3"/>
        </w:numPr>
        <w:rPr>
          <w:color w:val="000000" w:themeColor="text1"/>
          <w:szCs w:val="22"/>
        </w:rPr>
      </w:pPr>
      <w:r w:rsidRPr="00121BDA">
        <w:rPr>
          <w:color w:val="000000" w:themeColor="text1"/>
          <w:szCs w:val="22"/>
        </w:rPr>
        <w:t xml:space="preserve">the presence of a democratic basis for government; </w:t>
      </w:r>
    </w:p>
    <w:p w14:paraId="35E259F4" w14:textId="77777777" w:rsidR="00DC404C" w:rsidRPr="00121BDA" w:rsidRDefault="00DF570B" w:rsidP="00A67D4D">
      <w:pPr>
        <w:pStyle w:val="ListParagraph"/>
        <w:numPr>
          <w:ilvl w:val="0"/>
          <w:numId w:val="3"/>
        </w:numPr>
        <w:rPr>
          <w:color w:val="000000" w:themeColor="text1"/>
          <w:szCs w:val="22"/>
        </w:rPr>
      </w:pPr>
      <w:r w:rsidRPr="00121BDA">
        <w:rPr>
          <w:color w:val="000000" w:themeColor="text1"/>
          <w:szCs w:val="22"/>
        </w:rPr>
        <w:t xml:space="preserve">the acceptance of a substantial role for the military in society; </w:t>
      </w:r>
    </w:p>
    <w:p w14:paraId="47A1AF72" w14:textId="18AFAFD6" w:rsidR="00DC404C" w:rsidRPr="00121BDA" w:rsidRDefault="00DF570B" w:rsidP="00611994">
      <w:pPr>
        <w:pStyle w:val="ListParagraph"/>
        <w:numPr>
          <w:ilvl w:val="0"/>
          <w:numId w:val="3"/>
        </w:numPr>
        <w:rPr>
          <w:color w:val="000000" w:themeColor="text1"/>
          <w:szCs w:val="22"/>
        </w:rPr>
      </w:pPr>
      <w:r w:rsidRPr="00121BDA">
        <w:rPr>
          <w:color w:val="000000" w:themeColor="text1"/>
          <w:szCs w:val="22"/>
        </w:rPr>
        <w:t>the acknowledgement of the existence of a</w:t>
      </w:r>
      <w:r w:rsidR="00611994" w:rsidRPr="00121BDA">
        <w:rPr>
          <w:color w:val="000000" w:themeColor="text1"/>
          <w:szCs w:val="22"/>
        </w:rPr>
        <w:t xml:space="preserve"> potentially</w:t>
      </w:r>
      <w:r w:rsidRPr="00121BDA">
        <w:rPr>
          <w:color w:val="000000" w:themeColor="text1"/>
          <w:szCs w:val="22"/>
        </w:rPr>
        <w:t xml:space="preserve"> existential threat to that society. </w:t>
      </w:r>
    </w:p>
    <w:p w14:paraId="20D47F09" w14:textId="26F954A0" w:rsidR="00DC404C" w:rsidRPr="00121BDA" w:rsidRDefault="00DF570B" w:rsidP="00611994">
      <w:pPr>
        <w:rPr>
          <w:color w:val="000000" w:themeColor="text1"/>
          <w:szCs w:val="22"/>
        </w:rPr>
      </w:pPr>
      <w:r w:rsidRPr="00121BDA">
        <w:rPr>
          <w:color w:val="000000" w:themeColor="text1"/>
          <w:szCs w:val="22"/>
        </w:rPr>
        <w:t xml:space="preserve">Each of these </w:t>
      </w:r>
      <w:r w:rsidR="00611994" w:rsidRPr="00121BDA">
        <w:rPr>
          <w:color w:val="000000" w:themeColor="text1"/>
          <w:szCs w:val="22"/>
        </w:rPr>
        <w:t>should</w:t>
      </w:r>
      <w:r w:rsidRPr="00121BDA">
        <w:rPr>
          <w:color w:val="000000" w:themeColor="text1"/>
          <w:szCs w:val="22"/>
        </w:rPr>
        <w:t xml:space="preserve"> be present in some form if the sub-models identified are to be of any value in creating an overall model for a reformed security sector that is to benefit the society it serves</w:t>
      </w:r>
      <w:r w:rsidR="00523C52">
        <w:rPr>
          <w:color w:val="000000" w:themeColor="text1"/>
          <w:szCs w:val="22"/>
        </w:rPr>
        <w:t xml:space="preserve"> in a post-conflict environment</w:t>
      </w:r>
      <w:r w:rsidRPr="00121BDA">
        <w:rPr>
          <w:color w:val="000000" w:themeColor="text1"/>
          <w:szCs w:val="22"/>
        </w:rPr>
        <w:t>.</w:t>
      </w:r>
    </w:p>
    <w:p w14:paraId="131A2ED9" w14:textId="77777777" w:rsidR="00DC404C" w:rsidRPr="00121BDA" w:rsidRDefault="00DC404C">
      <w:pPr>
        <w:rPr>
          <w:color w:val="000000" w:themeColor="text1"/>
          <w:szCs w:val="22"/>
        </w:rPr>
      </w:pPr>
    </w:p>
    <w:p w14:paraId="6E84059C" w14:textId="10F52603" w:rsidR="00DC404C" w:rsidRPr="00121BDA" w:rsidRDefault="00DF570B" w:rsidP="00611994">
      <w:pPr>
        <w:rPr>
          <w:color w:val="000000" w:themeColor="text1"/>
        </w:rPr>
      </w:pPr>
      <w:r w:rsidRPr="00121BDA">
        <w:rPr>
          <w:color w:val="000000" w:themeColor="text1"/>
          <w:szCs w:val="22"/>
        </w:rPr>
        <w:lastRenderedPageBreak/>
        <w:t xml:space="preserve">To meet the first criterion the state in question must be some form of a democracy, albeit perhaps very different </w:t>
      </w:r>
      <w:r w:rsidR="00611994" w:rsidRPr="00121BDA">
        <w:rPr>
          <w:color w:val="000000" w:themeColor="text1"/>
          <w:szCs w:val="22"/>
        </w:rPr>
        <w:t xml:space="preserve">in nature </w:t>
      </w:r>
      <w:r w:rsidRPr="00121BDA">
        <w:rPr>
          <w:color w:val="000000" w:themeColor="text1"/>
          <w:szCs w:val="22"/>
        </w:rPr>
        <w:t xml:space="preserve">from those found in Western Europe or North America. It is neither advisable in terms of international acceptance, nor desirable in terms of the possible consequences, for any reform programme to base its outcomes and objectives on a non-democratic model. However, it </w:t>
      </w:r>
      <w:r w:rsidR="00611994" w:rsidRPr="00121BDA">
        <w:rPr>
          <w:color w:val="000000" w:themeColor="text1"/>
          <w:szCs w:val="22"/>
        </w:rPr>
        <w:t>should also</w:t>
      </w:r>
      <w:r w:rsidRPr="00121BDA">
        <w:rPr>
          <w:color w:val="000000" w:themeColor="text1"/>
          <w:szCs w:val="22"/>
        </w:rPr>
        <w:t xml:space="preserve"> be recognised that democracy is a broad term, with many different interpretations of what it </w:t>
      </w:r>
      <w:r w:rsidR="00611994" w:rsidRPr="00121BDA">
        <w:rPr>
          <w:color w:val="000000" w:themeColor="text1"/>
          <w:szCs w:val="22"/>
        </w:rPr>
        <w:t>can look like</w:t>
      </w:r>
      <w:r w:rsidRPr="00121BDA">
        <w:rPr>
          <w:color w:val="000000" w:themeColor="text1"/>
          <w:szCs w:val="22"/>
        </w:rPr>
        <w:t xml:space="preserve"> in practice. This should not be such a problem as perhaps it has been in the past. In a recent article discussing non-Western democracies </w:t>
      </w:r>
      <w:proofErr w:type="spellStart"/>
      <w:r w:rsidRPr="00121BDA">
        <w:rPr>
          <w:color w:val="000000" w:themeColor="text1"/>
          <w:szCs w:val="22"/>
        </w:rPr>
        <w:t>Youngs</w:t>
      </w:r>
      <w:proofErr w:type="spellEnd"/>
      <w:r w:rsidRPr="00121BDA">
        <w:rPr>
          <w:color w:val="000000" w:themeColor="text1"/>
          <w:szCs w:val="22"/>
        </w:rPr>
        <w:t xml:space="preserve"> points out that not only have both the UN and the EU accepted that there cannot be any single concept of democracy that excludes all others, but that in the US too it is now recognised that in following democratic values, each society will inevitably build a unique form of democracy based on their own particular cultural background and history.</w:t>
      </w:r>
      <w:r w:rsidRPr="00121BDA">
        <w:rPr>
          <w:rStyle w:val="EndnoteReference"/>
          <w:color w:val="000000" w:themeColor="text1"/>
          <w:szCs w:val="22"/>
        </w:rPr>
        <w:endnoteReference w:id="35"/>
      </w:r>
      <w:r w:rsidR="00611994" w:rsidRPr="00121BDA">
        <w:rPr>
          <w:color w:val="000000" w:themeColor="text1"/>
          <w:szCs w:val="22"/>
        </w:rPr>
        <w:t xml:space="preserve"> T</w:t>
      </w:r>
      <w:r w:rsidRPr="00121BDA">
        <w:rPr>
          <w:color w:val="000000" w:themeColor="text1"/>
          <w:szCs w:val="22"/>
        </w:rPr>
        <w:t xml:space="preserve">he critical point is that, whilst they may differ in many respects from the traditional Western exemplar, these unorthodox models of democracy </w:t>
      </w:r>
      <w:r w:rsidR="00611994" w:rsidRPr="00121BDA">
        <w:rPr>
          <w:color w:val="000000" w:themeColor="text1"/>
          <w:szCs w:val="22"/>
        </w:rPr>
        <w:t>must</w:t>
      </w:r>
      <w:r w:rsidRPr="00121BDA">
        <w:rPr>
          <w:color w:val="000000" w:themeColor="text1"/>
          <w:szCs w:val="22"/>
        </w:rPr>
        <w:t xml:space="preserve"> all still share basic common accepted democratic values</w:t>
      </w:r>
      <w:r w:rsidRPr="00121BDA">
        <w:rPr>
          <w:i/>
          <w:iCs/>
          <w:color w:val="000000" w:themeColor="text1"/>
          <w:szCs w:val="22"/>
        </w:rPr>
        <w:t>.</w:t>
      </w:r>
      <w:r w:rsidRPr="00121BDA">
        <w:rPr>
          <w:color w:val="000000" w:themeColor="text1"/>
          <w:szCs w:val="22"/>
        </w:rPr>
        <w:t xml:space="preserve"> </w:t>
      </w:r>
    </w:p>
    <w:p w14:paraId="59D81626" w14:textId="77777777" w:rsidR="00DC404C" w:rsidRPr="00121BDA" w:rsidRDefault="00DC404C">
      <w:pPr>
        <w:rPr>
          <w:color w:val="000000" w:themeColor="text1"/>
          <w:szCs w:val="22"/>
        </w:rPr>
      </w:pPr>
    </w:p>
    <w:p w14:paraId="51D69FF9" w14:textId="1DD0AAF7" w:rsidR="00DC404C" w:rsidRPr="00121BDA" w:rsidRDefault="00DF570B" w:rsidP="00611994">
      <w:pPr>
        <w:rPr>
          <w:color w:val="000000" w:themeColor="text1"/>
        </w:rPr>
      </w:pPr>
      <w:r w:rsidRPr="00121BDA">
        <w:rPr>
          <w:color w:val="000000" w:themeColor="text1"/>
          <w:szCs w:val="22"/>
        </w:rPr>
        <w:t>The second criterion specifies that sub-models must be drawn from societies in which the military plays a signi</w:t>
      </w:r>
      <w:r w:rsidR="00523C52">
        <w:rPr>
          <w:color w:val="000000" w:themeColor="text1"/>
          <w:szCs w:val="22"/>
        </w:rPr>
        <w:t>ficant and well-recognised role;</w:t>
      </w:r>
      <w:r w:rsidRPr="00121BDA">
        <w:rPr>
          <w:color w:val="000000" w:themeColor="text1"/>
          <w:szCs w:val="22"/>
        </w:rPr>
        <w:t xml:space="preserve"> </w:t>
      </w:r>
      <w:r w:rsidR="00611994" w:rsidRPr="00121BDA">
        <w:rPr>
          <w:color w:val="000000" w:themeColor="text1"/>
          <w:szCs w:val="22"/>
        </w:rPr>
        <w:t>it is not sufficient for it to hold</w:t>
      </w:r>
      <w:r w:rsidRPr="00121BDA">
        <w:rPr>
          <w:color w:val="000000" w:themeColor="text1"/>
          <w:szCs w:val="22"/>
        </w:rPr>
        <w:t xml:space="preserve"> a purely a ceremonial position</w:t>
      </w:r>
      <w:r w:rsidR="00611994" w:rsidRPr="00121BDA">
        <w:rPr>
          <w:color w:val="000000" w:themeColor="text1"/>
          <w:szCs w:val="22"/>
        </w:rPr>
        <w:t xml:space="preserve"> in society</w:t>
      </w:r>
      <w:r w:rsidRPr="00121BDA">
        <w:rPr>
          <w:color w:val="000000" w:themeColor="text1"/>
          <w:szCs w:val="22"/>
        </w:rPr>
        <w:t xml:space="preserve">, or </w:t>
      </w:r>
      <w:r w:rsidR="00611994" w:rsidRPr="00121BDA">
        <w:rPr>
          <w:color w:val="000000" w:themeColor="text1"/>
          <w:szCs w:val="22"/>
        </w:rPr>
        <w:t>for it to be</w:t>
      </w:r>
      <w:r w:rsidRPr="00121BDA">
        <w:rPr>
          <w:color w:val="000000" w:themeColor="text1"/>
          <w:szCs w:val="22"/>
        </w:rPr>
        <w:t xml:space="preserve"> little more than an inconsequential player in state affairs. In post-conflict situations local military forces are </w:t>
      </w:r>
      <w:r w:rsidR="00611994" w:rsidRPr="00121BDA">
        <w:rPr>
          <w:color w:val="000000" w:themeColor="text1"/>
          <w:szCs w:val="22"/>
        </w:rPr>
        <w:t>likely to</w:t>
      </w:r>
      <w:r w:rsidRPr="00121BDA">
        <w:rPr>
          <w:color w:val="000000" w:themeColor="text1"/>
          <w:szCs w:val="22"/>
        </w:rPr>
        <w:t xml:space="preserve"> figure strongly in any peacebuilding and reform agenda, and in such scenarios any proposed civil-military relations solution must take this into account. This is recognised in the strong links that exists between the aims of disarmament, demobilisation and reintegration (DDR) programmes and SSR.</w:t>
      </w:r>
      <w:r w:rsidRPr="00121BDA">
        <w:rPr>
          <w:rStyle w:val="EndnoteReference"/>
          <w:color w:val="000000" w:themeColor="text1"/>
          <w:szCs w:val="22"/>
        </w:rPr>
        <w:endnoteReference w:id="36"/>
      </w:r>
      <w:r w:rsidRPr="00121BDA">
        <w:rPr>
          <w:color w:val="000000" w:themeColor="text1"/>
          <w:szCs w:val="22"/>
        </w:rPr>
        <w:t xml:space="preserve"> Both processes deal with the issues of dismantling illegal military forces, planning and implementing the </w:t>
      </w:r>
      <w:r w:rsidRPr="00121BDA">
        <w:rPr>
          <w:color w:val="000000" w:themeColor="text1"/>
          <w:szCs w:val="22"/>
        </w:rPr>
        <w:lastRenderedPageBreak/>
        <w:t>size and structure of the legitimate armed forces of the state, and the subsequent relationship between those forces and wider society. For this reason, potential sub-models must offer solutions that address this issue of military significance.</w:t>
      </w:r>
    </w:p>
    <w:p w14:paraId="31C3EA13" w14:textId="77777777" w:rsidR="00DC404C" w:rsidRPr="00121BDA" w:rsidRDefault="00DC404C">
      <w:pPr>
        <w:rPr>
          <w:color w:val="000000" w:themeColor="text1"/>
          <w:szCs w:val="22"/>
        </w:rPr>
      </w:pPr>
    </w:p>
    <w:p w14:paraId="43F7B3D8" w14:textId="6B91D231" w:rsidR="00DC404C" w:rsidRPr="00121BDA" w:rsidRDefault="00DF570B" w:rsidP="00645F3F">
      <w:pPr>
        <w:rPr>
          <w:color w:val="000000" w:themeColor="text1"/>
        </w:rPr>
      </w:pPr>
      <w:r w:rsidRPr="00121BDA">
        <w:rPr>
          <w:color w:val="000000" w:themeColor="text1"/>
          <w:szCs w:val="22"/>
        </w:rPr>
        <w:t xml:space="preserve">The third and final criterion is that of the existence, perceived or otherwise, of an </w:t>
      </w:r>
      <w:r w:rsidR="00611994" w:rsidRPr="00121BDA">
        <w:rPr>
          <w:color w:val="000000" w:themeColor="text1"/>
          <w:szCs w:val="22"/>
        </w:rPr>
        <w:t xml:space="preserve">potentially </w:t>
      </w:r>
      <w:r w:rsidRPr="00121BDA">
        <w:rPr>
          <w:color w:val="000000" w:themeColor="text1"/>
          <w:szCs w:val="22"/>
        </w:rPr>
        <w:t xml:space="preserve">existential threat to the state, whether it be external or internal. There have been several civil-military relations theorists who have discussed the place that threat plays in determining the nature of the relationship that is required in order for the civil government to exercise control over the military. These include Lasswell, </w:t>
      </w:r>
      <w:proofErr w:type="spellStart"/>
      <w:r w:rsidRPr="00121BDA">
        <w:rPr>
          <w:color w:val="000000" w:themeColor="text1"/>
          <w:szCs w:val="22"/>
        </w:rPr>
        <w:t>Andreski</w:t>
      </w:r>
      <w:proofErr w:type="spellEnd"/>
      <w:r w:rsidRPr="00121BDA">
        <w:rPr>
          <w:color w:val="000000" w:themeColor="text1"/>
          <w:szCs w:val="22"/>
        </w:rPr>
        <w:t xml:space="preserve"> and more recently, and in most depth, </w:t>
      </w:r>
      <w:proofErr w:type="spellStart"/>
      <w:r w:rsidRPr="00121BDA">
        <w:rPr>
          <w:color w:val="000000" w:themeColor="text1"/>
          <w:szCs w:val="22"/>
        </w:rPr>
        <w:t>Desch</w:t>
      </w:r>
      <w:proofErr w:type="spellEnd"/>
      <w:r w:rsidRPr="00121BDA">
        <w:rPr>
          <w:color w:val="000000" w:themeColor="text1"/>
          <w:szCs w:val="22"/>
        </w:rPr>
        <w:t>.</w:t>
      </w:r>
      <w:r w:rsidRPr="00121BDA">
        <w:rPr>
          <w:rStyle w:val="EndnoteReference"/>
          <w:color w:val="000000" w:themeColor="text1"/>
          <w:szCs w:val="22"/>
        </w:rPr>
        <w:endnoteReference w:id="37"/>
      </w:r>
      <w:r w:rsidRPr="00121BDA">
        <w:rPr>
          <w:color w:val="000000" w:themeColor="text1"/>
          <w:szCs w:val="22"/>
        </w:rPr>
        <w:t xml:space="preserve"> However, whether you subscribe to any of these particular theories or none, the way in which a state contrives to organise itself in a situation in which it perceives no significant threat to its own existence is likely to be very different from that which it is willing to employ if it feels it’s very survival is in question. This is perhaps best illustrated by considering the exceptional civil-military relationships that were established </w:t>
      </w:r>
      <w:r w:rsidR="00645F3F" w:rsidRPr="00121BDA">
        <w:rPr>
          <w:color w:val="000000" w:themeColor="text1"/>
          <w:szCs w:val="22"/>
        </w:rPr>
        <w:t>in</w:t>
      </w:r>
      <w:r w:rsidRPr="00121BDA">
        <w:rPr>
          <w:color w:val="000000" w:themeColor="text1"/>
          <w:szCs w:val="22"/>
        </w:rPr>
        <w:t xml:space="preserve"> the United States during the second world war.</w:t>
      </w:r>
      <w:r w:rsidR="00A47974" w:rsidRPr="00121BDA">
        <w:rPr>
          <w:rStyle w:val="EndnoteReference"/>
          <w:color w:val="000000" w:themeColor="text1"/>
          <w:szCs w:val="22"/>
        </w:rPr>
        <w:endnoteReference w:id="38"/>
      </w:r>
      <w:r w:rsidRPr="00121BDA">
        <w:rPr>
          <w:color w:val="000000" w:themeColor="text1"/>
          <w:szCs w:val="22"/>
        </w:rPr>
        <w:t xml:space="preserve"> The structures of governance and decision making that were put in place at this time recognised the need for more power to be placed in military hands, compared with the peacetime norm, and priorities were much more focused on military issues. In the same way, when dealing with post-conflict situations in which the risk of a resumption of hostilities will always be present, either in the form of external or internal threats, the ability of a possible sub-model to address these issues is essential.</w:t>
      </w:r>
    </w:p>
    <w:p w14:paraId="10BB3040" w14:textId="77777777" w:rsidR="00DC404C" w:rsidRPr="00121BDA" w:rsidRDefault="00DC404C">
      <w:pPr>
        <w:rPr>
          <w:color w:val="000000" w:themeColor="text1"/>
          <w:szCs w:val="22"/>
        </w:rPr>
      </w:pPr>
    </w:p>
    <w:p w14:paraId="7836C55D" w14:textId="6917E13D" w:rsidR="00DC404C" w:rsidRPr="00121BDA" w:rsidRDefault="00DF570B" w:rsidP="00645F3F">
      <w:pPr>
        <w:rPr>
          <w:color w:val="000000" w:themeColor="text1"/>
        </w:rPr>
      </w:pPr>
      <w:r w:rsidRPr="00121BDA">
        <w:rPr>
          <w:color w:val="000000" w:themeColor="text1"/>
          <w:szCs w:val="22"/>
        </w:rPr>
        <w:t>Meeting these three selection criteria alone does not guarantee that a state will yield suitable sub-models of civil-military relations that could be used to help develop alternative SSR models - the criteria are merely initial fi</w:t>
      </w:r>
      <w:r w:rsidR="00645F3F" w:rsidRPr="00121BDA">
        <w:rPr>
          <w:color w:val="000000" w:themeColor="text1"/>
          <w:szCs w:val="22"/>
        </w:rPr>
        <w:t xml:space="preserve">lters that can help </w:t>
      </w:r>
      <w:r w:rsidRPr="00121BDA">
        <w:rPr>
          <w:color w:val="000000" w:themeColor="text1"/>
          <w:szCs w:val="22"/>
        </w:rPr>
        <w:t xml:space="preserve">to eliminate </w:t>
      </w:r>
      <w:r w:rsidRPr="00121BDA">
        <w:rPr>
          <w:color w:val="000000" w:themeColor="text1"/>
          <w:szCs w:val="22"/>
        </w:rPr>
        <w:lastRenderedPageBreak/>
        <w:t xml:space="preserve">options that are outside the boundaries of the acceptable. Having passed through that filter, each would then need to be analysed and judged on its merits, which will undoubtedly prove to be a time-consuming task. That having been said, there is no need to start completely from scratch and there are cases where much research has already been undertaken, and which would seem to suggest that they may be </w:t>
      </w:r>
      <w:r w:rsidR="00645F3F" w:rsidRPr="00121BDA">
        <w:rPr>
          <w:color w:val="000000" w:themeColor="text1"/>
          <w:szCs w:val="22"/>
        </w:rPr>
        <w:t>useful</w:t>
      </w:r>
      <w:r w:rsidRPr="00121BDA">
        <w:rPr>
          <w:color w:val="000000" w:themeColor="text1"/>
          <w:szCs w:val="22"/>
        </w:rPr>
        <w:t xml:space="preserve"> fields for further study. Examples of possible candidates that readily come to mind are South Korea, Taiwan, India and Israel. The first two are relatively new democracies (1998 and 1992 respectively) and are interesting because they have only recently undergone a process of SSR themselves.</w:t>
      </w:r>
      <w:r w:rsidRPr="00121BDA">
        <w:rPr>
          <w:rStyle w:val="EndnoteReference"/>
          <w:color w:val="000000" w:themeColor="text1"/>
          <w:szCs w:val="22"/>
        </w:rPr>
        <w:endnoteReference w:id="39"/>
      </w:r>
      <w:r w:rsidRPr="00121BDA">
        <w:rPr>
          <w:color w:val="000000" w:themeColor="text1"/>
          <w:szCs w:val="22"/>
        </w:rPr>
        <w:t xml:space="preserve"> The second two are similar to each other in that they have longer democratic pedigrees, but their con</w:t>
      </w:r>
      <w:r w:rsidR="00645F3F" w:rsidRPr="00121BDA">
        <w:rPr>
          <w:color w:val="000000" w:themeColor="text1"/>
          <w:szCs w:val="22"/>
        </w:rPr>
        <w:t>siderable disparities in history</w:t>
      </w:r>
      <w:r w:rsidRPr="00121BDA">
        <w:rPr>
          <w:color w:val="000000" w:themeColor="text1"/>
          <w:szCs w:val="22"/>
        </w:rPr>
        <w:t xml:space="preserve">, culture, size and background have produced very different civil-military relationships. </w:t>
      </w:r>
      <w:r w:rsidR="00645F3F" w:rsidRPr="00121BDA">
        <w:rPr>
          <w:color w:val="000000" w:themeColor="text1"/>
          <w:szCs w:val="22"/>
        </w:rPr>
        <w:t>All</w:t>
      </w:r>
      <w:r w:rsidRPr="00121BDA">
        <w:rPr>
          <w:color w:val="000000" w:themeColor="text1"/>
          <w:szCs w:val="22"/>
        </w:rPr>
        <w:t xml:space="preserve"> of these would merit further study and </w:t>
      </w:r>
      <w:r w:rsidR="00645F3F" w:rsidRPr="00121BDA">
        <w:rPr>
          <w:color w:val="000000" w:themeColor="text1"/>
          <w:szCs w:val="22"/>
        </w:rPr>
        <w:t>each has</w:t>
      </w:r>
      <w:r w:rsidRPr="00121BDA">
        <w:rPr>
          <w:color w:val="000000" w:themeColor="text1"/>
          <w:szCs w:val="22"/>
        </w:rPr>
        <w:t xml:space="preserve"> the potential to produce a number of useful, non-orthodox sub-models.</w:t>
      </w:r>
    </w:p>
    <w:p w14:paraId="683E70E0" w14:textId="77777777" w:rsidR="00DC404C" w:rsidRPr="00121BDA" w:rsidRDefault="00DC404C">
      <w:pPr>
        <w:rPr>
          <w:color w:val="000000" w:themeColor="text1"/>
          <w:szCs w:val="22"/>
        </w:rPr>
      </w:pPr>
    </w:p>
    <w:p w14:paraId="3E7D3763" w14:textId="67C2655C" w:rsidR="00DC404C" w:rsidRPr="00121BDA" w:rsidRDefault="00DF570B" w:rsidP="00645F3F">
      <w:pPr>
        <w:rPr>
          <w:color w:val="000000" w:themeColor="text1"/>
          <w:szCs w:val="22"/>
        </w:rPr>
      </w:pPr>
      <w:r w:rsidRPr="00121BDA">
        <w:rPr>
          <w:color w:val="000000" w:themeColor="text1"/>
          <w:szCs w:val="22"/>
        </w:rPr>
        <w:t xml:space="preserve">Whichever alternative models are reviewed, it will be necessary to break them down into their constituent parts and examine each aspect in some detail. Only in this way will it be possible to identify elements of their civil-military relationships that </w:t>
      </w:r>
      <w:r w:rsidR="00645F3F" w:rsidRPr="00121BDA">
        <w:rPr>
          <w:color w:val="000000" w:themeColor="text1"/>
          <w:szCs w:val="22"/>
        </w:rPr>
        <w:t xml:space="preserve">might </w:t>
      </w:r>
      <w:r w:rsidRPr="00121BDA">
        <w:rPr>
          <w:color w:val="000000" w:themeColor="text1"/>
          <w:szCs w:val="22"/>
        </w:rPr>
        <w:t>contribute to hybrid constructs</w:t>
      </w:r>
      <w:r w:rsidR="00645F3F" w:rsidRPr="00121BDA">
        <w:rPr>
          <w:color w:val="000000" w:themeColor="text1"/>
          <w:szCs w:val="22"/>
        </w:rPr>
        <w:t xml:space="preserve">, </w:t>
      </w:r>
      <w:r w:rsidRPr="00121BDA">
        <w:rPr>
          <w:color w:val="000000" w:themeColor="text1"/>
          <w:szCs w:val="22"/>
        </w:rPr>
        <w:t xml:space="preserve">which could </w:t>
      </w:r>
      <w:r w:rsidR="00645F3F" w:rsidRPr="00121BDA">
        <w:rPr>
          <w:color w:val="000000" w:themeColor="text1"/>
          <w:szCs w:val="22"/>
        </w:rPr>
        <w:t xml:space="preserve">subsequently </w:t>
      </w:r>
      <w:r w:rsidRPr="00121BDA">
        <w:rPr>
          <w:color w:val="000000" w:themeColor="text1"/>
          <w:szCs w:val="22"/>
        </w:rPr>
        <w:t xml:space="preserve">support specific post-conflict SSR programmes. It will also be critical to identify any necessary pre-conditions that are required for any given sub-model to be applicable. It is perfectly feasible that some feature of the way in which the civil-military relations works in one country is only possible because of an historical or cultural nuance that is unlikely to be replicated elsewhere. If so, then this will need to be noted. Equally, it may be that similarities between otherwise apparently very different situations can be detected when the analysis is carried out, hence providing previously unseen potential for adoption. </w:t>
      </w:r>
    </w:p>
    <w:p w14:paraId="64C2AE06" w14:textId="77777777" w:rsidR="00DC404C" w:rsidRPr="00121BDA" w:rsidRDefault="00DF570B">
      <w:pPr>
        <w:pStyle w:val="Heading2"/>
        <w:rPr>
          <w:color w:val="000000" w:themeColor="text1"/>
        </w:rPr>
      </w:pPr>
      <w:r w:rsidRPr="00121BDA">
        <w:rPr>
          <w:color w:val="000000" w:themeColor="text1"/>
        </w:rPr>
        <w:lastRenderedPageBreak/>
        <w:t>Conclusion</w:t>
      </w:r>
    </w:p>
    <w:p w14:paraId="4F3DF5A0" w14:textId="0355463C" w:rsidR="00645F3F" w:rsidRPr="00121BDA" w:rsidRDefault="00DF570B">
      <w:pPr>
        <w:rPr>
          <w:color w:val="000000" w:themeColor="text1"/>
          <w:szCs w:val="22"/>
        </w:rPr>
      </w:pPr>
      <w:r w:rsidRPr="00121BDA">
        <w:rPr>
          <w:color w:val="000000" w:themeColor="text1"/>
          <w:szCs w:val="22"/>
        </w:rPr>
        <w:t>All of the recent literature on SSR, both discursive and prescriptive, points towards the need to make programmes more culturally relevant and locally owned. In order to do this, and to avoid setting outcomes and objectives that are based on inappropriate Western, liberal-democratic civil-military norms, programme designers require a pool of non-orthodox sub-models addressing the various lower-level elements of each of the strands of SSR. It is hard to be certain at this stage what precise topics these would cover as the number and type of sub-models within the wider security sector is almost limitless. However, for defence reform these could include</w:t>
      </w:r>
      <w:r w:rsidR="00645F3F" w:rsidRPr="00121BDA">
        <w:rPr>
          <w:color w:val="000000" w:themeColor="text1"/>
          <w:szCs w:val="22"/>
        </w:rPr>
        <w:t>, amongst many others,</w:t>
      </w:r>
      <w:r w:rsidRPr="00121BDA">
        <w:rPr>
          <w:color w:val="000000" w:themeColor="text1"/>
          <w:szCs w:val="22"/>
        </w:rPr>
        <w:t xml:space="preserve"> such aspects as</w:t>
      </w:r>
      <w:r w:rsidR="00645F3F" w:rsidRPr="00121BDA">
        <w:rPr>
          <w:color w:val="000000" w:themeColor="text1"/>
          <w:szCs w:val="22"/>
        </w:rPr>
        <w:t>:</w:t>
      </w:r>
      <w:r w:rsidRPr="00121BDA">
        <w:rPr>
          <w:color w:val="000000" w:themeColor="text1"/>
          <w:szCs w:val="22"/>
        </w:rPr>
        <w:t xml:space="preserve"> </w:t>
      </w:r>
    </w:p>
    <w:p w14:paraId="3C589F95" w14:textId="77777777" w:rsidR="00645F3F" w:rsidRPr="00121BDA" w:rsidRDefault="00DF570B" w:rsidP="00645F3F">
      <w:pPr>
        <w:pStyle w:val="ListParagraph"/>
        <w:numPr>
          <w:ilvl w:val="0"/>
          <w:numId w:val="4"/>
        </w:numPr>
        <w:rPr>
          <w:color w:val="000000" w:themeColor="text1"/>
          <w:szCs w:val="22"/>
        </w:rPr>
      </w:pPr>
      <w:r w:rsidRPr="00121BDA">
        <w:rPr>
          <w:color w:val="000000" w:themeColor="text1"/>
          <w:szCs w:val="22"/>
        </w:rPr>
        <w:t xml:space="preserve">the degree and nature of military input to planning and policy making; </w:t>
      </w:r>
    </w:p>
    <w:p w14:paraId="1E7FB8B3" w14:textId="77777777" w:rsidR="00645F3F" w:rsidRPr="00121BDA" w:rsidRDefault="00DF570B" w:rsidP="00645F3F">
      <w:pPr>
        <w:pStyle w:val="ListParagraph"/>
        <w:numPr>
          <w:ilvl w:val="0"/>
          <w:numId w:val="4"/>
        </w:numPr>
        <w:rPr>
          <w:color w:val="000000" w:themeColor="text1"/>
          <w:szCs w:val="22"/>
        </w:rPr>
      </w:pPr>
      <w:r w:rsidRPr="00121BDA">
        <w:rPr>
          <w:color w:val="000000" w:themeColor="text1"/>
          <w:szCs w:val="22"/>
        </w:rPr>
        <w:t xml:space="preserve">the significance placed on the military in politics and government; </w:t>
      </w:r>
    </w:p>
    <w:p w14:paraId="5FB25C2A" w14:textId="77777777" w:rsidR="00645F3F" w:rsidRPr="00121BDA" w:rsidRDefault="00DF570B" w:rsidP="00645F3F">
      <w:pPr>
        <w:pStyle w:val="ListParagraph"/>
        <w:numPr>
          <w:ilvl w:val="0"/>
          <w:numId w:val="4"/>
        </w:numPr>
        <w:rPr>
          <w:color w:val="000000" w:themeColor="text1"/>
          <w:szCs w:val="22"/>
        </w:rPr>
      </w:pPr>
      <w:r w:rsidRPr="00121BDA">
        <w:rPr>
          <w:color w:val="000000" w:themeColor="text1"/>
          <w:szCs w:val="22"/>
        </w:rPr>
        <w:t xml:space="preserve">the relationship and division of tasks between civil police and military; </w:t>
      </w:r>
    </w:p>
    <w:p w14:paraId="422507F4" w14:textId="77777777" w:rsidR="00645F3F" w:rsidRPr="00121BDA" w:rsidRDefault="00DF570B" w:rsidP="00645F3F">
      <w:pPr>
        <w:pStyle w:val="ListParagraph"/>
        <w:numPr>
          <w:ilvl w:val="0"/>
          <w:numId w:val="4"/>
        </w:numPr>
        <w:rPr>
          <w:color w:val="000000" w:themeColor="text1"/>
          <w:szCs w:val="22"/>
        </w:rPr>
      </w:pPr>
      <w:r w:rsidRPr="00121BDA">
        <w:rPr>
          <w:color w:val="000000" w:themeColor="text1"/>
          <w:szCs w:val="22"/>
        </w:rPr>
        <w:t xml:space="preserve">the nature and structure of civil judicial oversight of the military; </w:t>
      </w:r>
    </w:p>
    <w:p w14:paraId="51C6ED70" w14:textId="77777777" w:rsidR="00645F3F" w:rsidRPr="00121BDA" w:rsidRDefault="00DF570B" w:rsidP="00645F3F">
      <w:pPr>
        <w:pStyle w:val="ListParagraph"/>
        <w:numPr>
          <w:ilvl w:val="0"/>
          <w:numId w:val="4"/>
        </w:numPr>
        <w:rPr>
          <w:color w:val="000000" w:themeColor="text1"/>
          <w:szCs w:val="22"/>
        </w:rPr>
      </w:pPr>
      <w:r w:rsidRPr="00121BDA">
        <w:rPr>
          <w:color w:val="000000" w:themeColor="text1"/>
          <w:szCs w:val="22"/>
        </w:rPr>
        <w:t xml:space="preserve">any methods of dealing with religious or ethnic divisions between members of the armed forces; </w:t>
      </w:r>
    </w:p>
    <w:p w14:paraId="42A95E3B" w14:textId="77777777" w:rsidR="00645F3F" w:rsidRPr="00121BDA" w:rsidRDefault="00DF570B" w:rsidP="00645F3F">
      <w:pPr>
        <w:pStyle w:val="ListParagraph"/>
        <w:numPr>
          <w:ilvl w:val="0"/>
          <w:numId w:val="4"/>
        </w:numPr>
        <w:rPr>
          <w:color w:val="000000" w:themeColor="text1"/>
          <w:szCs w:val="22"/>
        </w:rPr>
      </w:pPr>
      <w:r w:rsidRPr="00121BDA">
        <w:rPr>
          <w:color w:val="000000" w:themeColor="text1"/>
          <w:szCs w:val="22"/>
        </w:rPr>
        <w:t xml:space="preserve">the position and roles of the military within society as a whole. </w:t>
      </w:r>
    </w:p>
    <w:p w14:paraId="1B9B0CF3" w14:textId="7690C3F0" w:rsidR="00DC404C" w:rsidRPr="00121BDA" w:rsidRDefault="00DF570B" w:rsidP="00645F3F">
      <w:pPr>
        <w:rPr>
          <w:color w:val="000000" w:themeColor="text1"/>
          <w:szCs w:val="22"/>
        </w:rPr>
      </w:pPr>
      <w:r w:rsidRPr="00121BDA">
        <w:rPr>
          <w:color w:val="000000" w:themeColor="text1"/>
          <w:szCs w:val="22"/>
        </w:rPr>
        <w:t>It may be for example that, in some circumstances, the way in which manning and recruitment is managed and overseen in order to achieve an ethnic or religious balance might prove to be of value, whilst in others a sub-model that dealt with the use of the military in non-martial tasks to support the development of the nation could be more relevant. In the end, it is only after an initial programme assessment has taken place that it would be possible, in any given case, to more clearly identify which sub-models might be required in order to build up a culturally appropriate and practical bespoke solution for that particular situation.</w:t>
      </w:r>
    </w:p>
    <w:p w14:paraId="264C87EB" w14:textId="77777777" w:rsidR="00DC404C" w:rsidRPr="00121BDA" w:rsidRDefault="00DC404C">
      <w:pPr>
        <w:rPr>
          <w:color w:val="000000" w:themeColor="text1"/>
          <w:szCs w:val="22"/>
        </w:rPr>
      </w:pPr>
    </w:p>
    <w:p w14:paraId="6106FA57" w14:textId="286D024D" w:rsidR="00DC404C" w:rsidRPr="00121BDA" w:rsidRDefault="00DF570B" w:rsidP="00387235">
      <w:pPr>
        <w:rPr>
          <w:color w:val="000000" w:themeColor="text1"/>
        </w:rPr>
      </w:pPr>
      <w:r w:rsidRPr="00121BDA">
        <w:rPr>
          <w:color w:val="000000" w:themeColor="text1"/>
          <w:szCs w:val="22"/>
        </w:rPr>
        <w:t>When coupled with other suggestions for improvement in SSR - the most important of which is probably the need to take a much longer-term view when drawing up timetables for reform – the use of non-orthodox sub-models could greatly enhance the possibility of successful  transformations in post-conflict states. The aim would be to at least reduce the level of Western bias that is currently, almost by default, found in SSR programmes, and to create a more culturally adaptable approach. This way, in future post-conflict situations, it should be possible to successfully stimulate locally-led, progressive evolutionary reforms of the security sector, rather than continually trying, unsuccessfully, to create externally-driven revolutionary changes.</w:t>
      </w:r>
      <w:r w:rsidR="0073064D" w:rsidRPr="00121BDA">
        <w:rPr>
          <w:color w:val="000000" w:themeColor="text1"/>
          <w:szCs w:val="22"/>
        </w:rPr>
        <w:t xml:space="preserve"> </w:t>
      </w:r>
    </w:p>
    <w:p w14:paraId="63BECFBE" w14:textId="77777777" w:rsidR="00DC404C" w:rsidRPr="00121BDA" w:rsidRDefault="00DC404C">
      <w:pPr>
        <w:rPr>
          <w:color w:val="000000" w:themeColor="text1"/>
          <w:szCs w:val="22"/>
        </w:rPr>
      </w:pPr>
    </w:p>
    <w:p w14:paraId="2A349AB2" w14:textId="77777777" w:rsidR="00DC404C" w:rsidRPr="00121BDA" w:rsidRDefault="00DC404C">
      <w:pPr>
        <w:pageBreakBefore/>
        <w:rPr>
          <w:color w:val="000000" w:themeColor="text1"/>
          <w:szCs w:val="22"/>
        </w:rPr>
      </w:pPr>
    </w:p>
    <w:p w14:paraId="3F1F5D01" w14:textId="77777777" w:rsidR="00DC404C" w:rsidRPr="00121BDA" w:rsidRDefault="00DC404C">
      <w:pPr>
        <w:widowControl w:val="0"/>
        <w:autoSpaceDE w:val="0"/>
        <w:spacing w:after="240" w:line="240" w:lineRule="auto"/>
        <w:ind w:left="480" w:hanging="480"/>
        <w:rPr>
          <w:color w:val="000000" w:themeColor="text1"/>
        </w:rPr>
      </w:pPr>
    </w:p>
    <w:sectPr w:rsidR="00DC404C" w:rsidRPr="00121BDA">
      <w:footerReference w:type="even" r:id="rId9"/>
      <w:footerReference w:type="default" r:id="rId10"/>
      <w:endnotePr>
        <w:numFmt w:val="decimal"/>
      </w:endnotePr>
      <w:pgSz w:w="11900" w:h="16840"/>
      <w:pgMar w:top="1418" w:right="1701" w:bottom="1740" w:left="1701"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ED194" w14:textId="77777777" w:rsidR="00F0090E" w:rsidRDefault="00F0090E">
      <w:pPr>
        <w:spacing w:line="240" w:lineRule="auto"/>
      </w:pPr>
      <w:r>
        <w:separator/>
      </w:r>
    </w:p>
  </w:endnote>
  <w:endnote w:type="continuationSeparator" w:id="0">
    <w:p w14:paraId="2084B411" w14:textId="77777777" w:rsidR="00F0090E" w:rsidRDefault="00F0090E">
      <w:pPr>
        <w:spacing w:line="240" w:lineRule="auto"/>
      </w:pPr>
      <w:r>
        <w:continuationSeparator/>
      </w:r>
    </w:p>
  </w:endnote>
  <w:endnote w:id="1">
    <w:p w14:paraId="2FABF50E" w14:textId="0B212CC5" w:rsidR="00DC404C" w:rsidRDefault="00DF570B" w:rsidP="00F61E31">
      <w:pPr>
        <w:pStyle w:val="EndnoteText"/>
      </w:pPr>
      <w:r>
        <w:rPr>
          <w:rStyle w:val="EndnoteReference"/>
        </w:rPr>
        <w:endnoteRef/>
      </w:r>
      <w:r w:rsidR="00D30146">
        <w:t xml:space="preserve"> </w:t>
      </w:r>
      <w:r w:rsidR="00D30146">
        <w:fldChar w:fldCharType="begin" w:fldLock="1"/>
      </w:r>
      <w:r w:rsidR="00D30146">
        <w:instrText>ADDIN CSL_CITATION { "citationItems" : [ { "id" : "ITEM-1", "itemData" : { "ISBN" : "0-7432-3049-3", "abstract" : "The orthodoxy regarding the relationship between politicians and military leaders in wartime democracies contends that politicians should declare a military operation's objectives and then step aside and leave the business of war to the military. In this timely and controversial examination of civilian-military relations in wartime democracies, Eliot A. Cohen chips away at this time-honored belief with case studies of statesmen who dared to prod, provoke, and even defy their military officers to great effect.", "author" : [ { "dropping-particle" : "", "family" : "Cohen", "given" : "Eliot", "non-dropping-particle" : "", "parse-names" : false, "suffix" : "" } ], "id" : "ITEM-1", "issued" : { "date-parts" : [ [ "2002" ] ] }, "note" : "Normal theory of CMR is on pages 4-7", "publisher" : "The Free Press", "publisher-place" : "New York", "title" : "Supreme Command", "type" : "book" }, "locator" : "4-7", "uris" : [ "http://www.mendeley.com/documents/?uuid=b217e1c2-e4b0-4b76-b250-02f745b4e27f" ] } ], "mendeley" : { "formattedCitation" : "Eliot Cohen, &lt;i&gt;Supreme Command&lt;/i&gt; (New York: The Free Press, 2002), 4\u20137.", "plainTextFormattedCitation" : "Eliot Cohen, Supreme Command (New York: The Free Press, 2002), 4\u20137.", "previouslyFormattedCitation" : "Eliot Cohen, &lt;i&gt;Supreme Command&lt;/i&gt; (New York: The Free Press, 2002), 4\u20137." }, "properties" : { "noteIndex" : 0 }, "schema" : "https://github.com/citation-style-language/schema/raw/master/csl-citation.json" }</w:instrText>
      </w:r>
      <w:r w:rsidR="00D30146">
        <w:fldChar w:fldCharType="separate"/>
      </w:r>
      <w:r w:rsidR="00D30146" w:rsidRPr="00D30146">
        <w:rPr>
          <w:noProof/>
        </w:rPr>
        <w:t xml:space="preserve">Eliot Cohen, </w:t>
      </w:r>
      <w:r w:rsidR="00D30146" w:rsidRPr="00D30146">
        <w:rPr>
          <w:i/>
          <w:noProof/>
        </w:rPr>
        <w:t>Supreme Command</w:t>
      </w:r>
      <w:r w:rsidR="00D30146" w:rsidRPr="00D30146">
        <w:rPr>
          <w:noProof/>
        </w:rPr>
        <w:t xml:space="preserve"> (New York: The Free Press, 2002), 4–7.</w:t>
      </w:r>
      <w:r w:rsidR="00D30146">
        <w:fldChar w:fldCharType="end"/>
      </w:r>
    </w:p>
  </w:endnote>
  <w:endnote w:id="2">
    <w:p w14:paraId="72E4F98B" w14:textId="052D6495" w:rsidR="00DC404C" w:rsidRDefault="00DF570B" w:rsidP="00F61E31">
      <w:pPr>
        <w:pStyle w:val="EndnoteText"/>
      </w:pPr>
      <w:r>
        <w:rPr>
          <w:rStyle w:val="EndnoteReference"/>
        </w:rPr>
        <w:endnoteRef/>
      </w:r>
      <w:r>
        <w:t xml:space="preserve"> </w:t>
      </w:r>
      <w:r w:rsidR="00D30146">
        <w:fldChar w:fldCharType="begin" w:fldLock="1"/>
      </w:r>
      <w:r w:rsidR="00387235">
        <w:instrText>ADDIN CSL_CITATION { "citationItems" : [ { "id" : "ITEM-1", "itemData" : { "ISBN" : "9780986707704", "abstract" : "A brief, but well-written and easy to digest, summary of where SSR has come from - and where it might be going.", "author" : [ { "dropping-particle" : "", "family" : "Ball", "given" : "Nicole", "non-dropping-particle" : "", "parse-names" : false, "suffix" : "" } ], "chapter-number" : "1", "container-title" : "The Future of Security Sector Reform", "editor" : [ { "dropping-particle" : "", "family" : "Sedra", "given" : "Mark", "non-dropping-particle" : "", "parse-names" : false, "suffix" : "" } ], "id" : "ITEM-1", "issued" : { "date-parts" : [ [ "2010" ] ] }, "note" : "ANNOTATIONS ADD 28\n\nThe overall perspective?\u00a0\u00a0\u00a0\u00a0\u00a0\u00a0\n\u00a0 \nBall gives a clear, straightforward history of SSR, especially how development and security came together.\nHer key point is that whilst SSR is talked about and even sets policy, in fact little actually takes place (and much of what is labelled SSR is really just security assistance - SSR without governance work.\nShe does push the need for local, slow-paced, realistic programmes.\n\u00a0 \nLinks to CMR? \n\u00a0 \nP30 She discusses the civ-mil work carried out during the cold war but claims it was based on poor data with little effort made to understand the political, social and economic dynamics.\n\n\u00a0 \nMeasuring SSR success?\u00a0\u00a0\u00a0\u00a0\u00a0\u00a0\n\u00a0 \nP35 OECD DAC sets much of the SSR agenda. Outline of what SSR is defined as and includes objectives.\n\n\n\u00a0 \nNormative solutions? \n\nP35 Again relates to democratic principles and what the ideal outcome is. Lists the 4 main pillars: clear institutional framework, strengthening governance &amp;amp; oversight, building capable &amp;amp; professional forces, promoting sustainability of justice and security service delivery.\n\nP41 the principles include: accountability, focused on local needs which may take time and require compromise (and a willingness to take risks).\n\n\u00a0 \nOther issues?\n\nP37 et al Makes it clear that SSR is more than just security assistance - it MUST include governance elememnts.\n\nP38 SSR can take place anywhere, not just post-conflict.", "page" : "29-45", "publisher" : "The Centre for International Governance Innovation", "title" : "The Evolution of the Security Sector Reform Agenda", "type" : "chapter" }, "uris" : [ "http://www.mendeley.com/documents/?uuid=ecb46de7-58d5-4767-a45b-aa270e5ca5c1" ] }, { "id" : "ITEM-2", "itemData" : { "ISBN" : "3825890198, 9783825890193", "ISSN" : "17502977", "abstract" : "Post-conflict peacebuilding has become a primary concern of international politics. Indeed, the UN reform agenda \u2013 including the creation of a Peacebuilding Commission \u2013 makes clear that more must be done to prevent societies from falling back into violent struggle. Building up domestic capacity to provide security in an accountable manner plays a crucial role in this context. This volume examines a number of key issues that must be addressed by both post-conflict societies and the international community as they confront the task of rebuilding after armed conflict \u2013 including security sector reform (SSR), disarmament demobilisation and reintegration (DDR), and the rule of law and transitional justice.", "editor" : [ { "dropping-particle" : "", "family" : "Bryden", "given" : "Alan", "non-dropping-particle" : "", "parse-names" : false, "suffix" : "" }, { "dropping-particle" : "", "family" : "Hanggi", "given" : "Heiner", "non-dropping-particle" : "", "parse-names" : false, "suffix" : "" } ], "id" : "ITEM-2", "issued" : { "date-parts" : [ [ "2005" ] ] }, "number-of-pages" : "290", "publisher" : "LIT Verlag and DCAF", "publisher-place" : "Munster and Geneva", "title" : "Security Governance in Post-Conflict Peacebuilding", "type" : "book" }, "uris" : [ "http://www.mendeley.com/documents/?uuid=5a0030da-a4e4-4e9b-857d-2ff2ab047d22" ] }, { "id" : "ITEM-3", "itemData" : { "abstract" : "The paper aims to examine the actual and potential linkages between DDR and SSR programmes and processes, in order to clarify these important issues. In doing so, it aims to contribute to an important and urgent emerging debate for policy-makers and practitioners on how best to operationalise links between SSR and DDR.", "author" : [ { "dropping-particle" : "", "family" : "Greene", "given" : "Owen", "non-dropping-particle" : "", "parse-names" : false, "suffix" : "" }, { "dropping-particle" : "", "family" : "Rynn", "given" : "Simon", "non-dropping-particle" : "", "parse-names" : false, "suffix" : "" } ], "collection-title" : "DDR and Human Security: Post Conflict Security Building and the Interests of the Poor", "id" : "ITEM-3", "issued" : { "date-parts" : [ [ "2008" ] ] }, "number" : "Thematic Working Paper 2", "publisher-place" : "Bradford", "title" : "Linking and Co-ordinating DDR and SSR for Human Security after Conflict: Issues, Experience and Priorities", "type" : "report" }, "uris" : [ "http://www.mendeley.com/documents/?uuid=56b40a32-319b-4b86-bb85-345c74f154d5" ] }, { "id" : "ITEM-4", "itemData" : { "abstract" : "This chapter directly challenges some of the popular security sector reform (SSR) mythology that has grown around the UK\u2019s involvement in Sierra Leone and the subsequent policy developments associated with SSR. It raises questions about the underlying political assumptions of the SSR process and contemporary SSR material, much of which lacks analysis of underlying theories relating to broader state building and construction of a liberal peace.", "author" : [ { "dropping-particle" : "", "family" : "Jackson", "given" : "Paul", "non-dropping-particle" : "", "parse-names" : false, "suffix" : "" } ], "chapter-number" : "7", "container-title" : "The Future of Security Sector Reform", "editor" : [ { "dropping-particle" : "", "family" : "Sedra", "given" : "Mark", "non-dropping-particle" : "", "parse-names" : false, "suffix" : "" } ], "id" : "ITEM-4", "issued" : { "date-parts" : [ [ "2010" ] ] }, "note" : "ANNOTATIONS ADD 117 TO PAGE NUMBERS\n\nThe overall perspective?\u00a0\u00a0\u00a0\n\u00a0\u00a0\u00a0\u00a0 \nP118 Focuses on the practice of SSR in Sierra Leone.\n\nP119 Notes the difference between SSR and SSR in post-conflict states.\n\n\u00a0 \nLinks to CMR? \n\u00a0 \n\u00a0 \nMeasuring SSR success?\u00a0\u00a0\u00a0\u00a0\u00a0\u00a0\u00a0 \n\u00a0 \n\u00a0 \nNormative solutions? \n\nP118 Suggestions that there are 'radically different circumstances' elsewhere and that there is a need to consider the political aspects of SSR.\n\u00a0 \nOther issues?", "page" : "118-135", "publisher" : "The Centre for International Governance Innovation", "title" : "SSR and Post-Conflict Reconstruction The Armed Wing of State Building", "type" : "chapter" }, "uris" : [ "http://www.mendeley.com/documents/?uuid=331d2288-5acd-47f1-8eab-298c73db09e5" ] }, { "id" : "ITEM-5", "itemData" : { "DOI" : "10.1080/13533312.2014.910403", "ISSN" : "1353-3312", "abstract" : "This paper discusses the shortcomings of the established Security Sector Reform (SSR) concept and practice and argues for an overhaul of the ways in which transformations in security spaces are approached. In consideration of the theoretical and practical implications of the quest to involve local actors in SSR, a related research agenda is sketched and a case is made in particular for the inclusion of social anthropological perspectives to foster an empirically grounded evaluation of security governance interactions and transformations in context. This could be relevant to the search for strategies to support longer term facilitation processes and overcome the widespread paternalism in donor-recipient relations.\\nThis paper discusses the shortcomings of the established Security Sector Reform (SSR) concept and practice and argues for an overhaul of the ways in which transformations in security spaces are approached. In consideration of the theoretical and practical implications of the quest to involve local actors in SSR, a related research agenda is sketched and a case is made in particular for the inclusion of social anthropological perspectives to foster an empirically grounded evaluation of security governance interactions and transformations in context. This could be relevant to the search for strategies to support longer term facilitation processes and overcome the widespread paternalism in donor-recipient relations.", "author" : [ { "dropping-particle" : "", "family" : "Mannitz", "given" : "Sabine", "non-dropping-particle" : "", "parse-names" : false, "suffix" : "" } ], "container-title" : "International Peacekeeping", "id" : "ITEM-5", "issue" : "2", "issued" : { "date-parts" : [ [ "2014" ] ] }, "page" : "269-285", "title" : "From Paternalism to Facilitation: SSR Shortcomings and the Potential of Social Anthropological Perspectives", "type" : "article-journal", "volume" : "21" }, "uris" : [ "http://www.mendeley.com/documents/?uuid=63b750d9-4c77-42ae-919d-c72d114a1e05" ] } ], "mendeley" : { "formattedCitation" : "Nicole Ball, \u201cThe Evolution of the Security Sector Reform Agenda,\u201d in &lt;i&gt;The Future of Security Sector Reform&lt;/i&gt;, ed. Mark Sedra (The Centre for International Governance Innovation, 2010), 29\u201345; Alan Bryden and Heiner Hanggi, eds., &lt;i&gt;Security Governance in Post-Conflict Peacebuilding&lt;/i&gt; (Munster and Geneva: LIT Verlag and DCAF, 2005), http://www.dcaf.ch/Publications/Security-Governance-in-Post-Conflict-Peacebuilding; Owen Greene and Simon Rynn, \u201cLinking and Co-Ordinating DDR and SSR for Human Security after Conflict: Issues, Experience and Priorities,\u201d DDR and Human Security: Post Conflict Security Building and the Interests of the Poor (Bradford, 2008); Paul Jackson, \u201cSSR and Post-Conflict Reconstruction The Armed Wing of State Building,\u201d in &lt;i&gt;The Future of Security Sector Reform&lt;/i&gt;, ed. Mark Sedra (The Centre for International Governance Innovation, 2010), 118\u201335; Sabine Mannitz, \u201cFrom Paternalism to Facilitation: SSR Shortcomings and the Potential of Social Anthropological Perspectives,\u201d &lt;i&gt;International Peacekeeping&lt;/i&gt; 21, no. 2 (2014): 269\u201385, doi:10.1080/13533312.2014.910403.", "manualFormatting" : "Nicole Ball, \u201cThe Evolution of the Security Sector Reform Agenda,\u201d in The Future of Security Sector Reform, ed. Mark Sedra (The Centre for International Governance Innovation, 2010), 29\u201345; Alan Bryden and Heiner Hanggi, eds., Security Governance in Post-Conflict Peacebuilding (Munster and Geneva: LIT Verlag and DCAF, 2005), http://www.dcaf.ch/Publications/Security-Governance-in-Post-Conflict-Peacebuilding; Owen Greene and Simon Rynn, \u201cLinking and Co-Ordinating DDR and SSR for Human Security after Conflict: Issues, Experience and Priorities,\u201d DDR and Human Security: Post Conflict Security Building and the Interests of the Poor (Bradford, 2008); Paul Jackson, \u201cSSR and Post-Conflict Reconstruction The Armed Wing of State Building,\u201d in The Future of Security Sector Reform, ed. Mark Sedra (The Centre for International Governance Innovation, 2010), 118\u201335; Sabine Mannitz, \u201cFrom Paternalism to Facilitation: SSR Shortcomings and the Potential of Social Anthropological Perspectives,\u201d International Peacekeeping 21, no. 2 (2014): 269\u201385.", "plainTextFormattedCitation" : "Nicole Ball, \u201cThe Evolution of the Security Sector Reform Agenda,\u201d in The Future of Security Sector Reform, ed. Mark Sedra (The Centre for International Governance Innovation, 2010), 29\u201345; Alan Bryden and Heiner Hanggi, eds., Security Governance in Post-Conflict Peacebuilding (Munster and Geneva: LIT Verlag and DCAF, 2005), http://www.dcaf.ch/Publications/Security-Governance-in-Post-Conflict-Peacebuilding; Owen Greene and Simon Rynn, \u201cLinking and Co-Ordinating DDR and SSR for Human Security after Conflict: Issues, Experience and Priorities,\u201d DDR and Human Security: Post Conflict Security Building and the Interests of the Poor (Bradford, 2008); Paul Jackson, \u201cSSR and Post-Conflict Reconstruction The Armed Wing of State Building,\u201d in The Future of Security Sector Reform, ed. Mark Sedra (The Centre for International Governance Innovation, 2010), 118\u201335; Sabine Mannitz, \u201cFrom Paternalism to Facilitation: SSR Shortcomings and the Potential of Social Anthropological Perspectives,\u201d International Peacekeeping 21, no. 2 (2014): 269\u201385, doi:10.1080/13533312.2014.910403.", "previouslyFormattedCitation" : "Nicole Ball, \u201cThe Evolution of the Security Sector Reform Agenda,\u201d in &lt;i&gt;The Future of Security Sector Reform&lt;/i&gt;, ed. Mark Sedra (The Centre for International Governance Innovation, 2010), 29\u201345; Alan Bryden and Heiner Hanggi, eds., &lt;i&gt;Security Governance in Post-Conflict Peacebuilding&lt;/i&gt; (Munster and Geneva: LIT Verlag and DCAF, 2005), http://www.dcaf.ch/Publications/Security-Governance-in-Post-Conflict-Peacebuilding; Owen Greene and Simon Rynn, \u201cLinking and Co-Ordinating DDR and SSR for Human Security after Conflict: Issues, Experience and Priorities,\u201d DDR and Human Security: Post Conflict Security Building and the Interests of the Poor (Bradford, 2008); Paul Jackson, \u201cSSR and Post-Conflict Reconstruction The Armed Wing of State Building,\u201d in &lt;i&gt;The Future of Security Sector Reform&lt;/i&gt;, ed. Mark Sedra (The Centre for International Governance Innovation, 2010), 118\u201335; Sabine Mannitz, \u201cFrom Paternalism to Facilitation: SSR Shortcomings and the Potential of Social Anthropological Perspectives,\u201d &lt;i&gt;International Peacekeeping&lt;/i&gt; 21, no. 2 (2014): 269\u201385, doi:10.1080/13533312.2014.910403." }, "properties" : { "noteIndex" : 0 }, "schema" : "https://github.com/citation-style-language/schema/raw/master/csl-citation.json" }</w:instrText>
      </w:r>
      <w:r w:rsidR="00D30146">
        <w:fldChar w:fldCharType="separate"/>
      </w:r>
      <w:r w:rsidR="00D30146" w:rsidRPr="00D30146">
        <w:rPr>
          <w:noProof/>
        </w:rPr>
        <w:t xml:space="preserve">Nicole Ball, “The Evolution of the Security Sector Reform Agenda,” in </w:t>
      </w:r>
      <w:r w:rsidR="00D30146" w:rsidRPr="00D30146">
        <w:rPr>
          <w:i/>
          <w:noProof/>
        </w:rPr>
        <w:t>The Future of Security Sector Reform</w:t>
      </w:r>
      <w:r w:rsidR="00D30146" w:rsidRPr="00D30146">
        <w:rPr>
          <w:noProof/>
        </w:rPr>
        <w:t xml:space="preserve">, ed. Mark Sedra (The Centre for International Governance Innovation, 2010), 29–45; Alan Bryden and Heiner Hanggi, eds., </w:t>
      </w:r>
      <w:r w:rsidR="00D30146" w:rsidRPr="00D30146">
        <w:rPr>
          <w:i/>
          <w:noProof/>
        </w:rPr>
        <w:t>Security Governance in Post-Conflict Peacebuilding</w:t>
      </w:r>
      <w:r w:rsidR="00D30146" w:rsidRPr="00D30146">
        <w:rPr>
          <w:noProof/>
        </w:rPr>
        <w:t xml:space="preserve"> (Munster and Geneva: LIT Verlag and DCAF, 2005), http://www.dcaf.ch/Publications/Security-Governance-in-Post-Conflict-Peacebuilding; Owen Greene and Simon Rynn, “Linking and Co-Ordinating DDR and SSR for Human Security after Conflict: Issues, Experience and Priorities,” DDR and Human Security: Post Conflict Security Building and the Interests of the Poor (Bradford, 2008); Paul Jackson, “SSR and Post-Conflict Reconstruction The Armed Wing of State Building,” in </w:t>
      </w:r>
      <w:r w:rsidR="00D30146" w:rsidRPr="00D30146">
        <w:rPr>
          <w:i/>
          <w:noProof/>
        </w:rPr>
        <w:t>The Future of Security Sector Reform</w:t>
      </w:r>
      <w:r w:rsidR="00D30146" w:rsidRPr="00D30146">
        <w:rPr>
          <w:noProof/>
        </w:rPr>
        <w:t xml:space="preserve">, ed. Mark Sedra (The Centre for International Governance Innovation, 2010), 118–35; Sabine Mannitz, “From Paternalism to Facilitation: SSR Shortcomings and the Potential of Social Anthropological Perspectives,” </w:t>
      </w:r>
      <w:r w:rsidR="00D30146" w:rsidRPr="00D30146">
        <w:rPr>
          <w:i/>
          <w:noProof/>
        </w:rPr>
        <w:t>International Peacekeeping</w:t>
      </w:r>
      <w:r w:rsidR="00D30146">
        <w:rPr>
          <w:noProof/>
        </w:rPr>
        <w:t xml:space="preserve"> 21, no. 2 (2014): 269–85</w:t>
      </w:r>
      <w:r w:rsidR="00D30146" w:rsidRPr="00D30146">
        <w:rPr>
          <w:noProof/>
        </w:rPr>
        <w:t>.</w:t>
      </w:r>
      <w:r w:rsidR="00D30146">
        <w:fldChar w:fldCharType="end"/>
      </w:r>
    </w:p>
  </w:endnote>
  <w:endnote w:id="3">
    <w:p w14:paraId="55463312" w14:textId="4E34839D" w:rsidR="00DC404C" w:rsidRDefault="00DF570B" w:rsidP="00F61E31">
      <w:pPr>
        <w:pStyle w:val="EndnoteText"/>
      </w:pPr>
      <w:r>
        <w:rPr>
          <w:rStyle w:val="EndnoteReference"/>
        </w:rPr>
        <w:endnoteRef/>
      </w:r>
      <w:r w:rsidR="003642CB">
        <w:t xml:space="preserve"> </w:t>
      </w:r>
      <w:r w:rsidR="003642CB">
        <w:fldChar w:fldCharType="begin" w:fldLock="1"/>
      </w:r>
      <w:r w:rsidR="00461E6B">
        <w:instrText>ADDIN CSL_CITATION { "citationItems" : [ { "id" : "ITEM-1", "itemData" : { "ISSN" : "00281484", "abstract" : "The article discusses civil-military relations throughout U.S. history. The author contends that the U.S. military should have a significant role in the formation of strategy, while recognizing the civilian government's key role in decision making regarding the conduct of warfare. An overview of U.S. military officers' relations with U.S. political leaders, the Joint Chief of Staff and Secretary of Defense, including the former Defense Secretary Donald H. Rumsfeld and U.S. President Abraham Lincoln, is provided.", "author" : [ { "dropping-particle" : "", "family" : "Owens", "given" : "Mackubin", "non-dropping-particle" : "", "parse-names" : false, "suffix" : "" } ], "container-title" : "Naval War College Review", "id" : "ITEM-1", "issue" : "2", "issued" : { "date-parts" : [ [ "2012" ] ] }, "page" : "67-87", "title" : "What Military Officers Need to Know About Civil-Military Relations", "type" : "article-journal", "volume" : "65" }, "locator" : "67-87", "uris" : [ "http://www.mendeley.com/documents/?uuid=b1c8d9d3-cad3-4d96-b99e-6c8b5572669e" ] } ], "mendeley" : { "formattedCitation" : "Mackubin Owens, \u201cWhat Military Officers Need to Know About Civil-Military Relations,\u201d &lt;i&gt;Naval War College Review&lt;/i&gt; 65, no. 2 (2012): 67\u201387.", "plainTextFormattedCitation" : "Mackubin Owens, \u201cWhat Military Officers Need to Know About Civil-Military Relations,\u201d Naval War College Review 65, no. 2 (2012): 67\u201387.", "previouslyFormattedCitation" : "Mackubin Owens, \u201cWhat Military Officers Need to Know About Civil-Military Relations,\u201d &lt;i&gt;Naval War College Review&lt;/i&gt; 65, no. 2 (2012): 67\u201387." }, "properties" : { "noteIndex" : 0 }, "schema" : "https://github.com/citation-style-language/schema/raw/master/csl-citation.json" }</w:instrText>
      </w:r>
      <w:r w:rsidR="003642CB">
        <w:fldChar w:fldCharType="separate"/>
      </w:r>
      <w:r w:rsidR="003642CB" w:rsidRPr="003642CB">
        <w:rPr>
          <w:noProof/>
        </w:rPr>
        <w:t xml:space="preserve">Mackubin Owens, “What Military Officers Need to Know About Civil-Military Relations,” </w:t>
      </w:r>
      <w:r w:rsidR="003642CB" w:rsidRPr="003642CB">
        <w:rPr>
          <w:i/>
          <w:noProof/>
        </w:rPr>
        <w:t>Naval War College Review</w:t>
      </w:r>
      <w:r w:rsidR="003642CB" w:rsidRPr="003642CB">
        <w:rPr>
          <w:noProof/>
        </w:rPr>
        <w:t xml:space="preserve"> 65, no. 2 (2012): 67–87.</w:t>
      </w:r>
      <w:r w:rsidR="003642CB">
        <w:fldChar w:fldCharType="end"/>
      </w:r>
    </w:p>
  </w:endnote>
  <w:endnote w:id="4">
    <w:p w14:paraId="012210D6" w14:textId="3B3BB3DC" w:rsidR="00DC404C" w:rsidRDefault="00DF570B" w:rsidP="00F61E31">
      <w:pPr>
        <w:pStyle w:val="EndnoteText"/>
      </w:pPr>
      <w:r>
        <w:rPr>
          <w:rStyle w:val="EndnoteReference"/>
        </w:rPr>
        <w:endnoteRef/>
      </w:r>
      <w:r>
        <w:t xml:space="preserve"> </w:t>
      </w:r>
      <w:r w:rsidR="00461E6B">
        <w:fldChar w:fldCharType="begin" w:fldLock="1"/>
      </w:r>
      <w:r w:rsidR="00011DEC">
        <w:instrText>ADDIN CSL_CITATION { "citationItems" : [ { "id" : "ITEM-1", "itemData" : { "DOI" : "10.1177/0095327X9602300203", "ISSN" : "0095-327X", "abstract" : "The alleged crisis in American civil-military relations has revived a long-standing theoretical debate about the determinants of civilian control. So far, the debate has followed lines of analysis laid by the original dispute between Samuel Huntington and Morris Janowitz. Viewed from a post-Cold War perspective, however, neither model is attractive. In this article, I define the basic problematique both the Huntingtonian and Janowitzean theories attempt to explain: how to reconcile a military strong enough to do anything the civilians ask them to with a military subordinate enough to do only what civilians authorize them to do. Next I critically evaluate and call into question the continued validity of key propositions of each theory and especially their reliance on \"professionalism.\" The article concludes with a brief summary of the criteria that should guide the development of a new theory of civilian control.", "author" : [ { "dropping-particle" : "", "family" : "Feaver", "given" : "Peter D", "non-dropping-particle" : "", "parse-names" : false, "suffix" : "" } ], "container-title" : "Armed Forces &amp; Society", "id" : "ITEM-1", "issue" : "2", "issued" : { "date-parts" : [ [ "1996", "1", "1" ] ] }, "language" : "en", "note" : "Referenced in Doug Bland's original Unified Theory article 1999", "page" : "149-178", "publisher" : "SAGE Publications", "title" : "The Civil-Military Problematique: Huntington, Janowitz, and the Question of Civilian Control", "type" : "article-journal", "volume" : "23" }, "uris" : [ "http://www.mendeley.com/documents/?uuid=c2904344-1bf8-4fde-97f4-5645ba936823" ] } ], "mendeley" : { "formattedCitation" : "Peter D Feaver, \u201cThe Civil-Military Problematique: Huntington, Janowitz, and the Question of Civilian Control,\u201d &lt;i&gt;Armed Forces &amp; Society&lt;/i&gt; 23, no. 2 (January 1, 1996): 149\u201378, doi:10.1177/0095327X9602300203.", "manualFormatting" : "Peter D Feaver, \u201cThe Civil-Military Problematique: Huntington, Janowitz, and the Question of Civilian Control,\u201d Armed Forces &amp; Society 23, no. 2 (January 1, 1996): 149\u201378.", "plainTextFormattedCitation" : "Peter D Feaver, \u201cThe Civil-Military Problematique: Huntington, Janowitz, and the Question of Civilian Control,\u201d Armed Forces &amp; Society 23, no. 2 (January 1, 1996): 149\u201378, doi:10.1177/0095327X9602300203.", "previouslyFormattedCitation" : "Peter D Feaver, \u201cThe Civil-Military Problematique: Huntington, Janowitz, and the Question of Civilian Control,\u201d &lt;i&gt;Armed Forces &amp; Society&lt;/i&gt; 23, no. 2 (January 1, 1996): 149\u201378, doi:10.1177/0095327X9602300203." }, "properties" : { "noteIndex" : 0 }, "schema" : "https://github.com/citation-style-language/schema/raw/master/csl-citation.json" }</w:instrText>
      </w:r>
      <w:r w:rsidR="00461E6B">
        <w:fldChar w:fldCharType="separate"/>
      </w:r>
      <w:r w:rsidR="00461E6B" w:rsidRPr="00461E6B">
        <w:rPr>
          <w:noProof/>
        </w:rPr>
        <w:t xml:space="preserve">Peter D Feaver, “The Civil-Military Problematique: Huntington, Janowitz, and the Question of Civilian Control,” </w:t>
      </w:r>
      <w:r w:rsidR="00461E6B" w:rsidRPr="00461E6B">
        <w:rPr>
          <w:i/>
          <w:noProof/>
        </w:rPr>
        <w:t>Armed Forces &amp; Society</w:t>
      </w:r>
      <w:r w:rsidR="00461E6B" w:rsidRPr="00461E6B">
        <w:rPr>
          <w:noProof/>
        </w:rPr>
        <w:t xml:space="preserve"> 23, no. 2 (January 1, 1996): 149–78.</w:t>
      </w:r>
      <w:r w:rsidR="00461E6B">
        <w:fldChar w:fldCharType="end"/>
      </w:r>
    </w:p>
  </w:endnote>
  <w:endnote w:id="5">
    <w:p w14:paraId="12EC864F" w14:textId="3773A60C" w:rsidR="00DC404C" w:rsidRDefault="00DF570B" w:rsidP="00F61E31">
      <w:pPr>
        <w:pStyle w:val="EndnoteText"/>
      </w:pPr>
      <w:r>
        <w:rPr>
          <w:rStyle w:val="EndnoteReference"/>
        </w:rPr>
        <w:endnoteRef/>
      </w:r>
      <w:r>
        <w:t xml:space="preserve"> </w:t>
      </w:r>
      <w:r w:rsidR="00011DEC">
        <w:fldChar w:fldCharType="begin" w:fldLock="1"/>
      </w:r>
      <w:r w:rsidR="005E395E">
        <w:instrText>ADDIN CSL_CITATION { "citationItems" : [ { "id" : "ITEM-1", "itemData" : { "ISBN" : "0-333-94624-3", "abstract" : "The collapse of communism in central and eastern Europe ushered in a series of political and economic reform challenges. Central among these was the reform of communist-era armed forces.", "author" : [ { "dropping-particle" : "", "family" : "Cottey", "given" : "Andrew", "non-dropping-particle" : "", "parse-names" : false, "suffix" : "" }, { "dropping-particle" : "", "family" : "Edmunds", "given" : "Timothy", "non-dropping-particle" : "", "parse-names" : false, "suffix" : "" }, { "dropping-particle" : "", "family" : "Forster", "given" : "Anthony", "non-dropping-particle" : "", "parse-names" : false, "suffix" : "" } ], "editor" : [ { "dropping-particle" : "", "family" : "Cottey", "given" : "Andrew", "non-dropping-particle" : "", "parse-names" : false, "suffix" : "" }, { "dropping-particle" : "", "family" : "Edmunds", "given" : "Timothy", "non-dropping-particle" : "", "parse-names" : false, "suffix" : "" }, { "dropping-particle" : "", "family" : "Forster", "given" : "Anthony", "non-dropping-particle" : "", "parse-names" : false, "suffix" : "" } ], "id" : "ITEM-1", "issued" : { "date-parts" : [ [ "2002" ] ] }, "note" : "From Duplicate 1 (Democratic Control of the Military in Postcommunist Europe: Guarding the Guards - Cottey, Andrew; Edmunds, Timothy; Forster, Anthony)\n\nPart of the series One Europe or several?\nBarrington Library 355.015 (4) DEM", "publisher" : "Palgrave Macmillan", "title" : "Democratic control of the military in postcommunist Europe guarding the guards", "type" : "book" }, "locator" : "6", "uris" : [ "http://www.mendeley.com/documents/?uuid=b7c68fd1-431d-4e72-84f2-124c78b14943" ] } ], "mendeley" : { "formattedCitation" : "Andrew Cottey, Timothy Edmunds, and Anthony Forster, &lt;i&gt;Democratic Control of the Military in Postcommunist Europe Guarding the Guards&lt;/i&gt;, ed. Andrew Cottey, Timothy Edmunds, and Anthony Forster (Palgrave Macmillan, 2002), 6.", "plainTextFormattedCitation" : "Andrew Cottey, Timothy Edmunds, and Anthony Forster, Democratic Control of the Military in Postcommunist Europe Guarding the Guards, ed. Andrew Cottey, Timothy Edmunds, and Anthony Forster (Palgrave Macmillan, 2002), 6.", "previouslyFormattedCitation" : "Andrew Cottey, Timothy Edmunds, and Anthony Forster, &lt;i&gt;Democratic Control of the Military in Postcommunist Europe Guarding the Guards&lt;/i&gt;, ed. Andrew Cottey, Timothy Edmunds, and Anthony Forster (Palgrave Macmillan, 2002), 6." }, "properties" : { "noteIndex" : 0 }, "schema" : "https://github.com/citation-style-language/schema/raw/master/csl-citation.json" }</w:instrText>
      </w:r>
      <w:r w:rsidR="00011DEC">
        <w:fldChar w:fldCharType="separate"/>
      </w:r>
      <w:r w:rsidR="00011DEC" w:rsidRPr="00011DEC">
        <w:rPr>
          <w:noProof/>
        </w:rPr>
        <w:t xml:space="preserve">Andrew Cottey, Timothy Edmunds, and Anthony Forster, </w:t>
      </w:r>
      <w:r w:rsidR="00011DEC" w:rsidRPr="00011DEC">
        <w:rPr>
          <w:i/>
          <w:noProof/>
        </w:rPr>
        <w:t>Democratic Control of the Military in Postcommunist Europe Guarding the Guards</w:t>
      </w:r>
      <w:r w:rsidR="00011DEC" w:rsidRPr="00011DEC">
        <w:rPr>
          <w:noProof/>
        </w:rPr>
        <w:t>, ed. Andrew Cottey, Timothy Edmunds, and Anthony Forster (Palgrave Macmillan, 2002), 6.</w:t>
      </w:r>
      <w:r w:rsidR="00011DEC">
        <w:fldChar w:fldCharType="end"/>
      </w:r>
    </w:p>
  </w:endnote>
  <w:endnote w:id="6">
    <w:p w14:paraId="16E950C1" w14:textId="0C264FC9" w:rsidR="00DC404C" w:rsidRDefault="00DF570B" w:rsidP="00DC66FF">
      <w:pPr>
        <w:pStyle w:val="EndnoteText"/>
      </w:pPr>
      <w:r>
        <w:rPr>
          <w:rStyle w:val="EndnoteReference"/>
        </w:rPr>
        <w:endnoteRef/>
      </w:r>
      <w:r w:rsidR="00DC66FF">
        <w:t xml:space="preserve"> </w:t>
      </w:r>
      <w:r w:rsidR="00DC66FF">
        <w:fldChar w:fldCharType="begin" w:fldLock="1"/>
      </w:r>
      <w:r w:rsidR="00DC66FF">
        <w:instrText>ADDIN CSL_CITATION { "citationItems" : [ { "id" : "ITEM-1", "itemData" : { "ISBN" : "0-7432-3049-3", "abstract" : "The orthodoxy regarding the relationship between politicians and military leaders in wartime democracies contends that politicians should declare a military operation's objectives and then step aside and leave the business of war to the military. In this timely and controversial examination of civilian-military relations in wartime democracies, Eliot A. Cohen chips away at this time-honored belief with case studies of statesmen who dared to prod, provoke, and even defy their military officers to great effect.", "author" : [ { "dropping-particle" : "", "family" : "Cohen", "given" : "Eliot", "non-dropping-particle" : "", "parse-names" : false, "suffix" : "" } ], "id" : "ITEM-1", "issued" : { "date-parts" : [ [ "2002" ] ] }, "note" : "Normal theory of CMR is on pages 4-7", "publisher" : "The Free Press", "publisher-place" : "New York", "title" : "Supreme Command", "type" : "book" }, "uris" : [ "http://www.mendeley.com/documents/?uuid=b217e1c2-e4b0-4b76-b250-02f745b4e27f" ] } ], "mendeley" : { "formattedCitation" : "Cohen, &lt;i&gt;Supreme Command&lt;/i&gt;.", "plainTextFormattedCitation" : "Cohen, Supreme Command.", "previouslyFormattedCitation" : "Cohen, &lt;i&gt;Supreme Command&lt;/i&gt;." }, "properties" : { "noteIndex" : 0 }, "schema" : "https://github.com/citation-style-language/schema/raw/master/csl-citation.json" }</w:instrText>
      </w:r>
      <w:r w:rsidR="00DC66FF">
        <w:fldChar w:fldCharType="separate"/>
      </w:r>
      <w:r w:rsidR="00DC66FF" w:rsidRPr="00DC66FF">
        <w:rPr>
          <w:noProof/>
        </w:rPr>
        <w:t xml:space="preserve">Cohen, </w:t>
      </w:r>
      <w:r w:rsidR="00DC66FF" w:rsidRPr="00DC66FF">
        <w:rPr>
          <w:i/>
          <w:noProof/>
        </w:rPr>
        <w:t>Supreme Command</w:t>
      </w:r>
      <w:r w:rsidR="00DC66FF" w:rsidRPr="00DC66FF">
        <w:rPr>
          <w:noProof/>
        </w:rPr>
        <w:t>.</w:t>
      </w:r>
      <w:r w:rsidR="00DC66FF">
        <w:fldChar w:fldCharType="end"/>
      </w:r>
    </w:p>
  </w:endnote>
  <w:endnote w:id="7">
    <w:p w14:paraId="0FCBC91B" w14:textId="2CFF142F" w:rsidR="00DC404C" w:rsidRDefault="00DF570B" w:rsidP="00F61E31">
      <w:pPr>
        <w:pStyle w:val="EndnoteText"/>
      </w:pPr>
      <w:r>
        <w:rPr>
          <w:rStyle w:val="EndnoteReference"/>
        </w:rPr>
        <w:endnoteRef/>
      </w:r>
      <w:r>
        <w:t xml:space="preserve"> </w:t>
      </w:r>
      <w:r w:rsidR="005E395E">
        <w:fldChar w:fldCharType="begin" w:fldLock="1"/>
      </w:r>
      <w:r w:rsidR="00F87D21">
        <w:instrText>ADDIN CSL_CITATION { "citationItems" : [ { "id" : "ITEM-1", "itemData" : { "ISBN" : "0-674-81736-2 (paper)", "abstract" : "In order for military forces to be an effective instrument of state policy, the military professional has to be loyal and obedient. Although Huntington considers obedience as the supreme military virtue, he is also well aware that this virtue does have its limits, and he distinguishes four type-cases in which military obedience is clearly at stake.", "author" : [ { "dropping-particle" : "", "family" : "Huntington", "given" : "Samuel P", "non-dropping-particle" : "", "parse-names" : false, "suffix" : "" } ], "id" : "ITEM-1", "issued" : { "date-parts" : [ [ "1957" ] ] }, "note" : "Full Critical analysis conducted.", "publisher" : "Harvard University Press", "publisher-place" : "Cambridge, Mass", "title" : "The Soldier and the State", "type" : "book" }, "uris" : [ "http://www.mendeley.com/documents/?uuid=9ee2b750-5b02-47eb-b0f2-f614a289c912" ] } ], "mendeley" : { "formattedCitation" : "Samuel P Huntington, &lt;i&gt;The Soldier and the State&lt;/i&gt; (Cambridge, Mass: Harvard University Press, 1957).", "plainTextFormattedCitation" : "Samuel P Huntington, The Soldier and the State (Cambridge, Mass: Harvard University Press, 1957).", "previouslyFormattedCitation" : "Samuel P Huntington, &lt;i&gt;The Soldier and the State&lt;/i&gt; (Cambridge, Mass: Harvard University Press, 1957)." }, "properties" : { "noteIndex" : 0 }, "schema" : "https://github.com/citation-style-language/schema/raw/master/csl-citation.json" }</w:instrText>
      </w:r>
      <w:r w:rsidR="005E395E">
        <w:fldChar w:fldCharType="separate"/>
      </w:r>
      <w:r w:rsidR="005E395E" w:rsidRPr="005E395E">
        <w:rPr>
          <w:noProof/>
        </w:rPr>
        <w:t xml:space="preserve">Samuel P Huntington, </w:t>
      </w:r>
      <w:r w:rsidR="005E395E" w:rsidRPr="005E395E">
        <w:rPr>
          <w:i/>
          <w:noProof/>
        </w:rPr>
        <w:t>The Soldier and the State</w:t>
      </w:r>
      <w:r w:rsidR="005E395E" w:rsidRPr="005E395E">
        <w:rPr>
          <w:noProof/>
        </w:rPr>
        <w:t xml:space="preserve"> (Cambridge, Mass: Harvard University Press, 1957).</w:t>
      </w:r>
      <w:r w:rsidR="005E395E">
        <w:fldChar w:fldCharType="end"/>
      </w:r>
    </w:p>
  </w:endnote>
  <w:endnote w:id="8">
    <w:p w14:paraId="667B3878" w14:textId="097C198C" w:rsidR="00F87D21" w:rsidRDefault="00F87D21" w:rsidP="00F61E31">
      <w:pPr>
        <w:pStyle w:val="EndnoteText"/>
      </w:pPr>
      <w:r>
        <w:rPr>
          <w:rStyle w:val="EndnoteReference"/>
        </w:rPr>
        <w:endnoteRef/>
      </w:r>
      <w:r>
        <w:t xml:space="preserve"> </w:t>
      </w:r>
      <w:r>
        <w:fldChar w:fldCharType="begin" w:fldLock="1"/>
      </w:r>
      <w:r w:rsidR="005C3960">
        <w:instrText>ADDIN CSL_CITATION { "citationItems" : [ { "id" : "ITEM-1", "itemData" : { "abstract" : "This book is an effort to bring to bear the tools of social science (Janowitz is a sociologist) in explaining the interrelationship between the military establishment and civil society in America. In the author's own words, this work is \"an attempt to describe the professional life, organizational setting, and leadership of the American military as they have evolved during the first half of this century.\" Of particular interest to the era in which this book wJanowitz, M. (1971) The Professional Soldier: A Social and Political Portrait. The Free Press.as published (1960) is the role of the military in the age of atomic warfare. Janowitz discusses the power the military establishment has as a \"pressure group\" over domestic affairs and international relations. In this world of technological change, Janowitz explores the adaptability that is required of the military establishment in order to keep the system \"healthy\" and how this affects not only society's view of the military, but the military's view of itself. Janowitz identifies a rift in professional military thinking, one which he compares to civilian disagreements over conservative and liberal policy. In modern society, the military has necessarily come into close contact with the \"political fabric of contemporary society\" and has thus come to play a role in sociopolitical affairs--both directly and indirectly. Janowitz's focus is on how both civil society and the military establishment will be changed by this modern interdependency. In the vein of the social scientist, Janowitz puts forth five basic hypotheses and seeks to test them. Briefly encapsulated, these five hypotheses concern: a changing organizational authority, one more oriented to group consensus than to unqualified directives; a narrowing skill differential between military and civilian elites, brought together by the military's increasing dependence on technical specialists; a shift in officer recruitment to a broad socioeconomic base; the importance of adaptiveness and boldness in reaching an elite position in the military; and the development of a \"political ethos\" around the military profession in the modern age. He describes a changing role for the military elite; the modern \"professional\" soldier must somehow maintain an aura of \"heroism\" while also serving in a position of management of men and machines, topped off by a commitment to public service--both nationally and internationally. Determining the future role of the military i\u2026", "author" : [ { "dropping-particle" : "", "family" : "Janowitz", "given" : "Morris", "non-dropping-particle" : "", "parse-names" : false, "suffix" : "" } ], "edition" : "1st", "id" : "ITEM-1", "issued" : { "date-parts" : [ [ "1960" ] ] }, "publisher" : "The Free Press of Glencoe", "publisher-place" : "Glencoe", "title" : "The Professional Soldier: A Social and Political Portrait", "type" : "book" }, "uris" : [ "http://www.mendeley.com/documents/?uuid=63a1c0ea-64bf-43b1-9615-9223016472aa" ] }, { "id" : "ITEM-2", "itemData" : { "abstract" : "This is the first full-scale analysis of the political role of the military, particularly with regards military coups, by a political scientist. The author discusses the strengths and weaknesses of the military as a political force; the factors that promote and favour the intervention of the armed forces in politics; the factors that, correspondingly, inhibit it; and the limits, the types and the methods of the military's role and style.", "author" : [ { "dropping-particle" : "", "family" : "Finer", "given" : "S E", "non-dropping-particle" : "", "parse-names" : false, "suffix" : "" } ], "id" : "ITEM-2", "issued" : { "date-parts" : [ [ "1962" ] ] }, "publisher" : "Pall Mall Press", "publisher-place" : "Oxford", "title" : "The Man on Horseback: The Role of the Military in Politics", "type" : "book" }, "uris" : [ "http://www.mendeley.com/documents/?uuid=eb8ed933-0c16-40de-af48-69f61c75e728" ] } ], "mendeley" : { "formattedCitation" : "Morris Janowitz, &lt;i&gt;The Professional Soldier: A Social and Political Portrait&lt;/i&gt;, 1st ed. (Glencoe: The Free Press of Glencoe, 1960); S E Finer, &lt;i&gt;The Man on Horseback: The Role of the Military in Politics&lt;/i&gt; (Oxford: Pall Mall Press, 1962).", "plainTextFormattedCitation" : "Morris Janowitz, The Professional Soldier: A Social and Political Portrait, 1st ed. (Glencoe: The Free Press of Glencoe, 1960); S E Finer, The Man on Horseback: The Role of the Military in Politics (Oxford: Pall Mall Press, 1962).", "previouslyFormattedCitation" : "Morris Janowitz, &lt;i&gt;The Professional Soldier: A Social and Political Portrait&lt;/i&gt;, 1st ed. (Glencoe: The Free Press of Glencoe, 1960); S E Finer, &lt;i&gt;The Man on Horseback: The Role of the Military in Politics&lt;/i&gt; (Oxford: Pall Mall Press, 1962)." }, "properties" : { "noteIndex" : 0 }, "schema" : "https://github.com/citation-style-language/schema/raw/master/csl-citation.json" }</w:instrText>
      </w:r>
      <w:r>
        <w:fldChar w:fldCharType="separate"/>
      </w:r>
      <w:r w:rsidRPr="00F87D21">
        <w:rPr>
          <w:noProof/>
        </w:rPr>
        <w:t xml:space="preserve">Morris Janowitz, </w:t>
      </w:r>
      <w:r w:rsidRPr="00F87D21">
        <w:rPr>
          <w:i/>
          <w:noProof/>
        </w:rPr>
        <w:t>The Professional Soldier: A Social and Political Portrait</w:t>
      </w:r>
      <w:r w:rsidRPr="00F87D21">
        <w:rPr>
          <w:noProof/>
        </w:rPr>
        <w:t xml:space="preserve">, 1st ed. (Glencoe: The Free Press of Glencoe, 1960); S E Finer, </w:t>
      </w:r>
      <w:r w:rsidRPr="00F87D21">
        <w:rPr>
          <w:i/>
          <w:noProof/>
        </w:rPr>
        <w:t>The Man on Horseback: The Role of the Military in Politics</w:t>
      </w:r>
      <w:r w:rsidRPr="00F87D21">
        <w:rPr>
          <w:noProof/>
        </w:rPr>
        <w:t xml:space="preserve"> (Oxford: Pall Mall Press, 1962).</w:t>
      </w:r>
      <w:r>
        <w:fldChar w:fldCharType="end"/>
      </w:r>
    </w:p>
  </w:endnote>
  <w:endnote w:id="9">
    <w:p w14:paraId="251E1467" w14:textId="130BE509" w:rsidR="00B859CF" w:rsidRDefault="00B859CF" w:rsidP="00F61E31">
      <w:pPr>
        <w:pStyle w:val="EndnoteText"/>
      </w:pPr>
      <w:r>
        <w:rPr>
          <w:rStyle w:val="EndnoteReference"/>
        </w:rPr>
        <w:endnoteRef/>
      </w:r>
      <w:r>
        <w:t xml:space="preserve"> </w:t>
      </w:r>
      <w:r w:rsidR="005C3960">
        <w:fldChar w:fldCharType="begin" w:fldLock="1"/>
      </w:r>
      <w:r w:rsidR="00257C23">
        <w:instrText>ADDIN CSL_CITATION { "citationItems" : [ { "id" : "ITEM-1", "itemData" : { "DOI" : "10.1177/0095327X0202900102", "ISSN" : "0095-327X", "abstract" : "This article reviews civil-military relations theory applied to mature democratic states. It assumes that the important theoretical problem is how to maintain a military that sustains and protects democratic values, showing how the classic and still influential theories of Huntington and Janowitz were rooted, respectively, in liberal and civic republican theories of democracy and, as a result, neither adequately solved this problem. The article then uses current research to pose new questions about the relations between military and political elites, the relations of civilians to the military and the state, and the multinational use of force. Based on the review, it concludes that a new theory of civil-military relations-one that accounts for the circumstances mature democracies presently face and tells how militaries can sustain as they protect democratic values cannot be derived from either liberal or civic republican models of democracy, as Huntington and Janowitz tried to do, but might be derived from federalist models.", "author" : [ { "dropping-particle" : "", "family" : "Burk", "given" : "James", "non-dropping-particle" : "", "parse-names" : false, "suffix" : "" } ], "container-title" : "Armed Forces &amp; Society", "id" : "ITEM-1", "issue" : "1", "issued" : { "date-parts" : [ [ "2002" ] ] }, "page" : "7-29", "title" : "Theories of Democratic Civil-Military Relations", "type" : "article-journal", "volume" : "29" }, "uris" : [ "http://www.mendeley.com/documents/?uuid=86eb4cf9-f5ac-443b-af98-39e39335db8f" ] }, { "id" : "ITEM-2", "itemData" : { "DOI" : "10.1177/0095327X0202900103", "ISSN" : "0095-327X", "abstract" : "This article argues that a decade after the collapse of communism in central and eastern Europe, the establishment of democratic civil-military relations has moved on from first generation issues of institutional restructuring to second generation challenges relating to the democratic consolidation of these relationships. In practice, these have more to do with issues of state capacity-building and bureaucratic modernization with the traditional concerns of the civil-military relations literature. In most cases, the problem is not the establishment of civilian control over the armed forces or the separation of the military from politics, but rather that of the effective execution of democratic governance of the defense and security sector-particularly in relation to defense policy-making, legislative oversight and the effective engagement of civil-society in a framework of democratic legitimacy and accountability.", "author" : [ { "dropping-particle" : "", "family" : "Cottey", "given" : "Andrew", "non-dropping-particle" : "", "parse-names" : false, "suffix" : "" }, { "dropping-particle" : "", "family" : "Edmunds", "given" : "Timothy", "non-dropping-particle" : "", "parse-names" : false, "suffix" : "" }, { "dropping-particle" : "", "family" : "Forster", "given" : "Anthony", "non-dropping-particle" : "", "parse-names" : false, "suffix" : "" } ], "container-title" : "Armed Forces and Society", "id" : "ITEM-2", "issue" : "1", "issued" : { "date-parts" : [ [ "2002" ] ] }, "page" : "31-56", "title" : "The second generation problematic : rethinking democracy and civil-military relations.", "type" : "article-journal", "volume" : "29" }, "uris" : [ "http://www.mendeley.com/documents/?uuid=1ff8dde4-4202-4546-9992-af4945c4346f" ] }, { "id" : "ITEM-3", "itemData" : { "ISBN" : "0-674-01051-5", "abstract" : "How do civilians control the military? In the wake of September 11, the renewed presence of national security in everyday life has made this question all the more pressing. In this book, Peter Feaver proposes an ambitious new theory that treats civil-military relations as a principal-agent relationship, with the civilian executive monitoring the actions of military agents, the \"armed servants\" of the nation-state. Military obedience is not automatic but depends on strategic calculations of whether civilians will catch and punish misbehavior. This model challenges Samuel Huntington's professionalism-based model of civil-military relations, and provides an innovative way of making sense of the U.S. Cold War and post-Cold War experience--especially the distinctively stormy civil-military relations of the Clinton era. In the decade after the Cold War ended, civilians and the military had a variety of run-ins over whether and how to use military force. These episodes, as interpreted by agency theory, contradict the conventional wisdom that civil-military relations matter only if there is risk of a coup. On the contrary, military professionalism does not by itself ensure unchallenged civilian authority. As Feaver argues, agency theory offers the best foundation for thinking about relations between military and civilian leaders, now and in the future.", "author" : [ { "dropping-particle" : "", "family" : "Feaver", "given" : "Peter D", "non-dropping-particle" : "", "parse-names" : false, "suffix" : "" } ], "id" : "ITEM-3", "issued" : { "date-parts" : [ [ "2003" ] ] }, "publisher" : "Harvard University Press", "publisher-place" : "Cambridge, Mass", "title" : "Armed Servants. Agency, Oversight and Civil-Military Relations", "type" : "book" }, "uris" : [ "http://www.mendeley.com/documents/?uuid=3debb60c-3e6f-4f68-838d-ca0473b4edb8" ] } ], "mendeley" : { "formattedCitation" : "James Burk, \u201cTheories of Democratic Civil-Military Relations,\u201d &lt;i&gt;Armed Forces &amp; Society&lt;/i&gt; 29, no. 1 (2002): 7\u201329, doi:10.1177/0095327X0202900102; Andrew Cottey, Timothy Edmunds, and Anthony Forster, \u201cThe Second Generation Problematic\u202f: Rethinking Democracy and Civil-Military Relations.,\u201d &lt;i&gt;Armed Forces and Society&lt;/i&gt; 29, no. 1 (2002): 31\u201356, doi:10.1177/0095327X0202900103; Peter D Feaver, &lt;i&gt;Armed Servants. Agency, Oversight and Civil-Military Relations&lt;/i&gt; (Cambridge, Mass: Harvard University Press, 2003).", "manualFormatting" : "James Burk, \u201cTheories of Democratic Civil-Military Relations,\u201d Armed Forces &amp; Society 29, no. 1 (2002): 7\u201329; Andrew Cottey, Timothy Edmunds, and Anthony Forster, \u201cThe Second Generation Problematic\u202f: Rethinking Democracy and Civil-Military Relations.,\u201d Armed Forces and Society 29, no. 1 (2002): 31\u201356; Peter D Feaver, Armed Servants. Agency, Oversight and Civil-Military Relations (Cambridge, Mass: Harvard University Press, 2003).", "plainTextFormattedCitation" : "James Burk, \u201cTheories of Democratic Civil-Military Relations,\u201d Armed Forces &amp; Society 29, no. 1 (2002): 7\u201329, doi:10.1177/0095327X0202900102; Andrew Cottey, Timothy Edmunds, and Anthony Forster, \u201cThe Second Generation Problematic\u202f: Rethinking Democracy and Civil-Military Relations.,\u201d Armed Forces and Society 29, no. 1 (2002): 31\u201356, doi:10.1177/0095327X0202900103; Peter D Feaver, Armed Servants. Agency, Oversight and Civil-Military Relations (Cambridge, Mass: Harvard University Press, 2003).", "previouslyFormattedCitation" : "James Burk, \u201cTheories of Democratic Civil-Military Relations,\u201d &lt;i&gt;Armed Forces &amp; Society&lt;/i&gt; 29, no. 1 (2002): 7\u201329, doi:10.1177/0095327X0202900102; Andrew Cottey, Timothy Edmunds, and Anthony Forster, \u201cThe Second Generation Problematic\u202f: Rethinking Democracy and Civil-Military Relations.,\u201d &lt;i&gt;Armed Forces and Society&lt;/i&gt; 29, no. 1 (2002): 31\u201356, doi:10.1177/0095327X0202900103; Peter D Feaver, &lt;i&gt;Armed Servants. Agency, Oversight and Civil-Military Relations&lt;/i&gt; (Cambridge, Mass: Harvard University Press, 2003)." }, "properties" : { "noteIndex" : 0 }, "schema" : "https://github.com/citation-style-language/schema/raw/master/csl-citation.json" }</w:instrText>
      </w:r>
      <w:r w:rsidR="005C3960">
        <w:fldChar w:fldCharType="separate"/>
      </w:r>
      <w:r w:rsidR="005C3960" w:rsidRPr="005C3960">
        <w:rPr>
          <w:noProof/>
        </w:rPr>
        <w:t xml:space="preserve">James Burk, “Theories of Democratic Civil-Military Relations,” </w:t>
      </w:r>
      <w:r w:rsidR="005C3960" w:rsidRPr="005C3960">
        <w:rPr>
          <w:i/>
          <w:noProof/>
        </w:rPr>
        <w:t>Armed Forces &amp; Society</w:t>
      </w:r>
      <w:r w:rsidR="005C3960" w:rsidRPr="005C3960">
        <w:rPr>
          <w:noProof/>
        </w:rPr>
        <w:t xml:space="preserve"> 29, no. 1 (2002): 7–29; Andrew Cottey, Timothy Edmunds, and Anthony Forster, “The Second Generation Problematic : Rethinking Democracy and Civil-Military Relations.,” </w:t>
      </w:r>
      <w:r w:rsidR="005C3960" w:rsidRPr="005C3960">
        <w:rPr>
          <w:i/>
          <w:noProof/>
        </w:rPr>
        <w:t>Armed Forces and Society</w:t>
      </w:r>
      <w:r w:rsidR="005C3960" w:rsidRPr="005C3960">
        <w:rPr>
          <w:noProof/>
        </w:rPr>
        <w:t xml:space="preserve"> 29, no. 1 (2002): 31–56; Peter D Feaver, </w:t>
      </w:r>
      <w:r w:rsidR="005C3960" w:rsidRPr="005C3960">
        <w:rPr>
          <w:i/>
          <w:noProof/>
        </w:rPr>
        <w:t>Armed Servants. Agency, Oversight and Civil-Military Relations</w:t>
      </w:r>
      <w:r w:rsidR="005C3960" w:rsidRPr="005C3960">
        <w:rPr>
          <w:noProof/>
        </w:rPr>
        <w:t xml:space="preserve"> (Cambridge, Mass: Harvard University Press, 2003).</w:t>
      </w:r>
      <w:r w:rsidR="005C3960">
        <w:fldChar w:fldCharType="end"/>
      </w:r>
    </w:p>
  </w:endnote>
  <w:endnote w:id="10">
    <w:p w14:paraId="78AAAC3B" w14:textId="3E2AC4E4" w:rsidR="00DC404C" w:rsidRDefault="00DF570B" w:rsidP="00F61E31">
      <w:pPr>
        <w:pStyle w:val="EndnoteText"/>
      </w:pPr>
      <w:r>
        <w:rPr>
          <w:rStyle w:val="EndnoteReference"/>
        </w:rPr>
        <w:endnoteRef/>
      </w:r>
      <w:r>
        <w:t xml:space="preserve"> </w:t>
      </w:r>
      <w:r w:rsidR="00257C23">
        <w:fldChar w:fldCharType="begin" w:fldLock="1"/>
      </w:r>
      <w:r w:rsidR="007D3632">
        <w:instrText>ADDIN CSL_CITATION { "citationItems" : [ { "id" : "ITEM-1", "itemData" : { "abstract" : "This article offers a new theory for examining civil-military relations. The current theory assumes that the military should remain separate from civilian political institutions in order to prevent domestic military intervention. By contrast, concordance theory, proposed in this article, argues that three partners-the military, the political elites, and the citizenry should aim for a cooperative relationship that may or may not entail the separation of political and military institutions. As a descriptive and prescriptive theory, concordance does not limit itself to one civil-military scenario, and it explains the institutional and cultural conditions that affect the distinctive relationships among the three partners. Furthermore, if these partners agree on four indicators-the social composition of the officer corps, the political decision-making process, recruitment method and military style, domestic military intervention is less likely to occur.", "author" : [ { "dropping-particle" : "", "family" : "Schiff", "given" : "Rebecca", "non-dropping-particle" : "", "parse-names" : false, "suffix" : "" } ], "container-title" : "Armed Forces &amp; Society", "id" : "ITEM-1", "issue" : "1", "issued" : { "date-parts" : [ [ "1995" ] ] }, "page" : "7-24", "title" : "Civil-Military Relations Reconsidered: A Theory of Concordance", "type" : "article-journal", "volume" : "22" }, "uris" : [ "http://www.mendeley.com/documents/?uuid=797ea169-fbde-4290-98a9-a6e744196566" ] }, { "id" : "ITEM-2", "itemData" : { "abstract" : "My abstract: This article attempts to outline a unified theory of civil-military relations that attempts to meet these (previously highlighted) challenges, provides a framework for analysis, and serves as a guide for managing civil-military relations in general.", "author" : [ { "dropping-particle" : "", "family" : "Bland", "given" : "Douglas L", "non-dropping-particle" : "", "parse-names" : false, "suffix" : "" } ], "container-title" : "Armed Forces &amp; Society", "id" : "ITEM-2", "issue" : "1", "issued" : { "date-parts" : [ [ "1999" ] ] }, "note" : "Bibliography reviewed in progress 20151014", "page" : "7-26", "title" : "A Unified Theory of Civil-Military Relations", "type" : "article-journal", "volume" : "26" }, "uris" : [ "http://www.mendeley.com/documents/?uuid=f0613439-b707-450e-a593-2bc6712b4706" ] }, { "id" : "ITEM-3", "itemData" : { "ISBN" : "978-1-84277-149-5", "author" : [ { "dropping-particle" : "", "family" : "Cawthra", "given" : "Gavin", "non-dropping-particle" : "", "parse-names" : false, "suffix" : "" }, { "dropping-particle" : "", "family" : "Luckham", "given" : "Robin", "non-dropping-particle" : "", "parse-names" : false, "suffix" : "" } ], "editor" : [ { "dropping-particle" : "", "family" : "Cawthra", "given" : "Gavin", "non-dropping-particle" : "", "parse-names" : false, "suffix" : "" }, { "dropping-particle" : "", "family" : "Luckham", "given" : "Robin", "non-dropping-particle" : "", "parse-names" : false, "suffix" : "" } ], "id" : "ITEM-3", "issued" : { "date-parts" : [ [ "2003" ] ] }, "note" : "Knowledge for action book.\nThis book is as much about SSR as it is about CMR.\n\nIntro:\nDemocratisation has coincided with new forms of militarism, violent conflict and insecurity. Are these related? [3]\nOne paradox is the demise of one form of militarism - coups and military governance - which were traditional CMR issues, and their replacement with new forms of military politics, privatised violence and armed conflict. [3]\nSuggests that the collapse of old authoritarian regimes have seen them replaced, not by genuine democracies, but by new forms of elite domination, misrule or (in the worst case) state failure. [5]\nThere has been a dramatic fall in the numbers of military or military-back govts in the last 30 years. Elections are the norm not coups. CF Finer's categories of influence ??? [8]\nAttacks Huntington's professionalism, suggesting often it was the professionals who took control - but misses the point of Huntington's definition of professional armed forces [8]\nHuntington 1991; The Third Wave. ???\nIs there a need to widen the concept of military for new CMR studies (the same issue as SSR); how does this fit with Finer? [10]\nMilitary governance has been delegitimised (but surely that is a key issue of Finer?) [10]\nThe quality and extent of democracy varies greatly - there is still many 'democracies' still depend on repression for their political survival. [10]\nThere is more (unacknowledged) support here for Finer's degrees of democracy and military involvement. [11]\nThe idea of civilian control of the military is being replaced by 'democratic' control, recognising that not all civilian governments are democratic. Even this is a contested process. 'Even democratic governments tend to halt democracy at the barracks door and the inner corridors of the secret state.' [15]\nBecause it has been seen that cutting defence budgets can cause instability, more emphasis has been placed on the process, through SSR and 'democratic governance of the security sector'. [16]\nOrigins of SSR by Brandt and Palme commission in the early 1980s. [16]\nFor successful SSR it is critical to understand the micro-politics of the security sector being reformed - and it will be different in each case, and often bares little resemblance to any formal org chart. [17]\nThis challenges the conventional assumption that the state should necessarily be at the centre of transformation. [17]\n'Democracies with adjectives'! [19]\nOne thing not often discussed elsewhere is the non-homogenous (?) nature of the 'military' in a country. often they are fragmented which causes problems in its own right. The concept that demobilisation of the military needs to take place politically as well as militarily. [23]\n\nConclusion:\nThere is no standard SSR solution, even within states in transition, let alone those coming out of conflict. [307]\nSSR cannot work in states where the basic state framework is disintegrating. [307]\nKayode Fayemi suggests that there is a 5(6)-stage 'classic' agenda of transition. [309/310] CF Cottey et al Fayemi believes that agency is as important as structure, psychology as important as politics, and informal mechanisms as important as the formal ones. [310]\nPrefer to talk of incremental reform rather than transformation. [315]", "publisher" : "Zed Books", "publisher-place" : "London", "title" : "Governing Insecurity", "type" : "book" }, "uris" : [ "http://www.mendeley.com/documents/?uuid=a2a06739-4c45-3578-aa77-9cf6314c90dc" ] } ], "mendeley" : { "formattedCitation" : "Rebecca Schiff, \u201cCivil-Military Relations Reconsidered: A Theory of Concordance,\u201d &lt;i&gt;Armed Forces &amp; Society&lt;/i&gt; 22, no. 1 (1995): 7\u201324; Douglas L Bland, \u201cA Unified Theory of Civil-Military Relations,\u201d &lt;i&gt;Armed Forces &amp; Society&lt;/i&gt; 26, no. 1 (1999): 7\u201326; Gavin Cawthra and Robin Luckham, &lt;i&gt;Governing Insecurity&lt;/i&gt;, ed. Gavin Cawthra and Robin Luckham (London: Zed Books, 2003).", "plainTextFormattedCitation" : "Rebecca Schiff, \u201cCivil-Military Relations Reconsidered: A Theory of Concordance,\u201d Armed Forces &amp; Society 22, no. 1 (1995): 7\u201324; Douglas L Bland, \u201cA Unified Theory of Civil-Military Relations,\u201d Armed Forces &amp; Society 26, no. 1 (1999): 7\u201326; Gavin Cawthra and Robin Luckham, Governing Insecurity, ed. Gavin Cawthra and Robin Luckham (London: Zed Books, 2003).", "previouslyFormattedCitation" : "Rebecca Schiff, \u201cCivil-Military Relations Reconsidered: A Theory of Concordance,\u201d &lt;i&gt;Armed Forces &amp; Society&lt;/i&gt; 22, no. 1 (1995): 7\u201324; Douglas L Bland, \u201cA Unified Theory of Civil-Military Relations,\u201d &lt;i&gt;Armed Forces &amp; Society&lt;/i&gt; 26, no. 1 (1999): 7\u201326; Gavin Cawthra and Robin Luckham, &lt;i&gt;Governing Insecurity&lt;/i&gt;, ed. Gavin Cawthra and Robin Luckham (London: Zed Books, 2003)." }, "properties" : { "noteIndex" : 0 }, "schema" : "https://github.com/citation-style-language/schema/raw/master/csl-citation.json" }</w:instrText>
      </w:r>
      <w:r w:rsidR="00257C23">
        <w:fldChar w:fldCharType="separate"/>
      </w:r>
      <w:r w:rsidR="00257C23" w:rsidRPr="00257C23">
        <w:rPr>
          <w:noProof/>
        </w:rPr>
        <w:t xml:space="preserve">Rebecca Schiff, “Civil-Military Relations Reconsidered: A Theory of Concordance,” </w:t>
      </w:r>
      <w:r w:rsidR="00257C23" w:rsidRPr="00257C23">
        <w:rPr>
          <w:i/>
          <w:noProof/>
        </w:rPr>
        <w:t>Armed Forces &amp; Society</w:t>
      </w:r>
      <w:r w:rsidR="00257C23" w:rsidRPr="00257C23">
        <w:rPr>
          <w:noProof/>
        </w:rPr>
        <w:t xml:space="preserve"> 22, no. 1 (1995): 7–24; Douglas L Bland, “A Unified Theory of Civil-Military Relations,” </w:t>
      </w:r>
      <w:r w:rsidR="00257C23" w:rsidRPr="00257C23">
        <w:rPr>
          <w:i/>
          <w:noProof/>
        </w:rPr>
        <w:t>Armed Forces &amp; Society</w:t>
      </w:r>
      <w:r w:rsidR="00257C23" w:rsidRPr="00257C23">
        <w:rPr>
          <w:noProof/>
        </w:rPr>
        <w:t xml:space="preserve"> 26, no. 1 (1999): 7–26; Gavin Cawthra and Robin Luckham, </w:t>
      </w:r>
      <w:r w:rsidR="00257C23" w:rsidRPr="00257C23">
        <w:rPr>
          <w:i/>
          <w:noProof/>
        </w:rPr>
        <w:t>Governing Insecurity</w:t>
      </w:r>
      <w:r w:rsidR="00257C23" w:rsidRPr="00257C23">
        <w:rPr>
          <w:noProof/>
        </w:rPr>
        <w:t>, ed. Gavin Cawthra and Robin Luckham (London: Zed Books, 2003).</w:t>
      </w:r>
      <w:r w:rsidR="00257C23">
        <w:fldChar w:fldCharType="end"/>
      </w:r>
    </w:p>
  </w:endnote>
  <w:endnote w:id="11">
    <w:p w14:paraId="1636780A" w14:textId="54EBB6CA" w:rsidR="00DC404C" w:rsidRDefault="00DF570B" w:rsidP="00F61E31">
      <w:pPr>
        <w:pStyle w:val="EndnoteText"/>
      </w:pPr>
      <w:r>
        <w:rPr>
          <w:rStyle w:val="EndnoteReference"/>
        </w:rPr>
        <w:endnoteRef/>
      </w:r>
      <w:r>
        <w:t xml:space="preserve"> </w:t>
      </w:r>
      <w:r w:rsidR="007D3632">
        <w:fldChar w:fldCharType="begin" w:fldLock="1"/>
      </w:r>
      <w:r w:rsidR="00130BE9">
        <w:instrText>ADDIN CSL_CITATION { "citationItems" : [ { "id" : "ITEM-1", "itemData" : { "abstract" : "This manual complements ISSAT\u2019s Introductory Level 1 Security Sector Reform Training Course. It aims to provide a basic overview of Security Sector Reform (SSR) policy and practice based on collective experience in supporting security and justice reform efforts. The manual is built around four key pillars of SSR: Section one: The Concept of SSR. This section discusses SSR as a concept, explains its evolution and theoretical foundations and provides definitions of key terms. It also highlights some key characteristics of SSR. Section two: Key Security and Justice Actors. This section maps the main security and justice actors at both the national and international level and proceeds to discuss coordination among these actors when engaging in SSR. Section three: SSR Programming. This section elaborates the various stages of the SSR programme cycle, and addresses various challenges\u2014both political and technical\u2014that could arise when engaging in SSR programming. Section four: Cross-Cutting Issues. This section reviews important thematic and practical aspects of SSR that are often overlooked, including gender issues, human rights and programme management. It also discusses issues closely related to SSR, such as Disarmament, Demobilisation and Reintegration (DDR), Small Arms and Light Weapons (SALW) control and Transitional Justice (TJ). This manual provides an overview of the theoretical background and key practical insights needed to engage in SSR programming, setting out the main principles but also highlighting various challenges that could arise when engaging in SSR. For those who have completed the ISSAT Level 1 Introductory Training Course, as well as those getting involved in SSR policy and programming for the first time, this textbook will remain a useful reference.", "id" : "ITEM-1", "issued" : { "date-parts" : [ [ "2012" ] ] }, "publisher" : "DCAF ISSAT", "publisher-place" : "Geneva", "title" : "SSR In a Nutshell. Manual for Introductory Training on Security Sector Reform", "type" : "book" }, "uris" : [ "http://www.mendeley.com/documents/?uuid=75bac8ea-0d6b-4db6-abdd-5253df89c8dc" ] } ], "mendeley" : { "formattedCitation" : "&lt;i&gt;SSR In a Nutshell. Manual for Introductory Training on Security Sector Reform&lt;/i&gt; (Geneva: DCAF ISSAT, 2012).", "plainTextFormattedCitation" : "SSR In a Nutshell. Manual for Introductory Training on Security Sector Reform (Geneva: DCAF ISSAT, 2012).", "previouslyFormattedCitation" : "&lt;i&gt;SSR In a Nutshell. Manual for Introductory Training on Security Sector Reform&lt;/i&gt; (Geneva: DCAF ISSAT, 2012)." }, "properties" : { "noteIndex" : 0 }, "schema" : "https://github.com/citation-style-language/schema/raw/master/csl-citation.json" }</w:instrText>
      </w:r>
      <w:r w:rsidR="007D3632">
        <w:fldChar w:fldCharType="separate"/>
      </w:r>
      <w:r w:rsidR="007D3632" w:rsidRPr="007D3632">
        <w:rPr>
          <w:i/>
          <w:noProof/>
        </w:rPr>
        <w:t>SSR In a Nutshell. Manual for Introductory Training on Security Sector Reform</w:t>
      </w:r>
      <w:r w:rsidR="007D3632" w:rsidRPr="007D3632">
        <w:rPr>
          <w:noProof/>
        </w:rPr>
        <w:t xml:space="preserve"> (Geneva: DCAF ISSAT, 2012).</w:t>
      </w:r>
      <w:r w:rsidR="007D3632">
        <w:fldChar w:fldCharType="end"/>
      </w:r>
    </w:p>
  </w:endnote>
  <w:endnote w:id="12">
    <w:p w14:paraId="42A7DD3E" w14:textId="6B3F0D70" w:rsidR="00DC404C" w:rsidRDefault="00DF570B" w:rsidP="00F61E31">
      <w:pPr>
        <w:pStyle w:val="EndnoteText"/>
      </w:pPr>
      <w:r>
        <w:rPr>
          <w:rStyle w:val="EndnoteReference"/>
        </w:rPr>
        <w:endnoteRef/>
      </w:r>
      <w:r>
        <w:t xml:space="preserve"> </w:t>
      </w:r>
      <w:r w:rsidR="00130BE9">
        <w:fldChar w:fldCharType="begin" w:fldLock="1"/>
      </w:r>
      <w:r w:rsidR="00995F70">
        <w:instrText>ADDIN CSL_CITATION { "citationItems" : [ { "id" : "ITEM-1", "itemData" : { "abstract" : "This background paper, a primer for those new to the security sector reform (SSR) field, provides a critical overview of the SSR model, breaking it down and outlining its key elements. It also surveys emerging SSR best practices and analyzes current reform strategies and approaches. The paper identifies the main challenges to the implementation of SSR in the field and some of the tensions and debates surrounding the model that have gained traction in the policy and academic communities. While not a replacement for key foundational documents like the OECD DAC Handbook on Security System Reform, the paper offers an analytical examination of the development of SSR orthodoxy and its application in the field over the past decade.", "author" : [ { "dropping-particle" : "", "family" : "Sedra", "given" : "Mark", "non-dropping-particle" : "", "parse-names" : false, "suffix" : "" } ], "id" : "ITEM-1", "issued" : { "date-parts" : [ [ "2010" ] ] }, "page" : "1-23", "publisher" : "Centre for International Governance Innovation", "publisher-place" : "Ontario", "title" : "Security Sector Reform 101: Understanding the Concept, Charting Trends and Identifying Challenges", "type" : "article" }, "uris" : [ "http://www.mendeley.com/documents/?uuid=e9821bb4-597b-4787-96a1-cb898f95968d" ] } ], "mendeley" : { "formattedCitation" : "Mark Sedra, \u201cSecurity Sector Reform 101: Understanding the Concept, Charting Trends and Identifying Challenges\u201d (Ontario: Centre for International Governance Innovation, 2010).", "plainTextFormattedCitation" : "Mark Sedra, \u201cSecurity Sector Reform 101: Understanding the Concept, Charting Trends and Identifying Challenges\u201d (Ontario: Centre for International Governance Innovation, 2010).", "previouslyFormattedCitation" : "Mark Sedra, \u201cSecurity Sector Reform 101: Understanding the Concept, Charting Trends and Identifying Challenges\u201d (Ontario: Centre for International Governance Innovation, 2010)." }, "properties" : { "noteIndex" : 0 }, "schema" : "https://github.com/citation-style-language/schema/raw/master/csl-citation.json" }</w:instrText>
      </w:r>
      <w:r w:rsidR="00130BE9">
        <w:fldChar w:fldCharType="separate"/>
      </w:r>
      <w:r w:rsidR="00130BE9" w:rsidRPr="00130BE9">
        <w:rPr>
          <w:noProof/>
        </w:rPr>
        <w:t>Mark Sedra, “Security Sector Reform 101: Understanding the Concept, Charting Trends and Identifying Challenges” (Ontario: Centre for International Governance Innovation, 2010).</w:t>
      </w:r>
      <w:r w:rsidR="00130BE9">
        <w:fldChar w:fldCharType="end"/>
      </w:r>
    </w:p>
  </w:endnote>
  <w:endnote w:id="13">
    <w:p w14:paraId="3E9FAD06" w14:textId="6EE0396D" w:rsidR="0073064D" w:rsidRDefault="0073064D" w:rsidP="0073064D">
      <w:pPr>
        <w:spacing w:after="120" w:line="276" w:lineRule="auto"/>
      </w:pPr>
      <w:r>
        <w:rPr>
          <w:rStyle w:val="EndnoteReference"/>
        </w:rPr>
        <w:endnoteRef/>
      </w:r>
      <w:r>
        <w:t xml:space="preserve"> </w:t>
      </w:r>
      <w:r>
        <w:rPr>
          <w:sz w:val="22"/>
          <w:szCs w:val="22"/>
        </w:rPr>
        <w:fldChar w:fldCharType="begin" w:fldLock="1"/>
      </w:r>
      <w:r w:rsidR="00D23380">
        <w:rPr>
          <w:sz w:val="22"/>
          <w:szCs w:val="22"/>
        </w:rPr>
        <w:instrText>ADDIN CSL_CITATION { "citationItems" : [ { "id" : "ITEM-1", "itemData" : { "DOI" : "10.1080/10246029.2005.9627376", "ISSN" : "1024-6029", "abstract" : "In the ten years since the establishment of South Africa's first inclusive democratic government, an ambitious, extensive and systematic process of reform has been carried out in the governance of security. The process is widely regarded as having been successful and a model for other processes of ?security sector reform? in the context of transitions from authoritarian forms of governance to democratic ones. That this been achieved with hardly a shot fired in anger is a remarkable achievement and a credit to visionary political leadership as well as organisational capacity, in other words to effective security governance. At the same time, progress has been uneven and sometimes fragmentary, policy intentions and commitments have not always been translated into practice, the end results have not been to everyone's liking, and transformation has engendered its own pathologies. Thus several challenges remain in improving security governance. This article provides a broad overview of the roles played by the various actors in the governance of the security sector, including the executive, parliament and civil society. It examines the main policy frameworks and touches on organisational transformation, because it is impossible to deal with governance in isolation from these issues. Policy processes and the frameworks they give rise to?in particular?are critical for effective governance. This article deals with the defence, safety and security and intelligence fields. A comprehensive overview would need to include the governance of criminal justice and foreign policy. The article does not seek to make an overall evaluation of governance, but to identify achievements, shortfalls and challenges. In the ten years since the establishment of South Africa's first inclusive democratic government, an ambitious, extensive and systematic process of reform has been carried out in the governance of security. The process is widely regarded as having been successful and a model for other processes of ?security sector reform? in the context of transitions from authoritarian forms of governance to democratic ones. That this been achieved with hardly a shot fired in anger is a remarkable achievement and a credit to visionary political leadership as well as organisational capacity, in other words to effective security governance. At the same time, progress has been uneven and sometimes fragmentary, policy intentions and commitments have not always been translated into practice\u2026", "author" : [ { "dropping-particle" : "", "family" : "Cawthra", "given" : "Gavin", "non-dropping-particle" : "", "parse-names" : false, "suffix" : "" } ], "container-title" : "African Security Review", "id" : "ITEM-1", "issue" : "3", "issued" : { "date-parts" : [ [ "2005" ] ] }, "page" : "95-105", "title" : "Security Governance in South Africa", "type" : "article-journal", "volume" : "14" }, "uris" : [ "http://www.mendeley.com/documents/?uuid=cd98365d-da58-4504-a857-449a071e36f8" ] }, { "id" : "ITEM-2", "itemData" : { "abstract" : "This chapter directly challenges some of the popular security sector reform (SSR) mythology that has grown around the UK\u2019s involvement in Sierra Leone and the subsequent policy developments associated with SSR. It raises questions about the underlying political assumptions of the SSR process and contemporary SSR material, much of which lacks analysis of underlying theories relating to broader state building and construction of a liberal peace.", "author" : [ { "dropping-particle" : "", "family" : "Jackson", "given" : "Paul", "non-dropping-particle" : "", "parse-names" : false, "suffix" : "" } ], "chapter-number" : "7", "container-title" : "The Future of Security Sector Reform", "editor" : [ { "dropping-particle" : "", "family" : "Sedra", "given" : "Mark", "non-dropping-particle" : "", "parse-names" : false, "suffix" : "" } ], "id" : "ITEM-2", "issued" : { "date-parts" : [ [ "2010" ] ] }, "note" : "ANNOTATIONS ADD 117 TO PAGE NUMBERS\n\nThe overall perspective?\u00a0\u00a0\u00a0\n\u00a0\u00a0\u00a0\u00a0 \nP118 Focuses on the practice of SSR in Sierra Leone.\n\nP119 Notes the difference between SSR and SSR in post-conflict states.\n\n\u00a0 \nLinks to CMR? \n\u00a0 \n\u00a0 \nMeasuring SSR success?\u00a0\u00a0\u00a0\u00a0\u00a0\u00a0\u00a0 \n\u00a0 \n\u00a0 \nNormative solutions? \n\nP118 Suggestions that there are 'radically different circumstances' elsewhere and that there is a need to consider the political aspects of SSR.\n\u00a0 \nOther issues?", "page" : "118-135", "publisher" : "The Centre for International Governance Innovation", "title" : "SSR and Post-Conflict Reconstruction The Armed Wing of State Building", "type" : "chapter" }, "uris" : [ "http://www.mendeley.com/documents/?uuid=331d2288-5acd-47f1-8eab-298c73db09e5" ] }, { "id" : "ITEM-3", "itemData" : { "DOI" : "10.1080/13533312.2014.910405", "ISSN" : "1353-3312", "abstract" : "Comprehensive Security Sector Reform (SSR) has become a crucial component of many international peace- and statebuilding operations. The paper assesses the consequences of these attempts to foster international standards of \u2018democratic security governance\u2019 in the security sectors of post-conflict or fragile states. The paper builds on qualitative case study research of SSR interventions in Timor-Leste, Liberia, and the Palestinian Terri- tories, conducted 2010\u20132012, to trace patterns of adoption, adaptation or rejection of international security governance standards by domestic actors. The article uses insights from sociological organization theories to identify different types of \u2018hybrid security orders\u2019 that result from encounters between international and domestic models of security governance in SSR processes.", "author" : [ { "dropping-particle" : "", "family" : "Schroeder", "given" : "Ursula C", "non-dropping-particle" : "", "parse-names" : false, "suffix" : "" }, { "dropping-particle" : "", "family" : "Chappuis", "given" : "Fairlie", "non-dropping-particle" : "", "parse-names" : false, "suffix" : "" }, { "dropping-particle" : "", "family" : "Kocak", "given" : "Deniz", "non-dropping-particle" : "", "parse-names" : false, "suffix" : "" } ], "container-title" : "International Peacekeeping", "id" : "ITEM-3", "issue" : "2", "issued" : { "date-parts" : [ [ "2014" ] ] }, "page" : "214-230", "title" : "Security Sector Reform and the Emergence of Hybrid Security Governance", "type" : "article-journal", "volume" : "21" }, "uris" : [ "http://www.mendeley.com/documents/?uuid=5bd911c6-6df9-49c6-8182-e5e3c0f5e73d" ] } ], "mendeley" : { "formattedCitation" : "Gavin Cawthra, \u201cSecurity Governance in South Africa,\u201d &lt;i&gt;African Security Review&lt;/i&gt; 14, no. 3 (2005): 95\u2013105, doi:10.1080/10246029.2005.9627376; Jackson, \u201cSSR and Post-Conflict Reconstruction The Armed Wing of State Building\u201d; Ursula C Schroeder, Fairlie Chappuis, and Deniz Kocak, \u201cSecurity Sector Reform and the Emergence of Hybrid Security Governance,\u201d &lt;i&gt;International Peacekeeping&lt;/i&gt; 21, no. 2 (2014): 214\u201330, doi:10.1080/13533312.2014.910405.", "manualFormatting" : "Gavin Cawthra, \u201cSecurity Governance in South Africa,\u201d African Security Review 14, no. 3 (2005): 95\u2013105; Jackson, \u201cSSR and Post-Conflict Reconstruction The Armed Wing of State Building\u201d; Ursula C Schroeder, Fairlie Chappuis, and Deniz Kocak, \u201cSecurity Sector Reform and the Emergence of Hybrid Security Governance,\u201d International Peacekeeping 21, no. 2 (2014): 214\u201330.", "plainTextFormattedCitation" : "Gavin Cawthra, \u201cSecurity Governance in South Africa,\u201d African Security Review 14, no. 3 (2005): 95\u2013105, doi:10.1080/10246029.2005.9627376; Jackson, \u201cSSR and Post-Conflict Reconstruction The Armed Wing of State Building\u201d; Ursula C Schroeder, Fairlie Chappuis, and Deniz Kocak, \u201cSecurity Sector Reform and the Emergence of Hybrid Security Governance,\u201d International Peacekeeping 21, no. 2 (2014): 214\u201330, doi:10.1080/13533312.2014.910405.", "previouslyFormattedCitation" : "Gavin Cawthra, \u201cSecurity Governance in South Africa,\u201d &lt;i&gt;African Security Review&lt;/i&gt; 14, no. 3 (2005): 95\u2013105, doi:10.1080/10246029.2005.9627376; Jackson, \u201cSSR and Post-Conflict Reconstruction The Armed Wing of State Building\u201d; Ursula C Schroeder, Fairlie Chappuis, and Deniz Kocak, \u201cSecurity Sector Reform and the Emergence of Hybrid Security Governance,\u201d &lt;i&gt;International Peacekeeping&lt;/i&gt; 21, no. 2 (2014): 214\u201330, doi:10.1080/13533312.2014.910405." }, "properties" : { "noteIndex" : 0 }, "schema" : "https://github.com/citation-style-language/schema/raw/master/csl-citation.json" }</w:instrText>
      </w:r>
      <w:r>
        <w:rPr>
          <w:sz w:val="22"/>
          <w:szCs w:val="22"/>
        </w:rPr>
        <w:fldChar w:fldCharType="separate"/>
      </w:r>
      <w:r w:rsidRPr="0073064D">
        <w:rPr>
          <w:noProof/>
          <w:sz w:val="22"/>
          <w:szCs w:val="22"/>
        </w:rPr>
        <w:t xml:space="preserve">Gavin Cawthra, “Security Governance in South Africa,” </w:t>
      </w:r>
      <w:r w:rsidRPr="0073064D">
        <w:rPr>
          <w:i/>
          <w:noProof/>
          <w:sz w:val="22"/>
          <w:szCs w:val="22"/>
        </w:rPr>
        <w:t>African Security Review</w:t>
      </w:r>
      <w:r>
        <w:rPr>
          <w:noProof/>
          <w:sz w:val="22"/>
          <w:szCs w:val="22"/>
        </w:rPr>
        <w:t xml:space="preserve"> 14, no. 3 (2005): 95–105</w:t>
      </w:r>
      <w:r w:rsidRPr="0073064D">
        <w:rPr>
          <w:noProof/>
          <w:sz w:val="22"/>
          <w:szCs w:val="22"/>
        </w:rPr>
        <w:t xml:space="preserve">; Jackson, “SSR and Post-Conflict Reconstruction The Armed Wing of State Building”; Ursula C Schroeder, Fairlie Chappuis, and Deniz Kocak, “Security Sector Reform and the Emergence of Hybrid Security Governance,” </w:t>
      </w:r>
      <w:r w:rsidRPr="0073064D">
        <w:rPr>
          <w:i/>
          <w:noProof/>
          <w:sz w:val="22"/>
          <w:szCs w:val="22"/>
        </w:rPr>
        <w:t>International Peacekeeping</w:t>
      </w:r>
      <w:r w:rsidRPr="0073064D">
        <w:rPr>
          <w:noProof/>
          <w:sz w:val="22"/>
          <w:szCs w:val="22"/>
        </w:rPr>
        <w:t xml:space="preserve"> 21, no. 2 </w:t>
      </w:r>
      <w:r>
        <w:rPr>
          <w:noProof/>
          <w:sz w:val="22"/>
          <w:szCs w:val="22"/>
        </w:rPr>
        <w:t>(2014): 214–30</w:t>
      </w:r>
      <w:r w:rsidRPr="0073064D">
        <w:rPr>
          <w:noProof/>
          <w:sz w:val="22"/>
          <w:szCs w:val="22"/>
        </w:rPr>
        <w:t>.</w:t>
      </w:r>
      <w:r>
        <w:rPr>
          <w:sz w:val="22"/>
          <w:szCs w:val="22"/>
        </w:rPr>
        <w:fldChar w:fldCharType="end"/>
      </w:r>
    </w:p>
  </w:endnote>
  <w:endnote w:id="14">
    <w:p w14:paraId="6394FBDA" w14:textId="4F03C887" w:rsidR="00DC404C" w:rsidRDefault="00DF570B" w:rsidP="008C3C68">
      <w:pPr>
        <w:pStyle w:val="EndnoteText"/>
      </w:pPr>
      <w:r>
        <w:rPr>
          <w:rStyle w:val="EndnoteReference"/>
        </w:rPr>
        <w:endnoteRef/>
      </w:r>
      <w:r>
        <w:t xml:space="preserve"> </w:t>
      </w:r>
      <w:r w:rsidR="008C3C68">
        <w:fldChar w:fldCharType="begin" w:fldLock="1"/>
      </w:r>
      <w:r w:rsidR="008C3C68">
        <w:instrText>ADDIN CSL_CITATION { "citationItems" : [ { "id" : "ITEM-1", "itemData" : { "abstract" : "The objective of this paper is to assess the obstacles and opportunities for SSR in environments that are barely conducive to ideal\u2010type SSR. For this purpose the paper gathered insights and lessons from a number of specific SSR experiences (notably in the Central African Republic, Colombia, the Democratic Republic of the Congo, Georgia, Morocco, Nepal, Sri Lanka and Timor\u2010Leste), as well as drawing on the experiences of researchers and practitioners involved in the design and implementation of SSR projects. SSR is a highly political process, shifting and reshuffling power relationships in government, the security sector and society. If pursued as intended \u2013 shifting power over a society\u2019s security provision from the few to the many \u2013 SSR puts security institutions in the service of an empowered society. It is thus part and parcel of democratisation efforts and the strengthening of good governance in transition societies.", "author" : [ { "dropping-particle" : "", "family" : "Schnabel", "given" : "Albrecht", "non-dropping-particle" : "", "parse-names" : false, "suffix" : "" }, { "dropping-particle" : "", "family" : "Born", "given" : "Hans", "non-dropping-particle" : "", "parse-names" : false, "suffix" : "" } ], "id" : "ITEM-1", "issued" : { "date-parts" : [ [ "2011" ] ] }, "publisher" : "DCAF", "publisher-place" : "Geneva", "title" : "Security Sector Reform : Narrowing the Gap between Theory and Practice", "type" : "article" }, "locator" : "19", "uris" : [ "http://www.mendeley.com/documents/?uuid=5035783b-e84e-408f-9178-41a51b8f5dc8" ] } ], "mendeley" : { "formattedCitation" : "Albrecht Schnabel and Hans Born, \u201cSecurity Sector Reform\u202f: Narrowing the Gap between Theory and Practice\u201d (Geneva: DCAF, 2011), 19.", "plainTextFormattedCitation" : "Albrecht Schnabel and Hans Born, \u201cSecurity Sector Reform\u202f: Narrowing the Gap between Theory and Practice\u201d (Geneva: DCAF, 2011), 19.", "previouslyFormattedCitation" : "Albrecht Schnabel and Hans Born, \u201cSecurity Sector Reform\u202f: Narrowing the Gap between Theory and Practice\u201d (Geneva: DCAF, 2011), 19." }, "properties" : { "noteIndex" : 0 }, "schema" : "https://github.com/citation-style-language/schema/raw/master/csl-citation.json" }</w:instrText>
      </w:r>
      <w:r w:rsidR="008C3C68">
        <w:fldChar w:fldCharType="separate"/>
      </w:r>
      <w:r w:rsidR="008C3C68" w:rsidRPr="008C3C68">
        <w:rPr>
          <w:noProof/>
        </w:rPr>
        <w:t>Albrecht Schnabel and Hans Born, “Security Sector Reform : Narrowing the Gap between Theory and Practice” (Geneva: DCAF, 2011), 19.</w:t>
      </w:r>
      <w:r w:rsidR="008C3C68">
        <w:fldChar w:fldCharType="end"/>
      </w:r>
    </w:p>
  </w:endnote>
  <w:endnote w:id="15">
    <w:p w14:paraId="658ECD48" w14:textId="6D48B5D8" w:rsidR="00DC404C" w:rsidRDefault="00DF570B" w:rsidP="008C3C68">
      <w:pPr>
        <w:pStyle w:val="EndnoteText"/>
      </w:pPr>
      <w:r>
        <w:rPr>
          <w:rStyle w:val="EndnoteReference"/>
        </w:rPr>
        <w:endnoteRef/>
      </w:r>
      <w:r>
        <w:t xml:space="preserve"> </w:t>
      </w:r>
      <w:r w:rsidR="008C3C68">
        <w:fldChar w:fldCharType="begin" w:fldLock="1"/>
      </w:r>
      <w:r w:rsidR="00CA1794">
        <w:instrText>ADDIN CSL_CITATION { "citationItems" : [ { "id" : "ITEM-1", "itemData" : { "abstract" : "The objective of this paper is to assess the obstacles and opportunities for SSR in environments that are barely conducive to ideal\u2010type SSR. For this purpose the paper gathered insights and lessons from a number of specific SSR experiences (notably in the Central African Republic, Colombia, the Democratic Republic of the Congo, Georgia, Morocco, Nepal, Sri Lanka and Timor\u2010Leste), as well as drawing on the experiences of researchers and practitioners involved in the design and implementation of SSR projects. SSR is a highly political process, shifting and reshuffling power relationships in government, the security sector and society. If pursued as intended \u2013 shifting power over a society\u2019s security provision from the few to the many \u2013 SSR puts security institutions in the service of an empowered society. It is thus part and parcel of democratisation efforts and the strengthening of good governance in transition societies.", "author" : [ { "dropping-particle" : "", "family" : "Schnabel", "given" : "Albrecht", "non-dropping-particle" : "", "parse-names" : false, "suffix" : "" }, { "dropping-particle" : "", "family" : "Born", "given" : "Hans", "non-dropping-particle" : "", "parse-names" : false, "suffix" : "" } ], "id" : "ITEM-1", "issued" : { "date-parts" : [ [ "2011" ] ] }, "publisher" : "DCAF", "publisher-place" : "Geneva", "title" : "Security Sector Reform : Narrowing the Gap between Theory and Practice", "type" : "article" }, "locator" : "5-6", "uris" : [ "http://www.mendeley.com/documents/?uuid=5035783b-e84e-408f-9178-41a51b8f5dc8" ] } ], "mendeley" : { "formattedCitation" : "Ibid., 5\u20136.", "plainTextFormattedCitation" : "Ibid., 5\u20136.", "previouslyFormattedCitation" : "Ibid., 5\u20136." }, "properties" : { "noteIndex" : 0 }, "schema" : "https://github.com/citation-style-language/schema/raw/master/csl-citation.json" }</w:instrText>
      </w:r>
      <w:r w:rsidR="008C3C68">
        <w:fldChar w:fldCharType="separate"/>
      </w:r>
      <w:r w:rsidR="008C3C68" w:rsidRPr="008C3C68">
        <w:rPr>
          <w:noProof/>
        </w:rPr>
        <w:t>Ibid., 5–6.</w:t>
      </w:r>
      <w:r w:rsidR="008C3C68">
        <w:fldChar w:fldCharType="end"/>
      </w:r>
    </w:p>
  </w:endnote>
  <w:endnote w:id="16">
    <w:p w14:paraId="3266435C" w14:textId="3BBE91F2" w:rsidR="00DC404C" w:rsidRPr="00C55329" w:rsidRDefault="00DF570B" w:rsidP="00C55329">
      <w:pPr>
        <w:spacing w:after="120" w:line="276" w:lineRule="auto"/>
        <w:rPr>
          <w:sz w:val="22"/>
          <w:szCs w:val="22"/>
        </w:rPr>
      </w:pPr>
      <w:r>
        <w:rPr>
          <w:rStyle w:val="EndnoteReference"/>
        </w:rPr>
        <w:endnoteRef/>
      </w:r>
      <w:r>
        <w:t xml:space="preserve"> </w:t>
      </w:r>
      <w:r w:rsidR="00CA1794" w:rsidRPr="00CA1794">
        <w:rPr>
          <w:color w:val="000000"/>
          <w:sz w:val="22"/>
          <w:szCs w:val="22"/>
        </w:rPr>
        <w:fldChar w:fldCharType="begin" w:fldLock="1"/>
      </w:r>
      <w:r w:rsidR="00387235">
        <w:rPr>
          <w:color w:val="000000"/>
          <w:sz w:val="22"/>
          <w:szCs w:val="22"/>
        </w:rPr>
        <w:instrText>ADDIN CSL_CITATION { "citationItems" : [ { "id" : "ITEM-1", "itemData" : { "abstract" : "This chapter directly challenges some of the popular security sector reform (SSR) mythology that has grown around the UK\u2019s involvement in Sierra Leone and the subsequent policy developments associated with SSR. It raises questions about the underlying political assumptions of the SSR process and contemporary SSR material, much of which lacks analysis of underlying theories relating to broader state building and construction of a liberal peace.", "author" : [ { "dropping-particle" : "", "family" : "Jackson", "given" : "Paul", "non-dropping-particle" : "", "parse-names" : false, "suffix" : "" } ], "chapter-number" : "7", "container-title" : "The Future of Security Sector Reform", "editor" : [ { "dropping-particle" : "", "family" : "Sedra", "given" : "Mark", "non-dropping-particle" : "", "parse-names" : false, "suffix" : "" } ], "id" : "ITEM-1", "issued" : { "date-parts" : [ [ "2010" ] ] }, "note" : "ANNOTATIONS ADD 117 TO PAGE NUMBERS\n\nThe overall perspective?\u00a0\u00a0\u00a0\n\u00a0\u00a0\u00a0\u00a0 \nP118 Focuses on the practice of SSR in Sierra Leone.\n\nP119 Notes the difference between SSR and SSR in post-conflict states.\n\n\u00a0 \nLinks to CMR? \n\u00a0 \n\u00a0 \nMeasuring SSR success?\u00a0\u00a0\u00a0\u00a0\u00a0\u00a0\u00a0 \n\u00a0 \n\u00a0 \nNormative solutions? \n\nP118 Suggestions that there are 'radically different circumstances' elsewhere and that there is a need to consider the political aspects of SSR.\n\u00a0 \nOther issues?", "page" : "118-135", "publisher" : "The Centre for International Governance Innovation", "title" : "SSR and Post-Conflict Reconstruction The Armed Wing of State Building", "type" : "chapter" }, "locator" : "124", "uris" : [ "http://www.mendeley.com/documents/?uuid=331d2288-5acd-47f1-8eab-298c73db09e5" ] } ], "mendeley" : { "formattedCitation" : "Jackson, \u201cSSR and Post-Conflict Reconstruction The Armed Wing of State Building,\u201d 124.", "plainTextFormattedCitation" : "Jackson, \u201cSSR and Post-Conflict Reconstruction The Armed Wing of State Building,\u201d 124.", "previouslyFormattedCitation" : "Jackson, \u201cSSR and Post-Conflict Reconstruction The Armed Wing of State Building,\u201d 124." }, "properties" : { "noteIndex" : 0 }, "schema" : "https://github.com/citation-style-language/schema/raw/master/csl-citation.json" }</w:instrText>
      </w:r>
      <w:r w:rsidR="00CA1794" w:rsidRPr="00CA1794">
        <w:rPr>
          <w:color w:val="000000"/>
          <w:sz w:val="22"/>
          <w:szCs w:val="22"/>
        </w:rPr>
        <w:fldChar w:fldCharType="separate"/>
      </w:r>
      <w:r w:rsidR="00387235" w:rsidRPr="00387235">
        <w:rPr>
          <w:noProof/>
          <w:color w:val="000000"/>
          <w:sz w:val="22"/>
          <w:szCs w:val="22"/>
        </w:rPr>
        <w:t>Jackson, “SSR and Post-Conflict Reconstruction The Armed Wing of State Building,” 124.</w:t>
      </w:r>
      <w:r w:rsidR="00CA1794" w:rsidRPr="00CA1794">
        <w:rPr>
          <w:color w:val="000000"/>
          <w:sz w:val="22"/>
          <w:szCs w:val="22"/>
        </w:rPr>
        <w:fldChar w:fldCharType="end"/>
      </w:r>
    </w:p>
  </w:endnote>
  <w:endnote w:id="17">
    <w:p w14:paraId="1832F219" w14:textId="1A310D36" w:rsidR="00DC404C" w:rsidRDefault="00DF570B" w:rsidP="007E6436">
      <w:pPr>
        <w:pStyle w:val="EndnoteText"/>
      </w:pPr>
      <w:r>
        <w:rPr>
          <w:rStyle w:val="EndnoteReference"/>
        </w:rPr>
        <w:endnoteRef/>
      </w:r>
      <w:r>
        <w:t xml:space="preserve"> </w:t>
      </w:r>
      <w:r w:rsidR="007E6436">
        <w:rPr>
          <w:color w:val="000000"/>
          <w:szCs w:val="22"/>
        </w:rPr>
        <w:fldChar w:fldCharType="begin" w:fldLock="1"/>
      </w:r>
      <w:r w:rsidR="00D23380">
        <w:rPr>
          <w:color w:val="000000"/>
          <w:szCs w:val="22"/>
        </w:rPr>
        <w:instrText>ADDIN CSL_CITATION { "citationItems" : [ { "id" : "ITEM-1", "itemData" : { "DOI" : "10.1080/13533312.2014.910405", "ISSN" : "1353-3312", "abstract" : "Comprehensive Security Sector Reform (SSR) has become a crucial component of many international peace- and statebuilding operations. The paper assesses the consequences of these attempts to foster international standards of \u2018democratic security governance\u2019 in the security sectors of post-conflict or fragile states. The paper builds on qualitative case study research of SSR interventions in Timor-Leste, Liberia, and the Palestinian Terri- tories, conducted 2010\u20132012, to trace patterns of adoption, adaptation or rejection of international security governance standards by domestic actors. The article uses insights from sociological organization theories to identify different types of \u2018hybrid security orders\u2019 that result from encounters between international and domestic models of security governance in SSR processes.", "author" : [ { "dropping-particle" : "", "family" : "Schroeder", "given" : "Ursula C", "non-dropping-particle" : "", "parse-names" : false, "suffix" : "" }, { "dropping-particle" : "", "family" : "Chappuis", "given" : "Fairlie", "non-dropping-particle" : "", "parse-names" : false, "suffix" : "" }, { "dropping-particle" : "", "family" : "Kocak", "given" : "Deniz", "non-dropping-particle" : "", "parse-names" : false, "suffix" : "" } ], "container-title" : "International Peacekeeping", "id" : "ITEM-1", "issue" : "2", "issued" : { "date-parts" : [ [ "2014" ] ] }, "page" : "214-230", "title" : "Security Sector Reform and the Emergence of Hybrid Security Governance", "type" : "article-journal", "volume" : "21" }, "uris" : [ "http://www.mendeley.com/documents/?uuid=5bd911c6-6df9-49c6-8182-e5e3c0f5e73d" ] } ], "mendeley" : { "formattedCitation" : "Schroeder, Chappuis, and Kocak, \u201cSecurity Sector Reform and the Emergence of Hybrid Security Governance.\u201d", "plainTextFormattedCitation" : "Schroeder, Chappuis, and Kocak, \u201cSecurity Sector Reform and the Emergence of Hybrid Security Governance.\u201d", "previouslyFormattedCitation" : "Schroeder, Chappuis, and Kocak, \u201cSecurity Sector Reform and the Emergence of Hybrid Security Governance.\u201d" }, "properties" : { "noteIndex" : 0 }, "schema" : "https://github.com/citation-style-language/schema/raw/master/csl-citation.json" }</w:instrText>
      </w:r>
      <w:r w:rsidR="007E6436">
        <w:rPr>
          <w:color w:val="000000"/>
          <w:szCs w:val="22"/>
        </w:rPr>
        <w:fldChar w:fldCharType="separate"/>
      </w:r>
      <w:r w:rsidR="007E6436" w:rsidRPr="007E6436">
        <w:rPr>
          <w:noProof/>
          <w:color w:val="000000"/>
          <w:szCs w:val="22"/>
        </w:rPr>
        <w:t>Schroeder, Chappuis, and Kocak, “Security Sector Reform and the Emergence of Hybrid Security Governance.”</w:t>
      </w:r>
      <w:r w:rsidR="007E6436">
        <w:rPr>
          <w:color w:val="000000"/>
          <w:szCs w:val="22"/>
        </w:rPr>
        <w:fldChar w:fldCharType="end"/>
      </w:r>
    </w:p>
  </w:endnote>
  <w:endnote w:id="18">
    <w:p w14:paraId="757E5C1B" w14:textId="071AF39F" w:rsidR="00DC404C" w:rsidRDefault="00DF570B" w:rsidP="00E23BED">
      <w:pPr>
        <w:pStyle w:val="EndnoteText"/>
      </w:pPr>
      <w:r>
        <w:rPr>
          <w:rStyle w:val="EndnoteReference"/>
        </w:rPr>
        <w:endnoteRef/>
      </w:r>
      <w:r>
        <w:t xml:space="preserve"> </w:t>
      </w:r>
      <w:r w:rsidR="00E23BED">
        <w:fldChar w:fldCharType="begin" w:fldLock="1"/>
      </w:r>
      <w:r w:rsidR="002E1714">
        <w:instrText>ADDIN CSL_CITATION { "citationItems" : [ { "id" : "ITEM-1", "itemData" : { "abstract" : "The paper aims to examine the actual and potential linkages between DDR and SSR programmes and processes, in order to clarify these important issues. In doing so, it aims to contribute to an important and urgent emerging debate for policy-makers and practitioners on how best to operationalise links between SSR and DDR.", "author" : [ { "dropping-particle" : "", "family" : "Greene", "given" : "Owen", "non-dropping-particle" : "", "parse-names" : false, "suffix" : "" }, { "dropping-particle" : "", "family" : "Rynn", "given" : "Simon", "non-dropping-particle" : "", "parse-names" : false, "suffix" : "" } ], "collection-title" : "DDR and Human Security: Post Conflict Security Building and the Interests of the Poor", "id" : "ITEM-1", "issued" : { "date-parts" : [ [ "2008" ] ] }, "number" : "Thematic Working Paper 2", "publisher-place" : "Bradford", "title" : "Linking and Co-ordinating DDR and SSR for Human Security after Conflict: Issues, Experience and Priorities", "type" : "report" }, "locator" : "8", "uris" : [ "http://www.mendeley.com/documents/?uuid=56b40a32-319b-4b86-bb85-345c74f154d5" ] } ], "mendeley" : { "formattedCitation" : "Greene and Rynn, \u201cLinking and Co-Ordinating DDR and SSR for Human Security after Conflict: Issues, Experience and Priorities,\u201d 8.", "plainTextFormattedCitation" : "Greene and Rynn, \u201cLinking and Co-Ordinating DDR and SSR for Human Security after Conflict: Issues, Experience and Priorities,\u201d 8.", "previouslyFormattedCitation" : "Greene and Rynn, \u201cLinking and Co-Ordinating DDR and SSR for Human Security after Conflict: Issues, Experience and Priorities,\u201d 8." }, "properties" : { "noteIndex" : 0 }, "schema" : "https://github.com/citation-style-language/schema/raw/master/csl-citation.json" }</w:instrText>
      </w:r>
      <w:r w:rsidR="00E23BED">
        <w:fldChar w:fldCharType="separate"/>
      </w:r>
      <w:r w:rsidR="00E23BED" w:rsidRPr="00E23BED">
        <w:rPr>
          <w:noProof/>
        </w:rPr>
        <w:t>Greene and Rynn, “Linking and Co-Ordinating DDR and SSR for Human Security after Conflict: Issues, Experience and Priorities,” 8.</w:t>
      </w:r>
      <w:r w:rsidR="00E23BED">
        <w:fldChar w:fldCharType="end"/>
      </w:r>
    </w:p>
  </w:endnote>
  <w:endnote w:id="19">
    <w:p w14:paraId="0BA06C67" w14:textId="65C47D08" w:rsidR="00DC404C" w:rsidRDefault="00DF570B" w:rsidP="00236B57">
      <w:pPr>
        <w:pStyle w:val="EndnoteText"/>
      </w:pPr>
      <w:r>
        <w:rPr>
          <w:rStyle w:val="EndnoteReference"/>
        </w:rPr>
        <w:endnoteRef/>
      </w:r>
      <w:r>
        <w:t xml:space="preserve"> </w:t>
      </w:r>
      <w:r w:rsidR="00236B57">
        <w:fldChar w:fldCharType="begin" w:fldLock="1"/>
      </w:r>
      <w:r w:rsidR="006C14CD">
        <w:instrText>ADDIN CSL_CITATION { "citationItems" : [ { "id" : "ITEM-1", "itemData" : { "abstract" : "This paper is written as a background paper to the 9-10 April 2008 conference on Whole-of- Government Approaches (WGA) to Security System Reform (SSR).1 The theory of realising a WGA to SSR is no rocket science. In practice however, it has proven to be a difficult and politically challenging endeavour, on which a body of experience is building.2 The paper aims to capture that body, and to identify apparent gaps in the accumulated knowledge and practice thus far. In this way, it seeks to stimulate discussion on current issues and challenges. 2.", "author" : [ { "dropping-particle" : "", "family" : "Anten", "given" : "Louise", "non-dropping-particle" : "", "parse-names" : false, "suffix" : "" }, { "dropping-particle" : "", "family" : "Beijnum", "given" : "Mariska", "non-dropping-particle" : "van", "parse-names" : false, "suffix" : "" }, { "dropping-particle" : "", "family" : "Claassens", "given" : "Marloes", "non-dropping-particle" : "", "parse-names" : false, "suffix" : "" }, { "dropping-particle" : "", "family" : "Kets", "given" : "Evert", "non-dropping-particle" : "", "parse-names" : false, "suffix" : "" } ], "container-title" : "Whole-of- Government Approaches (WGA) to Security System Reform (SSR).", "id" : "ITEM-1", "issue" : "April", "issued" : { "date-parts" : [ [ "2008" ] ] }, "page" : "1-29", "publisher" : "Clingendael Institute", "publisher-place" : "The Hague", "title" : "Conference Background Paper", "type" : "paper-conference" }, "uris" : [ "http://www.mendeley.com/documents/?uuid=55107c59-d550-4b7c-9b90-93f8e1de6271" ] } ], "mendeley" : { "formattedCitation" : "Louise Anten et al., \u201cConference Background Paper,\u201d in &lt;i&gt;Whole-of- Government Approaches (WGA) to Security System Reform (SSR).&lt;/i&gt; (The Hague: Clingendael Institute, 2008), 1\u201329.", "plainTextFormattedCitation" : "Louise Anten et al., \u201cConference Background Paper,\u201d in Whole-of- Government Approaches (WGA) to Security System Reform (SSR). (The Hague: Clingendael Institute, 2008), 1\u201329.", "previouslyFormattedCitation" : "Louise Anten et al., \u201cConference Background Paper,\u201d in &lt;i&gt;Whole-of- Government Approaches (WGA) to Security System Reform (SSR).&lt;/i&gt; (The Hague: Clingendael Institute, 2008), 1\u201329." }, "properties" : { "noteIndex" : 0 }, "schema" : "https://github.com/citation-style-language/schema/raw/master/csl-citation.json" }</w:instrText>
      </w:r>
      <w:r w:rsidR="00236B57">
        <w:fldChar w:fldCharType="separate"/>
      </w:r>
      <w:r w:rsidR="00236B57" w:rsidRPr="00236B57">
        <w:rPr>
          <w:noProof/>
        </w:rPr>
        <w:t xml:space="preserve">Louise Anten et al., “Conference Background Paper,” in </w:t>
      </w:r>
      <w:r w:rsidR="00236B57" w:rsidRPr="00236B57">
        <w:rPr>
          <w:i/>
          <w:noProof/>
        </w:rPr>
        <w:t>Whole-of- Government Approaches (WGA) to Security System Reform (SSR).</w:t>
      </w:r>
      <w:r w:rsidR="00236B57" w:rsidRPr="00236B57">
        <w:rPr>
          <w:noProof/>
        </w:rPr>
        <w:t xml:space="preserve"> (The Hague: Clingendael Institute, 2008), 1–29.</w:t>
      </w:r>
      <w:r w:rsidR="00236B57">
        <w:fldChar w:fldCharType="end"/>
      </w:r>
    </w:p>
  </w:endnote>
  <w:endnote w:id="20">
    <w:p w14:paraId="246B50CF" w14:textId="69E0255A" w:rsidR="00DC404C" w:rsidRDefault="00DF570B" w:rsidP="006C14CD">
      <w:pPr>
        <w:pStyle w:val="EndnoteText"/>
      </w:pPr>
      <w:r>
        <w:rPr>
          <w:rStyle w:val="EndnoteReference"/>
        </w:rPr>
        <w:endnoteRef/>
      </w:r>
      <w:r>
        <w:t xml:space="preserve"> </w:t>
      </w:r>
      <w:r w:rsidR="006C14CD">
        <w:fldChar w:fldCharType="begin" w:fldLock="1"/>
      </w:r>
      <w:r w:rsidR="0096419F">
        <w:instrText>ADDIN CSL_CITATION { "citationItems" : [ { "id" : "ITEM-1", "itemData" : { "ISBN" : "978-3-643-80117-3", "abstract" : "There has now been more than a decade of conceptual work, policy development and operational activity in the field of security sector reform (SSR). To what extent has its original aim to support and facilitate development been met? The different contributions to this volume address this question, offering a range of insights on the theoretical and practical relevance of the security-development nexus in SSR. They examine claims of how and whether SSR effectively contributes to achieving both security and development objectives. In particular, the analyses presented in this volume provide a salutary lesson that development and security communities need to take each other\u2019s concerns into account when planning, implementing and evaluating their activities. The book offers academics, policy-makers and practitioners within the development and security communities relevant lessons, suggestions and practical advice for approaching SSR as an instrument that serves both security and development objectives.", "editor" : [ { "dropping-particle" : "", "family" : "Schnabel", "given" : "Albrecht", "non-dropping-particle" : "", "parse-names" : false, "suffix" : "" }, { "dropping-particle" : "", "family" : "Farr", "given" : "Vanessa", "non-dropping-particle" : "", "parse-names" : false, "suffix" : "" } ], "id" : "ITEM-1", "issued" : { "date-parts" : [ [ "2012" ] ] }, "publisher" : "Lit Verlag", "title" : "Back to the Roots: Security Sector Reform and Development", "type" : "book" }, "uris" : [ "http://www.mendeley.com/documents/?uuid=62feeff0-c0a1-4e0d-8319-c623723586fd" ] } ], "mendeley" : { "formattedCitation" : "Albrecht Schnabel and Vanessa Farr, eds., &lt;i&gt;Back to the Roots: Security Sector Reform and Development&lt;/i&gt; (Lit Verlag, 2012).", "plainTextFormattedCitation" : "Albrecht Schnabel and Vanessa Farr, eds., Back to the Roots: Security Sector Reform and Development (Lit Verlag, 2012).", "previouslyFormattedCitation" : "Albrecht Schnabel and Vanessa Farr, eds., &lt;i&gt;Back to the Roots: Security Sector Reform and Development&lt;/i&gt; (Lit Verlag, 2012)." }, "properties" : { "noteIndex" : 0 }, "schema" : "https://github.com/citation-style-language/schema/raw/master/csl-citation.json" }</w:instrText>
      </w:r>
      <w:r w:rsidR="006C14CD">
        <w:fldChar w:fldCharType="separate"/>
      </w:r>
      <w:r w:rsidR="006C14CD" w:rsidRPr="006C14CD">
        <w:rPr>
          <w:noProof/>
        </w:rPr>
        <w:t xml:space="preserve">Albrecht Schnabel and Vanessa Farr, eds., </w:t>
      </w:r>
      <w:r w:rsidR="006C14CD" w:rsidRPr="006C14CD">
        <w:rPr>
          <w:i/>
          <w:noProof/>
        </w:rPr>
        <w:t>Back to the Roots: Security Sector Reform and Development</w:t>
      </w:r>
      <w:r w:rsidR="006C14CD" w:rsidRPr="006C14CD">
        <w:rPr>
          <w:noProof/>
        </w:rPr>
        <w:t xml:space="preserve"> (Lit Verlag, 2012).</w:t>
      </w:r>
      <w:r w:rsidR="006C14CD">
        <w:fldChar w:fldCharType="end"/>
      </w:r>
    </w:p>
  </w:endnote>
  <w:endnote w:id="21">
    <w:p w14:paraId="223C2BF0" w14:textId="754500C2" w:rsidR="0096419F" w:rsidRDefault="0096419F" w:rsidP="0096419F">
      <w:pPr>
        <w:pStyle w:val="EndnoteText"/>
      </w:pPr>
      <w:r>
        <w:rPr>
          <w:rStyle w:val="EndnoteReference"/>
        </w:rPr>
        <w:endnoteRef/>
      </w:r>
      <w:r>
        <w:t xml:space="preserve"> </w:t>
      </w:r>
      <w:r>
        <w:fldChar w:fldCharType="begin" w:fldLock="1"/>
      </w:r>
      <w:r w:rsidR="001978BA">
        <w:instrText>ADDIN CSL_CITATION { "citationItems" : [ { "id" : "ITEM-1", "itemData" : { "abstract" : "This concept paper constitutes part of the process of formulating a UNDP policy in the area of security sector reform. Section I describes how a UNDP policy on security sector reform can be embedded in the United Nations\u2019 approach to conflict prevention and peacebuilding. In section II, the concept paper proposes that UNDP accept the OECD Development Assistance Committee definitions of \u201csecurity sector\u201d and \u201csecurity sector reform.\u201d Section III includes an initial typology of contextual categories that characterize the environment in which security sector reform may be undertaken. Section IV identifies three categories of external actors: 1) development/financial; 2) security; and 3) non-state. Section IV also discusses seven major objectives that should govern the work of the external actors: Section V explores UNDP\u2019s role in enhancing security sector governance.", "author" : [ { "dropping-particle" : "", "family" : "Ball", "given" : "Nicole", "non-dropping-particle" : "", "parse-names" : false, "suffix" : "" } ], "id" : "ITEM-1", "issued" : { "date-parts" : [ [ "2002" ] ] }, "publisher-place" : "New York", "title" : "Enhancing Security Sector Governance:A Conceptual Framework for UNDP", "type" : "report" }, "uris" : [ "http://www.mendeley.com/documents/?uuid=850e3c0f-ddd7-401d-be07-9f763818bf8c" ] } ], "mendeley" : { "formattedCitation" : "Nicole Ball, \u201cEnhancing Security Sector Governance:A Conceptual Framework for UNDP\u201d (New York, 2002).", "plainTextFormattedCitation" : "Nicole Ball, \u201cEnhancing Security Sector Governance:A Conceptual Framework for UNDP\u201d (New York, 2002).", "previouslyFormattedCitation" : "Nicole Ball, \u201cEnhancing Security Sector Governance:A Conceptual Framework for UNDP\u201d (New York, 2002)." }, "properties" : { "noteIndex" : 0 }, "schema" : "https://github.com/citation-style-language/schema/raw/master/csl-citation.json" }</w:instrText>
      </w:r>
      <w:r>
        <w:fldChar w:fldCharType="separate"/>
      </w:r>
      <w:r w:rsidRPr="0096419F">
        <w:rPr>
          <w:noProof/>
        </w:rPr>
        <w:t>Nicole Ball, “Enhancing Security Sector Governance:A Conceptual Framework for UNDP” (New York, 2002).</w:t>
      </w:r>
      <w:r>
        <w:fldChar w:fldCharType="end"/>
      </w:r>
    </w:p>
  </w:endnote>
  <w:endnote w:id="22">
    <w:p w14:paraId="4407E12D" w14:textId="232AA2C0" w:rsidR="00DC404C" w:rsidRDefault="00DF570B" w:rsidP="001978BA">
      <w:pPr>
        <w:pStyle w:val="EndnoteText"/>
      </w:pPr>
      <w:r>
        <w:rPr>
          <w:rStyle w:val="EndnoteReference"/>
        </w:rPr>
        <w:endnoteRef/>
      </w:r>
      <w:r>
        <w:t xml:space="preserve"> </w:t>
      </w:r>
      <w:r w:rsidR="001978BA">
        <w:fldChar w:fldCharType="begin" w:fldLock="1"/>
      </w:r>
      <w:r w:rsidR="00DC66FF">
        <w:instrText>ADDIN CSL_CITATION { "citationItems" : [ { "id" : "ITEM-1", "itemData" : { "ISBN" : "9780986707704", "abstract" : "AFew international development or security specialists would question the notion that the reform and even transformation of the security architecture of post- con ict and transition states is crucial for the advancement of peace and stability and the creation of an enabling environment for economic development. Those same specialists would likely agree on the fundamental principles that should undergird that process, from respect for fundamental rights to democratic civilian control. This package of norms forms the basis of the security sector reform (SSR) process, a model of security assistance widely seen as the standard for developed and developing states alike seeking to build, rebuild or modify security and justice institutions at home or abroad. Indeed, the SSR acronym has become embedded in donor parlance, policy frameworks and strategic priorities and accepted, at least of cially, by most aid recipients as a necessary step towards stability and prosperity.", "author" : [ { "dropping-particle" : "", "family" : "Sedra", "given" : "Mark", "non-dropping-particle" : "", "parse-names" : false, "suffix" : "" } ], "container-title" : "The Future of Security Sector Reform", "editor" : [ { "dropping-particle" : "", "family" : "Sedra", "given" : "Mark", "non-dropping-particle" : "", "parse-names" : false, "suffix" : "" } ], "id" : "ITEM-1", "issued" : { "date-parts" : [ [ "2010" ] ] }, "note" : "This is a part of the CIGI authored Towards a Second Generation Security Sector", "page" : "102-116", "publisher" : "Centre for International Governance Information (CIGI)", "publisher-place" : "Waterloo", "title" : "Towards Second Generation Security Sector Reform", "type" : "chapter" }, "uris" : [ "http://www.mendeley.com/documents/?uuid=411a6498-13f0-483b-a9c3-bb8c01ad3526" ] } ], "mendeley" : { "formattedCitation" : "Mark Sedra, \u201cTowards Second Generation Security Sector Reform,\u201d in &lt;i&gt;The Future of Security Sector Reform&lt;/i&gt;, ed. Mark Sedra (Waterloo: Centre for International Governance Information (CIGI), 2010), 102\u201316.", "manualFormatting" : "Mark Sedra, \u201cTowards Second Generation Security Sector Reform,\u201d in The Future of Security Sector Reform, ed. Mark Sedra (Waterloo: Centre for International Governance Information (CIGI), 2010), 102\u2013116.", "plainTextFormattedCitation" : "Mark Sedra, \u201cTowards Second Generation Security Sector Reform,\u201d in The Future of Security Sector Reform, ed. Mark Sedra (Waterloo: Centre for International Governance Information (CIGI), 2010), 102\u201316.", "previouslyFormattedCitation" : "Mark Sedra, \u201cTowards Second Generation Security Sector Reform,\u201d in &lt;i&gt;The Future of Security Sector Reform&lt;/i&gt;, ed. Mark Sedra (Waterloo: Centre for International Governance Information (CIGI), 2010), 102\u201316." }, "properties" : { "noteIndex" : 0 }, "schema" : "https://github.com/citation-style-language/schema/raw/master/csl-citation.json" }</w:instrText>
      </w:r>
      <w:r w:rsidR="001978BA">
        <w:fldChar w:fldCharType="separate"/>
      </w:r>
      <w:r w:rsidR="001978BA" w:rsidRPr="001978BA">
        <w:rPr>
          <w:noProof/>
        </w:rPr>
        <w:t xml:space="preserve">Mark Sedra, “Towards Second Generation Security Sector Reform,” in </w:t>
      </w:r>
      <w:r w:rsidR="001978BA" w:rsidRPr="001978BA">
        <w:rPr>
          <w:i/>
          <w:noProof/>
        </w:rPr>
        <w:t>The Future of Security Sector Reform</w:t>
      </w:r>
      <w:r w:rsidR="001978BA" w:rsidRPr="001978BA">
        <w:rPr>
          <w:noProof/>
        </w:rPr>
        <w:t>, ed. Mark Sedra (Waterloo: Centre for International Governance Information (CIGI), 2010), 102–1</w:t>
      </w:r>
      <w:r w:rsidR="00677DDA">
        <w:rPr>
          <w:noProof/>
        </w:rPr>
        <w:t>1</w:t>
      </w:r>
      <w:r w:rsidR="001978BA" w:rsidRPr="001978BA">
        <w:rPr>
          <w:noProof/>
        </w:rPr>
        <w:t>6.</w:t>
      </w:r>
      <w:r w:rsidR="001978BA">
        <w:fldChar w:fldCharType="end"/>
      </w:r>
    </w:p>
  </w:endnote>
  <w:endnote w:id="23">
    <w:p w14:paraId="7D565C3A" w14:textId="50AB900C" w:rsidR="00DC404C" w:rsidRDefault="00DF570B" w:rsidP="00B77DD7">
      <w:pPr>
        <w:pStyle w:val="EndnoteText"/>
      </w:pPr>
      <w:r>
        <w:rPr>
          <w:rStyle w:val="EndnoteReference"/>
        </w:rPr>
        <w:endnoteRef/>
      </w:r>
      <w:r>
        <w:t xml:space="preserve"> </w:t>
      </w:r>
      <w:r w:rsidR="00F76650">
        <w:fldChar w:fldCharType="begin" w:fldLock="1"/>
      </w:r>
      <w:r w:rsidR="00344460">
        <w:instrText>ADDIN CSL_CITATION { "citationItems" : [ { "id" : "ITEM-1", "itemData" : { "abstract" : "There is an emerging body of analysis on security sector reform (SSR), in terms of both the effectiveness of security sector actors and the need to situate their role within a framework of democratic governance.1 Experience has shown that more often than not SSR takes place against many odds, in difficult, barely enabling, less-than-ideal political, security, economic and social contexts. Such environments are typical for societies that undergo serious political and socio-economic transitions from war to peace, or from authoritarianism to democracy, from closed to open societies and from planned (or war) to market economies. Such environments may be characterised by transitional, often unstable, political arrangements, endemic corruption, ongoing violence, attempts to implement imprecise, open-ended or non-inclusive peace agreements and post-conflict architectures, lack of resources and \u2018stolen\u2019 or impending elections or referenda \u2013 all characteristics of a difficult, harsh environment that stand in the way of full-range, holistic and sustainable SSR efforts. In order to design feasible and effective SSR programmes, we need to know more about the challenges and obstacles that security sector reform activities face, the opportunities that might arise in different environments and the approaches that permit SSR to make meaningful progress despite the obstacles standing in the way. This volume does this by examining specific country contexts where SSR was conducted or attempted, and by examining experiences of specific security institutions and oversight mechanisms.", "author" : [ { "dropping-particle" : "", "family" : "Schnabel", "given" : "Albrecht", "non-dropping-particle" : "", "parse-names" : false, "suffix" : "" } ], "chapter-number" : "1", "container-title" : "Security Sector Reform in Challenging Environments", "editor" : [ { "dropping-particle" : "", "family" : "Born", "given" : "Hans", "non-dropping-particle" : "", "parse-names" : false, "suffix" : "" }, { "dropping-particle" : "", "family" : "Schnabel", "given" : "Albrecht", "non-dropping-particle" : "", "parse-names" : false, "suffix" : "" } ], "id" : "ITEM-1", "issued" : { "date-parts" : [ [ "2009" ] ] }, "page" : "3-36", "publisher" : "LIT", "publisher-place" : "Munster", "title" : "Ideal Requirements Versus Real Environments in Security Sector Reform", "type" : "chapter" }, "uris" : [ "http://www.mendeley.com/documents/?uuid=935840c4-c4d6-478e-9be9-29051768906f" ] } ], "mendeley" : { "formattedCitation" : "Albrecht Schnabel, \u201cIdeal Requirements Versus Real Environments in Security Sector Reform,\u201d in &lt;i&gt;Security Sector Reform in Challenging Environments&lt;/i&gt;, ed. Hans Born and Albrecht Schnabel (Munster: LIT, 2009), 3\u201336.", "plainTextFormattedCitation" : "Albrecht Schnabel, \u201cIdeal Requirements Versus Real Environments in Security Sector Reform,\u201d in Security Sector Reform in Challenging Environments, ed. Hans Born and Albrecht Schnabel (Munster: LIT, 2009), 3\u201336.", "previouslyFormattedCitation" : "Albrecht Schnabel, \u201cIdeal Requirements Versus Real Environments in Security Sector Reform,\u201d in &lt;i&gt;Security Sector Reform in Challenging Environments&lt;/i&gt;, ed. Hans Born and Albrecht Schnabel (Munster: LIT, 2009), 3\u201336." }, "properties" : { "noteIndex" : 0 }, "schema" : "https://github.com/citation-style-language/schema/raw/master/csl-citation.json" }</w:instrText>
      </w:r>
      <w:r w:rsidR="00F76650">
        <w:fldChar w:fldCharType="separate"/>
      </w:r>
      <w:r w:rsidR="00B77DD7" w:rsidRPr="00B77DD7">
        <w:rPr>
          <w:noProof/>
        </w:rPr>
        <w:t xml:space="preserve">Albrecht Schnabel, “Ideal Requirements Versus Real Environments in Security Sector Reform,” in </w:t>
      </w:r>
      <w:r w:rsidR="00B77DD7" w:rsidRPr="00B77DD7">
        <w:rPr>
          <w:i/>
          <w:noProof/>
        </w:rPr>
        <w:t>Security Sector Reform in Challenging Environments</w:t>
      </w:r>
      <w:r w:rsidR="00B77DD7" w:rsidRPr="00B77DD7">
        <w:rPr>
          <w:noProof/>
        </w:rPr>
        <w:t>, ed. Hans Born and Albrecht Schnabel (Munster: LIT, 2009), 3–36.</w:t>
      </w:r>
      <w:r w:rsidR="00F76650">
        <w:fldChar w:fldCharType="end"/>
      </w:r>
    </w:p>
  </w:endnote>
  <w:endnote w:id="24">
    <w:p w14:paraId="751D17F3" w14:textId="47BDF4F6" w:rsidR="00DC404C" w:rsidRDefault="00DF570B" w:rsidP="00DC66FF">
      <w:pPr>
        <w:pStyle w:val="EndnoteText"/>
      </w:pPr>
      <w:r>
        <w:rPr>
          <w:rStyle w:val="EndnoteReference"/>
        </w:rPr>
        <w:endnoteRef/>
      </w:r>
      <w:r w:rsidR="00DC66FF">
        <w:t xml:space="preserve"> </w:t>
      </w:r>
      <w:r w:rsidR="00DC66FF">
        <w:fldChar w:fldCharType="begin" w:fldLock="1"/>
      </w:r>
      <w:r w:rsidR="00DC66FF">
        <w:instrText>ADDIN CSL_CITATION { "citationItems" : [ { "id" : "ITEM-1", "itemData" : { "abstract" : "This manual complements ISSAT\u2019s Introductory Level 1 Security Sector Reform Training Course. It aims to provide a basic overview of Security Sector Reform (SSR) policy and practice based on collective experience in supporting security and justice reform efforts. The manual is built around four key pillars of SSR: Section one: The Concept of SSR. This section discusses SSR as a concept, explains its evolution and theoretical foundations and provides definitions of key terms. It also highlights some key characteristics of SSR. Section two: Key Security and Justice Actors. This section maps the main security and justice actors at both the national and international level and proceeds to discuss coordination among these actors when engaging in SSR. Section three: SSR Programming. This section elaborates the various stages of the SSR programme cycle, and addresses various challenges\u2014both political and technical\u2014that could arise when engaging in SSR programming. Section four: Cross-Cutting Issues. This section reviews important thematic and practical aspects of SSR that are often overlooked, including gender issues, human rights and programme management. It also discusses issues closely related to SSR, such as Disarmament, Demobilisation and Reintegration (DDR), Small Arms and Light Weapons (SALW) control and Transitional Justice (TJ). This manual provides an overview of the theoretical background and key practical insights needed to engage in SSR programming, setting out the main principles but also highlighting various challenges that could arise when engaging in SSR. For those who have completed the ISSAT Level 1 Introductory Training Course, as well as those getting involved in SSR policy and programming for the first time, this textbook will remain a useful reference.", "id" : "ITEM-1", "issued" : { "date-parts" : [ [ "2012" ] ] }, "publisher" : "DCAF ISSAT", "publisher-place" : "Geneva", "title" : "SSR In a Nutshell. Manual for Introductory Training on Security Sector Reform", "type" : "book" }, "uris" : [ "http://www.mendeley.com/documents/?uuid=75bac8ea-0d6b-4db6-abdd-5253df89c8dc" ] } ], "mendeley" : { "formattedCitation" : "&lt;i&gt;SSR In a Nutshell. Manual for Introductory Training on Security Sector Reform&lt;/i&gt;.", "plainTextFormattedCitation" : "SSR In a Nutshell. Manual for Introductory Training on Security Sector Reform.", "previouslyFormattedCitation" : "&lt;i&gt;SSR In a Nutshell. Manual for Introductory Training on Security Sector Reform&lt;/i&gt;." }, "properties" : { "noteIndex" : 0 }, "schema" : "https://github.com/citation-style-language/schema/raw/master/csl-citation.json" }</w:instrText>
      </w:r>
      <w:r w:rsidR="00DC66FF">
        <w:fldChar w:fldCharType="separate"/>
      </w:r>
      <w:r w:rsidR="00DC66FF" w:rsidRPr="00DC66FF">
        <w:rPr>
          <w:i/>
          <w:noProof/>
        </w:rPr>
        <w:t>SSR In a Nutshell. Manual for Introductory Training on Security Sector Reform</w:t>
      </w:r>
      <w:r w:rsidR="00DC66FF" w:rsidRPr="00DC66FF">
        <w:rPr>
          <w:noProof/>
        </w:rPr>
        <w:t>.</w:t>
      </w:r>
      <w:r w:rsidR="00DC66FF">
        <w:fldChar w:fldCharType="end"/>
      </w:r>
    </w:p>
  </w:endnote>
  <w:endnote w:id="25">
    <w:p w14:paraId="782CC148" w14:textId="26461F2D" w:rsidR="00DC404C" w:rsidRDefault="00DF570B" w:rsidP="00344460">
      <w:pPr>
        <w:pStyle w:val="EndnoteText"/>
      </w:pPr>
      <w:r>
        <w:rPr>
          <w:rStyle w:val="EndnoteReference"/>
        </w:rPr>
        <w:endnoteRef/>
      </w:r>
      <w:r>
        <w:t xml:space="preserve"> </w:t>
      </w:r>
      <w:r w:rsidR="00344460">
        <w:fldChar w:fldCharType="begin" w:fldLock="1"/>
      </w:r>
      <w:r w:rsidR="00344460">
        <w:instrText>ADDIN CSL_CITATION { "citationItems" : [ { "id" : "ITEM-1", "itemData" : { "abstract" : "This is the first full-scale analysis of the political role of the military, particularly with regards military coups, by a political scientist. The author discusses the strengths and weaknesses of the military as a political force; the factors that promote and favour the intervention of the armed forces in politics; the factors that, correspondingly, inhibit it; and the limits, the types and the methods of the military's role and style.", "author" : [ { "dropping-particle" : "", "family" : "Finer", "given" : "S E", "non-dropping-particle" : "", "parse-names" : false, "suffix" : "" } ], "id" : "ITEM-1", "issued" : { "date-parts" : [ [ "1962" ] ] }, "publisher" : "Pall Mall Press", "publisher-place" : "Oxford", "title" : "The Man on Horseback: The Role of the Military in Politics", "type" : "book" }, "locator" : "5", "uris" : [ "http://www.mendeley.com/documents/?uuid=eb8ed933-0c16-40de-af48-69f61c75e728" ] } ], "mendeley" : { "formattedCitation" : "Finer, &lt;i&gt;The Man on Horseback: The Role of the Military in Politics&lt;/i&gt;, 5.", "plainTextFormattedCitation" : "Finer, The Man on Horseback: The Role of the Military in Politics, 5.", "previouslyFormattedCitation" : "Finer, &lt;i&gt;The Man on Horseback: The Role of the Military in Politics&lt;/i&gt;, 5." }, "properties" : { "noteIndex" : 0 }, "schema" : "https://github.com/citation-style-language/schema/raw/master/csl-citation.json" }</w:instrText>
      </w:r>
      <w:r w:rsidR="00344460">
        <w:fldChar w:fldCharType="separate"/>
      </w:r>
      <w:r w:rsidR="00344460" w:rsidRPr="00344460">
        <w:rPr>
          <w:noProof/>
        </w:rPr>
        <w:t xml:space="preserve">Finer, </w:t>
      </w:r>
      <w:r w:rsidR="00344460" w:rsidRPr="00344460">
        <w:rPr>
          <w:i/>
          <w:noProof/>
        </w:rPr>
        <w:t>The Man on Horseback: The Role of the Military in Politics</w:t>
      </w:r>
      <w:r w:rsidR="00344460" w:rsidRPr="00344460">
        <w:rPr>
          <w:noProof/>
        </w:rPr>
        <w:t>, 5.</w:t>
      </w:r>
      <w:r w:rsidR="00344460">
        <w:fldChar w:fldCharType="end"/>
      </w:r>
    </w:p>
  </w:endnote>
  <w:endnote w:id="26">
    <w:p w14:paraId="67FFD8AC" w14:textId="6FB0329D" w:rsidR="00DC404C" w:rsidRDefault="00DF570B" w:rsidP="00344460">
      <w:pPr>
        <w:pStyle w:val="EndnoteText"/>
      </w:pPr>
      <w:r>
        <w:rPr>
          <w:rStyle w:val="EndnoteReference"/>
        </w:rPr>
        <w:endnoteRef/>
      </w:r>
      <w:r>
        <w:t xml:space="preserve"> </w:t>
      </w:r>
      <w:r w:rsidR="00344460">
        <w:fldChar w:fldCharType="begin" w:fldLock="1"/>
      </w:r>
      <w:r w:rsidR="00BC13F9">
        <w:instrText>ADDIN CSL_CITATION { "citationItems" : [ { "id" : "ITEM-1", "itemData" : { "DOI" : "10.1177/0095327X0102700402", "ISSN" : "0095-327X", "abstract" : "According to \"the regime theory of civil-military relations,\" responsibilities for such relations are conditioned in every state by a nationally evolved regime of \"principles, norms, rules and decision-making procedures around which actor expectations converge\" in matters of civil-military relations. This article amplifies this theory by setting out a normative, Westminster-based model of the regime that provides the legal, regulatory, traditional, and institutional structures for civil-military relations in liberal democracies. The author contends that the importance of controlling behavior has been eclipsed in many civil control progams in emerging democracies because of a drive to build the hardware of civil-military relations while ignoring or incompletely installing first the regime, the software, that supports them.", "author" : [ { "dropping-particle" : "", "family" : "Bland", "given" : "Douglas L", "non-dropping-particle" : "", "parse-names" : false, "suffix" : "" } ], "container-title" : "Armed Forces &amp; Society", "id" : "ITEM-1", "issue" : "4", "issued" : { "date-parts" : [ [ "2001", "7", "1" ] ] }, "page" : "525-540", "title" : "Patterns in Liberal Democratic Civil-Military Relations", "type" : "article-journal", "volume" : "27" }, "uris" : [ "http://www.mendeley.com/documents/?uuid=155e272d-3260-454c-836f-d805b0182b2e" ] } ], "mendeley" : { "formattedCitation" : "Douglas L Bland, \u201cPatterns in Liberal Democratic Civil-Military Relations,\u201d &lt;i&gt;Armed Forces &amp; Society&lt;/i&gt; 27, no. 4 (July 1, 2001): 525\u201340, doi:10.1177/0095327X0102700402.", "manualFormatting" : "Douglas L Bland, \u201cPatterns in Liberal Democratic Civil-Military Relations,\u201d Armed Forces &amp; Society 27, no. 4 (July 1, 2001): 525\u201340.", "plainTextFormattedCitation" : "Douglas L Bland, \u201cPatterns in Liberal Democratic Civil-Military Relations,\u201d Armed Forces &amp; Society 27, no. 4 (July 1, 2001): 525\u201340, doi:10.1177/0095327X0102700402.", "previouslyFormattedCitation" : "Douglas L Bland, \u201cPatterns in Liberal Democratic Civil-Military Relations,\u201d &lt;i&gt;Armed Forces &amp; Society&lt;/i&gt; 27, no. 4 (July 1, 2001): 525\u201340, doi:10.1177/0095327X0102700402." }, "properties" : { "noteIndex" : 0 }, "schema" : "https://github.com/citation-style-language/schema/raw/master/csl-citation.json" }</w:instrText>
      </w:r>
      <w:r w:rsidR="00344460">
        <w:fldChar w:fldCharType="separate"/>
      </w:r>
      <w:r w:rsidR="00344460" w:rsidRPr="00344460">
        <w:rPr>
          <w:noProof/>
        </w:rPr>
        <w:t xml:space="preserve">Douglas L Bland, “Patterns in Liberal Democratic Civil-Military Relations,” </w:t>
      </w:r>
      <w:r w:rsidR="00344460" w:rsidRPr="00344460">
        <w:rPr>
          <w:i/>
          <w:noProof/>
        </w:rPr>
        <w:t>Armed Forces &amp; Society</w:t>
      </w:r>
      <w:r w:rsidR="00344460" w:rsidRPr="00344460">
        <w:rPr>
          <w:noProof/>
        </w:rPr>
        <w:t xml:space="preserve"> 27, no. 4 (July 1, 2001): 525–40.</w:t>
      </w:r>
      <w:r w:rsidR="00344460">
        <w:fldChar w:fldCharType="end"/>
      </w:r>
    </w:p>
  </w:endnote>
  <w:endnote w:id="27">
    <w:p w14:paraId="5D281F84" w14:textId="6DEE1DCD" w:rsidR="00DC404C" w:rsidRDefault="00DF570B" w:rsidP="00BC13F9">
      <w:pPr>
        <w:pStyle w:val="EndnoteText"/>
      </w:pPr>
      <w:r>
        <w:rPr>
          <w:rStyle w:val="EndnoteReference"/>
        </w:rPr>
        <w:endnoteRef/>
      </w:r>
      <w:r>
        <w:t xml:space="preserve"> </w:t>
      </w:r>
      <w:r w:rsidR="00BC13F9">
        <w:fldChar w:fldCharType="begin" w:fldLock="1"/>
      </w:r>
      <w:r w:rsidR="0020217B">
        <w:instrText>ADDIN CSL_CITATION { "citationItems" : [ { "id" : "ITEM-1", "itemData" : { "abstract" : "The post\u2010Cold War security environment, including the prevalence of unconventional security risks and an increase of armed conflicts within state borders, has created fundamental changes in the nature of democratic civil\u2010military relations and security sector governance more broadly. Democratic governments now call more and more upon the armed forces to fulfil somewhat fuzzy tasks \u2013 partly civilian, partly humanitarian, partly military \u2013 in complex multinational missions and beyond the traditional rationale of defence, not least in domestic affairs.2 In many countries military structures have been transformed for these new types of deployments, which fall both geographically out of area and thematically outside conventional defence imperatives. In view of the tremendous changes that have been wrought, it is astonishing that public attention and political debate on the possible implications of these new types of military missions have remained so limited in most of the countries concerned. This paper argues that this disconnect between new political practices and democratic contestation is both a result and an expression of the increased complexity of internal and external factors influencing how democracies shape their security policies and the institutions of their security sectors,3 among which the military still occupies a prominent place.", "author" : [ { "dropping-particle" : "", "family" : "Mannitz", "given" : "Sabine", "non-dropping-particle" : "", "parse-names" : false, "suffix" : "" } ], "collection-title" : "DCAF SSR Paper", "id" : "ITEM-1", "issued" : { "date-parts" : [ [ "2013" ] ] }, "note" : "For SSR see p17", "number" : "9", "publisher" : "DCAF", "publisher-place" : "Geneva", "title" : "The \u201cDemocratic Soldier\u201d: Comparing Concepts and Practices in Europe", "type" : "article" }, "locator" : "19", "uris" : [ "http://www.mendeley.com/documents/?uuid=0427a7ae-1ef3-45f5-8c3b-c7872d05a681" ] } ], "mendeley" : { "formattedCitation" : "Sabine Mannitz, \u201cThe \u2018Democratic Soldier\u2019: Comparing Concepts and Practices in Europe,\u201d DCAF SSR Paper (Geneva: DCAF, 2013), 19.", "plainTextFormattedCitation" : "Sabine Mannitz, \u201cThe \u2018Democratic Soldier\u2019: Comparing Concepts and Practices in Europe,\u201d DCAF SSR Paper (Geneva: DCAF, 2013), 19.", "previouslyFormattedCitation" : "Sabine Mannitz, \u201cThe \u2018Democratic Soldier\u2019: Comparing Concepts and Practices in Europe,\u201d DCAF SSR Paper (Geneva: DCAF, 2013), 19." }, "properties" : { "noteIndex" : 0 }, "schema" : "https://github.com/citation-style-language/schema/raw/master/csl-citation.json" }</w:instrText>
      </w:r>
      <w:r w:rsidR="00BC13F9">
        <w:fldChar w:fldCharType="separate"/>
      </w:r>
      <w:r w:rsidR="00BC13F9" w:rsidRPr="00BC13F9">
        <w:rPr>
          <w:noProof/>
        </w:rPr>
        <w:t>Sabine Mannitz, “The ‘Democratic Soldier’: Comparing Concepts and Practices in Europe,” DCAF SSR Paper (Geneva: DCAF, 2013), 19.</w:t>
      </w:r>
      <w:r w:rsidR="00BC13F9">
        <w:fldChar w:fldCharType="end"/>
      </w:r>
    </w:p>
  </w:endnote>
  <w:endnote w:id="28">
    <w:p w14:paraId="674DED68" w14:textId="0238A846" w:rsidR="00DC404C" w:rsidRDefault="00DF570B" w:rsidP="0020217B">
      <w:pPr>
        <w:pStyle w:val="EndnoteText"/>
      </w:pPr>
      <w:r>
        <w:rPr>
          <w:rStyle w:val="EndnoteReference"/>
        </w:rPr>
        <w:endnoteRef/>
      </w:r>
      <w:r>
        <w:t xml:space="preserve"> </w:t>
      </w:r>
      <w:r w:rsidR="0020217B">
        <w:fldChar w:fldCharType="begin" w:fldLock="1"/>
      </w:r>
      <w:r w:rsidR="0020217B">
        <w:instrText>ADDIN CSL_CITATION { "citationItems" : [ { "id" : "ITEM-1", "itemData" : { "abstract" : "This article offers a new theory for examining civil-military relations. The current theory assumes that the military should remain separate from civilian political institutions in order to prevent domestic military intervention. By contrast, concordance theory, proposed in this article, argues that three partners-the military, the political elites, and the citizenry should aim for a cooperative relationship that may or may not entail the separation of political and military institutions. As a descriptive and prescriptive theory, concordance does not limit itself to one civil-military scenario, and it explains the institutional and cultural conditions that affect the distinctive relationships among the three partners. Furthermore, if these partners agree on four indicators-the social composition of the officer corps, the political decision-making process, recruitment method and military style, domestic military intervention is less likely to occur.", "author" : [ { "dropping-particle" : "", "family" : "Schiff", "given" : "Rebecca", "non-dropping-particle" : "", "parse-names" : false, "suffix" : "" } ], "container-title" : "Armed Forces &amp; Society", "id" : "ITEM-1", "issue" : "1", "issued" : { "date-parts" : [ [ "1995" ] ] }, "page" : "7-24", "title" : "Civil-Military Relations Reconsidered: A Theory of Concordance", "type" : "article-journal", "volume" : "22" }, "uris" : [ "http://www.mendeley.com/documents/?uuid=797ea169-fbde-4290-98a9-a6e744196566" ] } ], "mendeley" : { "formattedCitation" : "Schiff, \u201cCivil-Military Relations Reconsidered: A Theory of Concordance.\u201d", "plainTextFormattedCitation" : "Schiff, \u201cCivil-Military Relations Reconsidered: A Theory of Concordance.\u201d", "previouslyFormattedCitation" : "Schiff, \u201cCivil-Military Relations Reconsidered: A Theory of Concordance.\u201d" }, "properties" : { "noteIndex" : 0 }, "schema" : "https://github.com/citation-style-language/schema/raw/master/csl-citation.json" }</w:instrText>
      </w:r>
      <w:r w:rsidR="0020217B">
        <w:fldChar w:fldCharType="separate"/>
      </w:r>
      <w:r w:rsidR="0020217B" w:rsidRPr="0020217B">
        <w:rPr>
          <w:noProof/>
        </w:rPr>
        <w:t>Schiff, “Civil-Military Relations Reconsidered: A Theory of Concordance.”</w:t>
      </w:r>
      <w:r w:rsidR="0020217B">
        <w:fldChar w:fldCharType="end"/>
      </w:r>
    </w:p>
  </w:endnote>
  <w:endnote w:id="29">
    <w:p w14:paraId="3399A28C" w14:textId="758D3D2D" w:rsidR="00DC404C" w:rsidRDefault="00DF570B" w:rsidP="0020217B">
      <w:pPr>
        <w:pStyle w:val="EndnoteText"/>
      </w:pPr>
      <w:r>
        <w:rPr>
          <w:rStyle w:val="EndnoteReference"/>
        </w:rPr>
        <w:endnoteRef/>
      </w:r>
      <w:r>
        <w:t xml:space="preserve"> </w:t>
      </w:r>
      <w:r w:rsidR="0020217B">
        <w:fldChar w:fldCharType="begin" w:fldLock="1"/>
      </w:r>
      <w:r w:rsidR="00972171">
        <w:instrText>ADDIN CSL_CITATION { "citationItems" : [ { "id" : "ITEM-1", "itemData" : { "abstract" : "This manual complements ISSAT\u2019s Introductory Level 1 Security Sector Reform Training Course. It aims to provide a basic overview of Security Sector Reform (SSR) policy and practice based on collective experience in supporting security and justice reform efforts. The manual is built around four key pillars of SSR: Section one: The Concept of SSR. This section discusses SSR as a concept, explains its evolution and theoretical foundations and provides definitions of key terms. It also highlights some key characteristics of SSR. Section two: Key Security and Justice Actors. This section maps the main security and justice actors at both the national and international level and proceeds to discuss coordination among these actors when engaging in SSR. Section three: SSR Programming. This section elaborates the various stages of the SSR programme cycle, and addresses various challenges\u2014both political and technical\u2014that could arise when engaging in SSR programming. Section four: Cross-Cutting Issues. This section reviews important thematic and practical aspects of SSR that are often overlooked, including gender issues, human rights and programme management. It also discusses issues closely related to SSR, such as Disarmament, Demobilisation and Reintegration (DDR), Small Arms and Light Weapons (SALW) control and Transitional Justice (TJ). This manual provides an overview of the theoretical background and key practical insights needed to engage in SSR programming, setting out the main principles but also highlighting various challenges that could arise when engaging in SSR. For those who have completed the ISSAT Level 1 Introductory Training Course, as well as those getting involved in SSR policy and programming for the first time, this textbook will remain a useful reference.", "id" : "ITEM-1", "issued" : { "date-parts" : [ [ "2012" ] ] }, "publisher" : "DCAF ISSAT", "publisher-place" : "Geneva", "title" : "SSR In a Nutshell. Manual for Introductory Training on Security Sector Reform", "type" : "book" }, "uris" : [ "http://www.mendeley.com/documents/?uuid=75bac8ea-0d6b-4db6-abdd-5253df89c8dc" ] }, { "id" : "ITEM-2", "itemData" : { "DOI" : "10.1787/9789264007888-en", "ISBN" : "9264007865", "abstract" : "A democratically run, accountable and efficient security system helps to reduce the risk of violent conflict and establish a secure environment that is conducive to poverty reduction, human rights and sustainable development. This publication continues efforts by the OECD's Development Assistance Committee (DAC) to develop tools and instruments for conflict prevention and for improving security and stability in the long term. The guidance underlines the positive role that the integrated reform of a country's security system can play in stabilising fragile, conflict-prone or conflict affected states. This includes not only the armed forces, police and gendarmerie, intelligence services, and justice and penal systems, but also the civil authorities responsible for oversight and democratic control.", "author" : [ { "dropping-particle" : "", "family" : "OECD", "given" : "", "non-dropping-particle" : "", "parse-names" : false, "suffix" : "" } ], "id" : "ITEM-2", "issued" : { "date-parts" : [ [ "2005" ] ] }, "number-of-pages" : "144", "publisher" : "OECD DAC", "title" : "Security System Reform and Governance: A DAC Reference Document", "type" : "book" }, "uris" : [ "http://www.mendeley.com/documents/?uuid=4b8b9f06-d4db-4f24-9630-a9bbe547d18b" ] }, { "id" : "ITEM-3", "itemData" : { "DOI" : "10.1163/156856707779160799", "ISSN" : "09226168", "abstract" : "In a presidential statement of 21 February 2007 (S/PRST/2007/3), the Security Council expressed interest in receiving a report on United Nations approaches to security sector reform. By its resolution 61/291, the General Assembly asked me to submit to it a comprehensive report on United Nations approaches to security sector reform. The present report was prepared in response to those requests.", "author" : [ { "dropping-particle" : "", "family" : "UN Sec Gen", "given" : "", "non-dropping-particle" : "", "parse-names" : false, "suffix" : "" } ], "id" : "ITEM-3", "issued" : { "date-parts" : [ [ "2008" ] ] }, "page" : "1-19", "publisher" : "UN", "publisher-place" : "New York", "title" : "Securing peace and development: the role of the United Nations in supporting security sector reform. Report of the Secretary-General", "type" : "article" }, "uris" : [ "http://www.mendeley.com/documents/?uuid=ba4d0cce-3b1e-4e92-92df-510b7b8e475a" ] } ], "mendeley" : { "formattedCitation" : "&lt;i&gt;SSR In a Nutshell. Manual for Introductory Training on Security Sector Reform&lt;/i&gt;; OECD, &lt;i&gt;Security System Reform and Governance: A DAC Reference Document&lt;/i&gt; (OECD DAC, 2005), doi:10.1787/9789264007888-en; UN Sec Gen, \u201cSecuring Peace and Development: The Role of the United Nations in Supporting Security Sector Reform. Report of the Secretary-General\u201d (New York: UN, 2008), doi:10.1163/156856707779160799.", "manualFormatting" : "SSR In a Nutshell. Manual for Introductory Training on Security Sector Reform; OECD, Security System Reform and Governance: A DAC Reference Document (OECD DAC, 2005); UN Sec Gen, \u201cSecuring Peace and Development: The Role of the United Nations in Supporting Security Sector Reform. Report of the Secretary-General\u201d (New York: UN, 2008).", "plainTextFormattedCitation" : "SSR In a Nutshell. Manual for Introductory Training on Security Sector Reform; OECD, Security System Reform and Governance: A DAC Reference Document (OECD DAC, 2005), doi:10.1787/9789264007888-en; UN Sec Gen, \u201cSecuring Peace and Development: The Role of the United Nations in Supporting Security Sector Reform. Report of the Secretary-General\u201d (New York: UN, 2008), doi:10.1163/156856707779160799.", "previouslyFormattedCitation" : "&lt;i&gt;SSR In a Nutshell. Manual for Introductory Training on Security Sector Reform&lt;/i&gt;; OECD, &lt;i&gt;Security System Reform and Governance: A DAC Reference Document&lt;/i&gt; (OECD DAC, 2005), doi:10.1787/9789264007888-en; UN Sec Gen, \u201cSecuring Peace and Development: The Role of the United Nations in Supporting Security Sector Reform. Report of the Secretary-General\u201d (New York: UN, 2008), doi:10.1163/156856707779160799." }, "properties" : { "noteIndex" : 0 }, "schema" : "https://github.com/citation-style-language/schema/raw/master/csl-citation.json" }</w:instrText>
      </w:r>
      <w:r w:rsidR="0020217B">
        <w:fldChar w:fldCharType="separate"/>
      </w:r>
      <w:r w:rsidR="0020217B" w:rsidRPr="0020217B">
        <w:rPr>
          <w:i/>
          <w:noProof/>
        </w:rPr>
        <w:t>SSR In a Nutshell. Manual for Introductory Training on Security Sector Reform</w:t>
      </w:r>
      <w:r w:rsidR="0020217B" w:rsidRPr="0020217B">
        <w:rPr>
          <w:noProof/>
        </w:rPr>
        <w:t xml:space="preserve">; OECD, </w:t>
      </w:r>
      <w:r w:rsidR="0020217B" w:rsidRPr="0020217B">
        <w:rPr>
          <w:i/>
          <w:noProof/>
        </w:rPr>
        <w:t>Security System Reform and Governance: A DAC Reference Document</w:t>
      </w:r>
      <w:r w:rsidR="0020217B" w:rsidRPr="0020217B">
        <w:rPr>
          <w:noProof/>
        </w:rPr>
        <w:t xml:space="preserve"> (OECD DAC, 200</w:t>
      </w:r>
      <w:r w:rsidR="0020217B">
        <w:rPr>
          <w:noProof/>
        </w:rPr>
        <w:t>5)</w:t>
      </w:r>
      <w:r w:rsidR="0020217B" w:rsidRPr="0020217B">
        <w:rPr>
          <w:noProof/>
        </w:rPr>
        <w:t>; UN Sec Gen, “Securing Peace and Development: The Role of the United Nations in Supporting Security Sector Reform. Report of the Secretary-General” (New York: UN, 2008).</w:t>
      </w:r>
      <w:r w:rsidR="0020217B">
        <w:fldChar w:fldCharType="end"/>
      </w:r>
    </w:p>
  </w:endnote>
  <w:endnote w:id="30">
    <w:p w14:paraId="27FDA0B0" w14:textId="7027CCB8" w:rsidR="00DC404C" w:rsidRDefault="00DF570B" w:rsidP="00972171">
      <w:pPr>
        <w:pStyle w:val="EndnoteText"/>
      </w:pPr>
      <w:r>
        <w:rPr>
          <w:rStyle w:val="EndnoteReference"/>
        </w:rPr>
        <w:endnoteRef/>
      </w:r>
      <w:r>
        <w:t xml:space="preserve"> </w:t>
      </w:r>
      <w:r w:rsidR="00972171">
        <w:fldChar w:fldCharType="begin" w:fldLock="1"/>
      </w:r>
      <w:r w:rsidR="00E3345C">
        <w:instrText>ADDIN CSL_CITATION { "citationItems" : [ { "id" : "ITEM-1", "itemData" : { "abstract" : "The objective of this paper is to assess the obstacles and opportunities for SSR in environments that are barely conducive to ideal\u2010type SSR. For this purpose the paper gathered insights and lessons from a number of specific SSR experiences (notably in the Central African Republic, Colombia, the Democratic Republic of the Congo, Georgia, Morocco, Nepal, Sri Lanka and Timor\u2010Leste), as well as drawing on the experiences of researchers and practitioners involved in the design and implementation of SSR projects. SSR is a highly political process, shifting and reshuffling power relationships in government, the security sector and society. If pursued as intended \u2013 shifting power over a society\u2019s security provision from the few to the many \u2013 SSR puts security institutions in the service of an empowered society. It is thus part and parcel of democratisation efforts and the strengthening of good governance in transition societies.", "author" : [ { "dropping-particle" : "", "family" : "Schnabel", "given" : "Albrecht", "non-dropping-particle" : "", "parse-names" : false, "suffix" : "" }, { "dropping-particle" : "", "family" : "Born", "given" : "Hans", "non-dropping-particle" : "", "parse-names" : false, "suffix" : "" } ], "id" : "ITEM-1", "issued" : { "date-parts" : [ [ "2011" ] ] }, "publisher" : "DCAF", "publisher-place" : "Geneva", "title" : "Security Sector Reform : Narrowing the Gap between Theory and Practice", "type" : "article" }, "locator" : "56", "uris" : [ "http://www.mendeley.com/documents/?uuid=5035783b-e84e-408f-9178-41a51b8f5dc8" ] } ], "mendeley" : { "formattedCitation" : "Schnabel and Born, \u201cSecurity Sector Reform\u202f: Narrowing the Gap between Theory and Practice,\u201d 56.", "plainTextFormattedCitation" : "Schnabel and Born, \u201cSecurity Sector Reform\u202f: Narrowing the Gap between Theory and Practice,\u201d 56.", "previouslyFormattedCitation" : "Schnabel and Born, \u201cSecurity Sector Reform\u202f: Narrowing the Gap between Theory and Practice,\u201d 56." }, "properties" : { "noteIndex" : 0 }, "schema" : "https://github.com/citation-style-language/schema/raw/master/csl-citation.json" }</w:instrText>
      </w:r>
      <w:r w:rsidR="00972171">
        <w:fldChar w:fldCharType="separate"/>
      </w:r>
      <w:r w:rsidR="00972171" w:rsidRPr="00972171">
        <w:rPr>
          <w:noProof/>
        </w:rPr>
        <w:t>Schnabel and Born, “Security Sector Reform : Narrowing the Gap between Theory and Practice,” 56.</w:t>
      </w:r>
      <w:r w:rsidR="00972171">
        <w:fldChar w:fldCharType="end"/>
      </w:r>
    </w:p>
  </w:endnote>
  <w:endnote w:id="31">
    <w:p w14:paraId="480A52E2" w14:textId="004C50F1" w:rsidR="00DC404C" w:rsidRDefault="00DF570B" w:rsidP="00105EBE">
      <w:pPr>
        <w:pStyle w:val="EndnoteText"/>
      </w:pPr>
      <w:r>
        <w:rPr>
          <w:rStyle w:val="EndnoteReference"/>
        </w:rPr>
        <w:endnoteRef/>
      </w:r>
      <w:r>
        <w:t xml:space="preserve"> </w:t>
      </w:r>
      <w:r w:rsidR="00DC66FF">
        <w:fldChar w:fldCharType="begin" w:fldLock="1"/>
      </w:r>
      <w:r w:rsidR="00A5105F">
        <w:instrText>ADDIN CSL_CITATION { "citationItems" : [ { "id" : "ITEM-1", "itemData" : { "abstract" : "Security sector reform (SSR) has been described as a linch-pin of the liberal state-building and peace-building processes in Afghanistan. The process was originally framed in accordance with the core liberal principles of the SSR model, prioritizing good governance, respect for human rights, sustainability, and democratic civilian control. However, as time passed and security and political conditions began to deteriorate on the ground, the process would gradually revert to a more conventional train-and-equip form, with its core liberal principles stripped away. The slide toward expediency experienced by the SSR process in Afghanistan demonstrates the deeply flawed manner in which the liberal peace project was advanced in Afghanistan. SSR donors became increasingly ambivalent about the human- security objectives of SSR, which were superseded by exigencies of the counterinsurgency, regional security, and domestic pressure for withdrawal. The Afghan experience has raised further doubt about the viability of the orthodox SSR model in conflict-affected countries, already the subject of significant critical debate.", "author" : [ { "dropping-particle" : "", "family" : "Sedra", "given" : "Mark", "non-dropping-particle" : "", "parse-names" : false, "suffix" : "" } ], "container-title" : "Central Asian Survey", "id" : "ITEM-1", "issue" : "3", "issued" : { "date-parts" : [ [ "2013" ] ] }, "page" : "371-387", "title" : "The hollowing-out of the liberal peace project in Afghanistan: the case of security sector reform", "type" : "article-journal", "volume" : "32" }, "locator" : "377", "uris" : [ "http://www.mendeley.com/documents/?uuid=39afd29a-0400-479c-9404-34956392ed74" ] } ], "mendeley" : { "formattedCitation" : "Mark Sedra, \u201cThe Hollowing-out of the Liberal Peace Project in Afghanistan: The Case of Security Sector Reform,\u201d &lt;i&gt;Central Asian Survey&lt;/i&gt; 32, no. 3 (2013): 377.", "plainTextFormattedCitation" : "Mark Sedra, \u201cThe Hollowing-out of the Liberal Peace Project in Afghanistan: The Case of Security Sector Reform,\u201d Central Asian Survey 32, no. 3 (2013): 377.", "previouslyFormattedCitation" : "Mark Sedra, \u201cThe Hollowing-out of the Liberal Peace Project in Afghanistan: The Case of Security Sector Reform,\u201d &lt;i&gt;Central Asian Survey&lt;/i&gt; 32, no. 3 (2013): 377." }, "properties" : { "noteIndex" : 0 }, "schema" : "https://github.com/citation-style-language/schema/raw/master/csl-citation.json" }</w:instrText>
      </w:r>
      <w:r w:rsidR="00DC66FF">
        <w:fldChar w:fldCharType="separate"/>
      </w:r>
      <w:r w:rsidR="00105EBE" w:rsidRPr="00105EBE">
        <w:rPr>
          <w:noProof/>
        </w:rPr>
        <w:t xml:space="preserve">Mark Sedra, “The Hollowing-out of the Liberal Peace Project in Afghanistan: The Case of Security Sector Reform,” </w:t>
      </w:r>
      <w:r w:rsidR="00105EBE" w:rsidRPr="00105EBE">
        <w:rPr>
          <w:i/>
          <w:noProof/>
        </w:rPr>
        <w:t>Central Asian Survey</w:t>
      </w:r>
      <w:r w:rsidR="00105EBE" w:rsidRPr="00105EBE">
        <w:rPr>
          <w:noProof/>
        </w:rPr>
        <w:t xml:space="preserve"> 32, no. 3 (2013): 377.</w:t>
      </w:r>
      <w:r w:rsidR="00DC66FF">
        <w:fldChar w:fldCharType="end"/>
      </w:r>
    </w:p>
  </w:endnote>
  <w:endnote w:id="32">
    <w:p w14:paraId="4F1A84DD" w14:textId="673A315B" w:rsidR="00DC404C" w:rsidRDefault="00DF570B" w:rsidP="00A5105F">
      <w:pPr>
        <w:pStyle w:val="EndnoteText"/>
      </w:pPr>
      <w:r>
        <w:rPr>
          <w:rStyle w:val="EndnoteReference"/>
        </w:rPr>
        <w:endnoteRef/>
      </w:r>
      <w:r w:rsidR="00DC66FF">
        <w:t xml:space="preserve"> </w:t>
      </w:r>
      <w:r w:rsidR="00A5105F">
        <w:fldChar w:fldCharType="begin" w:fldLock="1"/>
      </w:r>
      <w:r w:rsidR="00E47150">
        <w:instrText>ADDIN CSL_CITATION { "citationItems" : [ { "id" : "ITEM-1", "itemData" : { "ISBN" : "9780986707704", "abstract" : "AFew international development or security specialists would question the notion that the reform and even transformation of the security architecture of post- con ict and transition states is crucial for the advancement of peace and stability and the creation of an enabling environment for economic development. Those same specialists would likely agree on the fundamental principles that should undergird that process, from respect for fundamental rights to democratic civilian control. This package of norms forms the basis of the security sector reform (SSR) process, a model of security assistance widely seen as the standard for developed and developing states alike seeking to build, rebuild or modify security and justice institutions at home or abroad. Indeed, the SSR acronym has become embedded in donor parlance, policy frameworks and strategic priorities and accepted, at least of cially, by most aid recipients as a necessary step towards stability and prosperity.", "author" : [ { "dropping-particle" : "", "family" : "Sedra", "given" : "Mark", "non-dropping-particle" : "", "parse-names" : false, "suffix" : "" } ], "container-title" : "The Future of Security Sector Reform", "editor" : [ { "dropping-particle" : "", "family" : "Sedra", "given" : "Mark", "non-dropping-particle" : "", "parse-names" : false, "suffix" : "" } ], "id" : "ITEM-1", "issued" : { "date-parts" : [ [ "2010" ] ] }, "note" : "This is a part of the CIGI authored Towards a Second Generation Security Sector", "page" : "102-116", "publisher" : "Centre for International Governance Information (CIGI)", "publisher-place" : "Waterloo", "title" : "Towards Second Generation Security Sector Reform", "type" : "chapter" }, "locator" : "108", "uris" : [ "http://www.mendeley.com/documents/?uuid=411a6498-13f0-483b-a9c3-bb8c01ad3526" ] } ], "mendeley" : { "formattedCitation" : "Sedra, \u201cTowards Second Generation Security Sector Reform,\u201d 108.", "plainTextFormattedCitation" : "Sedra, \u201cTowards Second Generation Security Sector Reform,\u201d 108.", "previouslyFormattedCitation" : "Sedra, \u201cTowards Second Generation Security Sector Reform,\u201d 108." }, "properties" : { "noteIndex" : 0 }, "schema" : "https://github.com/citation-style-language/schema/raw/master/csl-citation.json" }</w:instrText>
      </w:r>
      <w:r w:rsidR="00A5105F">
        <w:fldChar w:fldCharType="separate"/>
      </w:r>
      <w:r w:rsidR="00A5105F" w:rsidRPr="00A5105F">
        <w:rPr>
          <w:noProof/>
        </w:rPr>
        <w:t>Sedra, “Towards Second Generation Security Sector Reform,” 108.</w:t>
      </w:r>
      <w:r w:rsidR="00A5105F">
        <w:fldChar w:fldCharType="end"/>
      </w:r>
    </w:p>
  </w:endnote>
  <w:endnote w:id="33">
    <w:p w14:paraId="4767E72E" w14:textId="6713988E" w:rsidR="00DC404C" w:rsidRDefault="00DF570B" w:rsidP="00E47150">
      <w:pPr>
        <w:pStyle w:val="EndnoteText"/>
      </w:pPr>
      <w:r>
        <w:rPr>
          <w:rStyle w:val="EndnoteReference"/>
        </w:rPr>
        <w:endnoteRef/>
      </w:r>
      <w:r>
        <w:t xml:space="preserve"> </w:t>
      </w:r>
      <w:r w:rsidR="00E47150">
        <w:fldChar w:fldCharType="begin" w:fldLock="1"/>
      </w:r>
      <w:r w:rsidR="0005221B">
        <w:instrText>ADDIN CSL_CITATION { "citationItems" : [ { "id" : "ITEM-1", "itemData" : { "abstract" : "Security sector reform (SSR) has been described as a linch-pin of the liberal state-building and peace-building processes in Afghanistan. The process was originally framed in accordance with the core liberal principles of the SSR model, prioritizing good governance, respect for human rights, sustainability, and democratic civilian control. However, as time passed and security and political conditions began to deteriorate on the ground, the process would gradually revert to a more conventional train-and-equip form, with its core liberal principles stripped away. The slide toward expediency experienced by the SSR process in Afghanistan demonstrates the deeply flawed manner in which the liberal peace project was advanced in Afghanistan. SSR donors became increasingly ambivalent about the human- security objectives of SSR, which were superseded by exigencies of the counterinsurgency, regional security, and domestic pressure for withdrawal. The Afghan experience has raised further doubt about the viability of the orthodox SSR model in conflict-affected countries, already the subject of significant critical debate.", "author" : [ { "dropping-particle" : "", "family" : "Sedra", "given" : "Mark", "non-dropping-particle" : "", "parse-names" : false, "suffix" : "" } ], "container-title" : "Central Asian Survey", "id" : "ITEM-1", "issue" : "3", "issued" : { "date-parts" : [ [ "2013" ] ] }, "page" : "371-387", "title" : "The hollowing-out of the liberal peace project in Afghanistan: the case of security sector reform", "type" : "article-journal", "volume" : "32" }, "locator" : "379", "uris" : [ "http://www.mendeley.com/documents/?uuid=39afd29a-0400-479c-9404-34956392ed74" ] } ], "mendeley" : { "formattedCitation" : "Sedra, \u201cThe Hollowing-out of the Liberal Peace Project in Afghanistan: The Case of Security Sector Reform,\u201d 379.", "plainTextFormattedCitation" : "Sedra, \u201cThe Hollowing-out of the Liberal Peace Project in Afghanistan: The Case of Security Sector Reform,\u201d 379.", "previouslyFormattedCitation" : "Sedra, \u201cThe Hollowing-out of the Liberal Peace Project in Afghanistan: The Case of Security Sector Reform,\u201d 379." }, "properties" : { "noteIndex" : 0 }, "schema" : "https://github.com/citation-style-language/schema/raw/master/csl-citation.json" }</w:instrText>
      </w:r>
      <w:r w:rsidR="00E47150">
        <w:fldChar w:fldCharType="separate"/>
      </w:r>
      <w:r w:rsidR="00E47150" w:rsidRPr="00E47150">
        <w:rPr>
          <w:noProof/>
        </w:rPr>
        <w:t>Sedra, “The Hollowing-out of the Liberal Peace Project in Afghanistan: The Case of Security Sector Reform,” 379.</w:t>
      </w:r>
      <w:r w:rsidR="00E47150">
        <w:fldChar w:fldCharType="end"/>
      </w:r>
    </w:p>
  </w:endnote>
  <w:endnote w:id="34">
    <w:p w14:paraId="585A903E" w14:textId="714C0691" w:rsidR="00414E26" w:rsidRDefault="00414E26" w:rsidP="0005221B">
      <w:pPr>
        <w:pStyle w:val="EndnoteText"/>
      </w:pPr>
      <w:r>
        <w:rPr>
          <w:rStyle w:val="EndnoteReference"/>
        </w:rPr>
        <w:endnoteRef/>
      </w:r>
      <w:r>
        <w:t xml:space="preserve"> OECD, Security System Reform and Governance: A DAC Reference Document, 44.</w:t>
      </w:r>
      <w:r w:rsidR="0005221B">
        <w:t xml:space="preserve"> </w:t>
      </w:r>
      <w:r w:rsidR="0005221B">
        <w:fldChar w:fldCharType="begin" w:fldLock="1"/>
      </w:r>
      <w:r w:rsidR="007D39FC">
        <w:instrText>ADDIN CSL_CITATION { "citationItems" : [ { "id" : "ITEM-1", "itemData" : { "DOI" : "10.1787/9789264007888-en", "ISBN" : "9264007865", "abstract" : "A democratically run, accountable and efficient security system helps to reduce the risk of violent conflict and establish a secure environment that is conducive to poverty reduction, human rights and sustainable development. This publication continues efforts by the OECD's Development Assistance Committee (DAC) to develop tools and instruments for conflict prevention and for improving security and stability in the long term. The guidance underlines the positive role that the integrated reform of a country's security system can play in stabilising fragile, conflict-prone or conflict affected states. This includes not only the armed forces, police and gendarmerie, intelligence services, and justice and penal systems, but also the civil authorities responsible for oversight and democratic control.", "author" : [ { "dropping-particle" : "", "family" : "OECD", "given" : "", "non-dropping-particle" : "", "parse-names" : false, "suffix" : "" } ], "id" : "ITEM-1", "issued" : { "date-parts" : [ [ "2005" ] ] }, "number-of-pages" : "144", "publisher" : "OECD DAC", "title" : "Security System Reform and Governance: A DAC Reference Document", "type" : "book" }, "locator" : "44", "uris" : [ "http://www.mendeley.com/documents/?uuid=4b8b9f06-d4db-4f24-9630-a9bbe547d18b" ] } ], "mendeley" : { "formattedCitation" : "OECD, &lt;i&gt;Security System Reform and Governance: A DAC Reference Document&lt;/i&gt;, 44.", "plainTextFormattedCitation" : "OECD, Security System Reform and Governance: A DAC Reference Document, 44.", "previouslyFormattedCitation" : "OECD, &lt;i&gt;Security System Reform and Governance: A DAC Reference Document&lt;/i&gt;, 44." }, "properties" : { "noteIndex" : 0 }, "schema" : "https://github.com/citation-style-language/schema/raw/master/csl-citation.json" }</w:instrText>
      </w:r>
      <w:r w:rsidR="0005221B">
        <w:fldChar w:fldCharType="separate"/>
      </w:r>
      <w:r w:rsidR="0005221B" w:rsidRPr="0005221B">
        <w:rPr>
          <w:noProof/>
        </w:rPr>
        <w:t xml:space="preserve">OECD, </w:t>
      </w:r>
      <w:r w:rsidR="0005221B" w:rsidRPr="0005221B">
        <w:rPr>
          <w:i/>
          <w:noProof/>
        </w:rPr>
        <w:t>Security System Reform and Governance: A DAC Reference Document</w:t>
      </w:r>
      <w:r w:rsidR="0005221B" w:rsidRPr="0005221B">
        <w:rPr>
          <w:noProof/>
        </w:rPr>
        <w:t>, 44.</w:t>
      </w:r>
      <w:r w:rsidR="0005221B">
        <w:fldChar w:fldCharType="end"/>
      </w:r>
    </w:p>
  </w:endnote>
  <w:endnote w:id="35">
    <w:p w14:paraId="7D794536" w14:textId="1557BB9F" w:rsidR="00DC404C" w:rsidRDefault="00DF570B" w:rsidP="007D39FC">
      <w:pPr>
        <w:pStyle w:val="EndnoteText"/>
      </w:pPr>
      <w:r>
        <w:rPr>
          <w:rStyle w:val="EndnoteReference"/>
        </w:rPr>
        <w:endnoteRef/>
      </w:r>
      <w:r>
        <w:t xml:space="preserve"> </w:t>
      </w:r>
      <w:r w:rsidR="007D39FC">
        <w:fldChar w:fldCharType="begin" w:fldLock="1"/>
      </w:r>
      <w:r w:rsidR="00C900E0">
        <w:instrText>ADDIN CSL_CITATION { "citationItems" : [ { "id" : "ITEM-1", "itemData" : { "abstract" : "Op Ed in Journal of Democracy Support for the concept of non-Western democracy is becoming more voluble, widespread and determined. In many places, it has become a central focus of debates about the future of democracy. Calls for non-Western varieties of democracy are part and parcel of the rise of a post-Western world order. The search for forms of democracy that differ from prevailing Western norms is legitimate and needs to be taken seriously. But it also merits a carefully thought-out response. The concept of non-Western democracy is a challenging one. While the sentiment in favor of local ownership and authenticity in political forms is sound, a distinctive non-Western variety of democracy has yet to be defined with any precision. At the same time, non-Western countries certainly offer new ideas for democratic innovation, and democracy supporters from the West need to do more to encourage these ideas. Why are calls for non-Western democracy proliferating? There are several reasons. These calls flow from both political changes within states and shifts in global power balances between states. The first reason for non-Western democracy\u2019s rising appeal as a concept is Western liberal democracy\u2019s own poor performance of late. The rise of non-Western powers is the second reason. Rising powers\u2019 pushback against Western democracy is associated with these states\u2019 newfound ability and determination to exert their effective sovereignty.", "author" : [ { "dropping-particle" : "", "family" : "Youngs", "given" : "Richard", "non-dropping-particle" : "", "parse-names" : false, "suffix" : "" } ], "container-title" : "Journal of Democracy", "id" : "ITEM-1", "issue" : "4", "issued" : { "date-parts" : [ [ "2015" ] ] }, "page" : "140-155", "title" : "Exploring \u201c Non-Western Democracy \u201d", "type" : "article-journal", "volume" : "26" }, "uris" : [ "http://www.mendeley.com/documents/?uuid=ec6e9d5a-8069-4af9-80cb-af4380aa33bc" ] } ], "mendeley" : { "formattedCitation" : "Richard Youngs, \u201cExploring \u2018 Non-Western Democracy ,\u2019\u201d &lt;i&gt;Journal of Democracy&lt;/i&gt; 26, no. 4 (2015): 140\u201355.", "plainTextFormattedCitation" : "Richard Youngs, \u201cExploring \u2018 Non-Western Democracy ,\u2019\u201d Journal of Democracy 26, no. 4 (2015): 140\u201355.", "previouslyFormattedCitation" : "Richard Youngs, \u201cExploring \u2018 Non-Western Democracy ,\u2019\u201d &lt;i&gt;Journal of Democracy&lt;/i&gt; 26, no. 4 (2015): 140\u201355." }, "properties" : { "noteIndex" : 0 }, "schema" : "https://github.com/citation-style-language/schema/raw/master/csl-citation.json" }</w:instrText>
      </w:r>
      <w:r w:rsidR="007D39FC">
        <w:fldChar w:fldCharType="separate"/>
      </w:r>
      <w:r w:rsidR="007D39FC" w:rsidRPr="007D39FC">
        <w:rPr>
          <w:noProof/>
        </w:rPr>
        <w:t xml:space="preserve">Richard Youngs, “Exploring ‘ Non-Western Democracy ,’” </w:t>
      </w:r>
      <w:r w:rsidR="007D39FC" w:rsidRPr="007D39FC">
        <w:rPr>
          <w:i/>
          <w:noProof/>
        </w:rPr>
        <w:t>Journal of Democracy</w:t>
      </w:r>
      <w:r w:rsidR="007D39FC" w:rsidRPr="007D39FC">
        <w:rPr>
          <w:noProof/>
        </w:rPr>
        <w:t xml:space="preserve"> 26, no. 4 (2015): 140–55.</w:t>
      </w:r>
      <w:r w:rsidR="007D39FC">
        <w:fldChar w:fldCharType="end"/>
      </w:r>
    </w:p>
  </w:endnote>
  <w:endnote w:id="36">
    <w:p w14:paraId="30612AEB" w14:textId="0CA7AAE3" w:rsidR="00DC404C" w:rsidRDefault="00DF570B" w:rsidP="00C900E0">
      <w:pPr>
        <w:pStyle w:val="EndnoteText"/>
      </w:pPr>
      <w:r>
        <w:rPr>
          <w:rStyle w:val="EndnoteReference"/>
        </w:rPr>
        <w:endnoteRef/>
      </w:r>
      <w:r>
        <w:t xml:space="preserve"> </w:t>
      </w:r>
      <w:r w:rsidR="00C900E0">
        <w:fldChar w:fldCharType="begin" w:fldLock="1"/>
      </w:r>
      <w:r w:rsidR="009367AB">
        <w:instrText>ADDIN CSL_CITATION { "citationItems" : [ { "id" : "ITEM-1", "itemData" : { "abstract" : "The paper aims to examine the actual and potential linkages between DDR and SSR programmes and processes, in order to clarify these important issues. In doing so, it aims to contribute to an important and urgent emerging debate for policy-makers and practitioners on how best to operationalise links between SSR and DDR.", "author" : [ { "dropping-particle" : "", "family" : "Greene", "given" : "Owen", "non-dropping-particle" : "", "parse-names" : false, "suffix" : "" }, { "dropping-particle" : "", "family" : "Rynn", "given" : "Simon", "non-dropping-particle" : "", "parse-names" : false, "suffix" : "" } ], "collection-title" : "DDR and Human Security: Post Conflict Security Building and the Interests of the Poor", "id" : "ITEM-1", "issued" : { "date-parts" : [ [ "2008" ] ] }, "number" : "Thematic Working Paper 2", "publisher-place" : "Bradford", "title" : "Linking and Co-ordinating DDR and SSR for Human Security after Conflict: Issues, Experience and Priorities", "type" : "report" }, "uris" : [ "http://www.mendeley.com/documents/?uuid=56b40a32-319b-4b86-bb85-345c74f154d5" ] }, { "id" : "ITEM-2", "itemData" : { "ISSN" : "19960832", "author" : [ { "dropping-particle" : "", "family" : "Knight", "given" : "W Andy", "non-dropping-particle" : "", "parse-names" : false, "suffix" : "" } ], "container-title" : "African Journal of Political Science and International Relations", "id" : "ITEM-2", "issue" : "1", "issued" : { "date-parts" : [ [ "2010" ] ] }, "page" : "29-54", "title" : "Linking DDR and SSR in Post Conflict Peace-Building in Africa: An overview", "type" : "article-journal", "volume" : "4" }, "uris" : [ "http://www.mendeley.com/documents/?uuid=e3457342-e23d-450f-98c6-dbf0c0046f4f" ] }, { "id" : "ITEM-3", "itemData" : { "abstract" : "Disarmament, demobilization, and reintegration (DDR) and security sector reform (SSR) processes should be interrelated and mutually reinforcing. As DDR and SSR share the same objective\u2014consolidation of the state\u2019s monopoly of force to uphold the rule of law\u2014they succeed or fail together and should be planned, resourced, implemented, and evaluated in a coordinated manner. The natural point of intersection for DDR and SSR is in the rein- tegration phase, as many ex-combatants find employment in the security apparatus that SSR creates. \u2022 DDR helps ensure the long-term success of SSR, as it shifts ex-combatants into the new security forces, where they no longer threaten the state\u2019s monopoly of force. If done properly, this reenforces the peace settlement by fostering mutual trust between former enemies, encouraging further disarmament and transition into civilian life. \u2022 SSR helps ensure the long-term success of DDR, as security-sector governance includes ministry programs that provide for the welfare of former combatants. This focus prevents ex-combatants from becoming insurgents or joining criminal gangs. At the same time, effective SSR produces professional security forces that can control spoilers and contain violence. DDR and SSR together promote development by preserving resources and infrastructure, freeing and managing labor, and supporting reconciliation that encourages investment and entrepreneurship. They also promote the interests of women, minorities, and former child soldiers, who should be supported in a consistent manner between the two programs.", "author" : [ { "dropping-particle" : "", "family" : "McFate", "given" : "Sean", "non-dropping-particle" : "", "parse-names" : false, "suffix" : "" } ], "id" : "ITEM-3", "issued" : { "date-parts" : [ [ "2010" ] ] }, "publisher-place" : "Washington DC", "title" : "The Link Between DDR and SSR in Conflict- Affected Countries", "type" : "article" }, "uris" : [ "http://www.mendeley.com/documents/?uuid=46585bbf-6939-451c-8abe-48ed944c49cc" ] } ], "mendeley" : { "formattedCitation" : "Greene and Rynn, \u201cLinking and Co-Ordinating DDR and SSR for Human Security after Conflict: Issues, Experience and Priorities\u201d; W Andy Knight, \u201cLinking DDR and SSR in Post Conflict Peace-Building in Africa: An Overview,\u201d &lt;i&gt;African Journal of Political Science and International Relations&lt;/i&gt; 4, no. 1 (2010): 29\u201354; Sean McFate, \u201cThe Link Between DDR and SSR in Conflict- Affected Countries\u201d (Washington DC, 2010).", "plainTextFormattedCitation" : "Greene and Rynn, \u201cLinking and Co-Ordinating DDR and SSR for Human Security after Conflict: Issues, Experience and Priorities\u201d; W Andy Knight, \u201cLinking DDR and SSR in Post Conflict Peace-Building in Africa: An Overview,\u201d African Journal of Political Science and International Relations 4, no. 1 (2010): 29\u201354; Sean McFate, \u201cThe Link Between DDR and SSR in Conflict- Affected Countries\u201d (Washington DC, 2010).", "previouslyFormattedCitation" : "Greene and Rynn, \u201cLinking and Co-Ordinating DDR and SSR for Human Security after Conflict: Issues, Experience and Priorities\u201d; W Andy Knight, \u201cLinking DDR and SSR in Post Conflict Peace-Building in Africa: An Overview,\u201d &lt;i&gt;African Journal of Political Science and International Relations&lt;/i&gt; 4, no. 1 (2010): 29\u201354; Sean McFate, \u201cThe Link Between DDR and SSR in Conflict- Affected Countries\u201d (Washington DC, 2010)." }, "properties" : { "noteIndex" : 0 }, "schema" : "https://github.com/citation-style-language/schema/raw/master/csl-citation.json" }</w:instrText>
      </w:r>
      <w:r w:rsidR="00C900E0">
        <w:fldChar w:fldCharType="separate"/>
      </w:r>
      <w:r w:rsidR="00C900E0" w:rsidRPr="00C900E0">
        <w:rPr>
          <w:noProof/>
        </w:rPr>
        <w:t xml:space="preserve">Greene and Rynn, “Linking and Co-Ordinating DDR and SSR for Human Security after Conflict: Issues, Experience and Priorities”; W Andy Knight, “Linking DDR and SSR in Post Conflict Peace-Building in Africa: An Overview,” </w:t>
      </w:r>
      <w:r w:rsidR="00C900E0" w:rsidRPr="00C900E0">
        <w:rPr>
          <w:i/>
          <w:noProof/>
        </w:rPr>
        <w:t>African Journal of Political Science and International Relations</w:t>
      </w:r>
      <w:r w:rsidR="00C900E0" w:rsidRPr="00C900E0">
        <w:rPr>
          <w:noProof/>
        </w:rPr>
        <w:t xml:space="preserve"> 4, no. 1 (2010): 29–54; Sean McFate, “The Link Between DDR and SSR in Conflict- Affected Countries” (Washington DC, 2010).</w:t>
      </w:r>
      <w:r w:rsidR="00C900E0">
        <w:fldChar w:fldCharType="end"/>
      </w:r>
    </w:p>
  </w:endnote>
  <w:endnote w:id="37">
    <w:p w14:paraId="77AC4744" w14:textId="4DC5421C" w:rsidR="00DC404C" w:rsidRDefault="00DF570B" w:rsidP="009367AB">
      <w:pPr>
        <w:pStyle w:val="EndnoteText"/>
      </w:pPr>
      <w:r>
        <w:rPr>
          <w:rStyle w:val="EndnoteReference"/>
        </w:rPr>
        <w:endnoteRef/>
      </w:r>
      <w:r>
        <w:t xml:space="preserve"> </w:t>
      </w:r>
      <w:r w:rsidR="009367AB">
        <w:fldChar w:fldCharType="begin" w:fldLock="1"/>
      </w:r>
      <w:r w:rsidR="00816D63">
        <w:instrText>ADDIN CSL_CITATION { "citationItems" : [ { "id" : "ITEM-1", "itemData" : { "abstract" : "The garrison state is a \"developmental construct\" about the future course of world-politics, whose function is to stimulate the individual specialist to clarify for himself his expectations about the future as a guide to the timing of scientific work. The trend of the time is away from the dominance of the specialist on bargaining, who is the businessman, and toward the supremacy of the specialist on violence, the soldier. Methods: It is probable that the ruling elite of the garrison state will acquire most of the skills that we have come to accept as part of modern civilian management. Particularly prominent will be skill in the manipulation of symbols in the interest of morale and public relations. Unemployment will be \"psychologically\" abolished. Internal violence will be directed principally against unskilled manual workers and counterelite elements who have come under suspicion. Incomes will be somewhat equalized in the interest of maintaining morale under modern conditions of socialized danger. The practice will be to recruit the elite according to ability (in periods of crisis); authority will be dictatorial, governmentalized, centralized, integrated. Value distribution: The power pyramid will be steep, but the distribution of safety will be equalized (the socialization of danger under modern conditions of aerial warfare). The income and respect pyramids will be between the other two-each pyramid flattened at the top, bulged out in the upper-middle and lower-middle zones. Value production: The elites will seek to hold in check the utilization of the productive potentialities of modern scienceand engineering for nonmilitary consumption goods. The rate of production will be regularized. Production will be affected by the tendencies toward rigidity in a military state, but these effects will be largely neutralized by the skill groups of science and technology.", "author" : [ { "dropping-particle" : "", "family" : "Lasswell", "given" : "Harold", "non-dropping-particle" : "", "parse-names" : false, "suffix" : "" } ], "container-title" : "American Journal of Sociology", "id" : "ITEM-1", "issue" : "4", "issued" : { "date-parts" : [ [ "1941" ] ] }, "page" : "455-468", "publisher" : "Published by The University of Chicago Press", "title" : "The Garrison State", "type" : "article-journal", "volume" : "46" }, "uris" : [ "http://www.mendeley.com/documents/?uuid=d024f942-8277-4539-b9f9-5ba4ffaabe48" ] }, { "id" : "ITEM-2", "itemData" : { "author" : [ { "dropping-particle" : "", "family" : "Andreski", "given" : "Stanislav", "non-dropping-particle" : "", "parse-names" : false, "suffix" : "" } ], "id" : "ITEM-2", "issued" : { "date-parts" : [ [ "1968" ] ] }, "publisher" : "University of California Press", "title" : "Military Organiszation and Society", "type" : "book" }, "uris" : [ "http://www.mendeley.com/documents/?uuid=40ab8304-82a9-4b03-b8b5-ce0378ad6b00" ] }, { "id" : "ITEM-3", "itemData" : { "abstract" : "While there is no \"crisis\" in U.S. post-Cold War civil-military relations, it seems clear that the United States is now experiencing a weakening in civilian control of the military, at least compared with the Cold War. In a previous article, I argued that militaries with primarily external missions were more amenable to civilian control than militaries with internal missions. This article looks in more detail at how variation in international and domestic threats affects the strength of civilian control of the military relations as well as the role that military doctrine plays in strengthening or weakening civilian control in structurally indeterminate threat environments. My argument is that in structurally indeterminate threat environments, externally oriented military doctrines are necessary, but not sufficient, conditions for civilian control of the military.", "author" : [ { "dropping-particle" : "", "family" : "Desch", "given" : "Michael C", "non-dropping-particle" : "", "parse-names" : false, "suffix" : "" } ], "container-title" : "Armed Forces &amp; Society", "id" : "ITEM-3", "issue" : "3", "issued" : { "date-parts" : [ [ "1998" ] ] }, "page" : "389-406", "title" : "Soldiers, States and Structures: The End of the Cold War and Weakening U.S. Civilian Control", "type" : "article-journal", "volume" : "24" }, "uris" : [ "http://www.mendeley.com/documents/?uuid=560c1c0f-453e-4b43-9e78-d77330f58aeb" ] } ], "mendeley" : { "formattedCitation" : "Harold Lasswell, \u201cThe Garrison State,\u201d &lt;i&gt;American Journal of Sociology&lt;/i&gt; 46, no. 4 (1941): 455\u201368; Stanislav Andreski, &lt;i&gt;Military Organiszation and Society&lt;/i&gt; (University of California Press, 1968); Michael C Desch, \u201cSoldiers, States and Structures: The End of the Cold War and Weakening U.S. Civilian Control,\u201d &lt;i&gt;Armed Forces &amp; Society&lt;/i&gt; 24, no. 3 (1998): 389\u2013406.", "plainTextFormattedCitation" : "Harold Lasswell, \u201cThe Garrison State,\u201d American Journal of Sociology 46, no. 4 (1941): 455\u201368; Stanislav Andreski, Military Organiszation and Society (University of California Press, 1968); Michael C Desch, \u201cSoldiers, States and Structures: The End of the Cold War and Weakening U.S. Civilian Control,\u201d Armed Forces &amp; Society 24, no. 3 (1998): 389\u2013406.", "previouslyFormattedCitation" : "Harold Lasswell, \u201cThe Garrison State,\u201d &lt;i&gt;American Journal of Sociology&lt;/i&gt; 46, no. 4 (1941): 455\u201368; Stanislav Andreski, &lt;i&gt;Military Organiszation and Society&lt;/i&gt; (University of California Press, 1968); Michael C Desch, \u201cSoldiers, States and Structures: The End of the Cold War and Weakening U.S. Civilian Control,\u201d &lt;i&gt;Armed Forces &amp; Society&lt;/i&gt; 24, no. 3 (1998): 389\u2013406." }, "properties" : { "noteIndex" : 0 }, "schema" : "https://github.com/citation-style-language/schema/raw/master/csl-citation.json" }</w:instrText>
      </w:r>
      <w:r w:rsidR="009367AB">
        <w:fldChar w:fldCharType="separate"/>
      </w:r>
      <w:r w:rsidR="009367AB" w:rsidRPr="009367AB">
        <w:rPr>
          <w:noProof/>
        </w:rPr>
        <w:t xml:space="preserve">Harold Lasswell, “The Garrison State,” </w:t>
      </w:r>
      <w:r w:rsidR="009367AB" w:rsidRPr="009367AB">
        <w:rPr>
          <w:i/>
          <w:noProof/>
        </w:rPr>
        <w:t>American Journal of Sociology</w:t>
      </w:r>
      <w:r w:rsidR="009367AB" w:rsidRPr="009367AB">
        <w:rPr>
          <w:noProof/>
        </w:rPr>
        <w:t xml:space="preserve"> 46, no. 4 (1941): 455–68; Stanislav Andreski, </w:t>
      </w:r>
      <w:r w:rsidR="009367AB" w:rsidRPr="009367AB">
        <w:rPr>
          <w:i/>
          <w:noProof/>
        </w:rPr>
        <w:t>Military Organiszation and Society</w:t>
      </w:r>
      <w:r w:rsidR="009367AB" w:rsidRPr="009367AB">
        <w:rPr>
          <w:noProof/>
        </w:rPr>
        <w:t xml:space="preserve"> (University of California Press, 1968); Michael C Desch, “Soldiers, States and Structures: The End of the Cold War and Weakening U.S. Civilian Control,” </w:t>
      </w:r>
      <w:r w:rsidR="009367AB" w:rsidRPr="009367AB">
        <w:rPr>
          <w:i/>
          <w:noProof/>
        </w:rPr>
        <w:t>Armed Forces &amp; Society</w:t>
      </w:r>
      <w:r w:rsidR="009367AB" w:rsidRPr="009367AB">
        <w:rPr>
          <w:noProof/>
        </w:rPr>
        <w:t xml:space="preserve"> 24, no. 3 (1998): 389–406.</w:t>
      </w:r>
      <w:r w:rsidR="009367AB">
        <w:fldChar w:fldCharType="end"/>
      </w:r>
    </w:p>
  </w:endnote>
  <w:endnote w:id="38">
    <w:p w14:paraId="64670CE4" w14:textId="0BBCCE98" w:rsidR="00A47974" w:rsidRDefault="00A47974" w:rsidP="00F61E31">
      <w:pPr>
        <w:pStyle w:val="EndnoteText"/>
      </w:pPr>
      <w:r>
        <w:rPr>
          <w:rStyle w:val="EndnoteReference"/>
        </w:rPr>
        <w:endnoteRef/>
      </w:r>
      <w:r>
        <w:t xml:space="preserve"> </w:t>
      </w:r>
      <w:r>
        <w:fldChar w:fldCharType="begin" w:fldLock="1"/>
      </w:r>
      <w:r w:rsidR="00F87D21">
        <w:instrText>ADDIN CSL_CITATION { "citationItems" : [ { "id" : "ITEM-1", "itemData" : { "ISBN" : "0-674-81736-2 (paper)", "abstract" : "In order for military forces to be an effective instrument of state policy, the military professional has to be loyal and obedient. Although Huntington considers obedience as the supreme military virtue, he is also well aware that this virtue does have its limits, and he distinguishes four type-cases in which military obedience is clearly at stake.", "author" : [ { "dropping-particle" : "", "family" : "Huntington", "given" : "Samuel P", "non-dropping-particle" : "", "parse-names" : false, "suffix" : "" } ], "id" : "ITEM-1", "issued" : { "date-parts" : [ [ "1957" ] ] }, "note" : "Full Critical analysis conducted.", "publisher" : "Harvard University Press", "publisher-place" : "Cambridge, Mass", "title" : "The Soldier and the State", "type" : "book" }, "locator" : "315", "uris" : [ "http://www.mendeley.com/documents/?uuid=9ee2b750-5b02-47eb-b0f2-f614a289c912" ] } ], "mendeley" : { "formattedCitation" : "Huntington, &lt;i&gt;The Soldier and the State&lt;/i&gt;, 315.", "plainTextFormattedCitation" : "Huntington, The Soldier and the State, 315.", "previouslyFormattedCitation" : "Huntington, &lt;i&gt;The Soldier and the State&lt;/i&gt;, 315." }, "properties" : { "noteIndex" : 0 }, "schema" : "https://github.com/citation-style-language/schema/raw/master/csl-citation.json" }</w:instrText>
      </w:r>
      <w:r>
        <w:fldChar w:fldCharType="separate"/>
      </w:r>
      <w:r w:rsidR="005E395E" w:rsidRPr="005E395E">
        <w:rPr>
          <w:noProof/>
        </w:rPr>
        <w:t xml:space="preserve">Huntington, </w:t>
      </w:r>
      <w:r w:rsidR="005E395E" w:rsidRPr="005E395E">
        <w:rPr>
          <w:i/>
          <w:noProof/>
        </w:rPr>
        <w:t>The Soldier and the State</w:t>
      </w:r>
      <w:r w:rsidR="005E395E" w:rsidRPr="005E395E">
        <w:rPr>
          <w:noProof/>
        </w:rPr>
        <w:t>, 315.</w:t>
      </w:r>
      <w:r>
        <w:fldChar w:fldCharType="end"/>
      </w:r>
    </w:p>
  </w:endnote>
  <w:endnote w:id="39">
    <w:p w14:paraId="2736FEAE" w14:textId="441A306A" w:rsidR="00DC404C" w:rsidRDefault="00DF570B" w:rsidP="00816D63">
      <w:pPr>
        <w:pStyle w:val="EndnoteText"/>
      </w:pPr>
      <w:r>
        <w:rPr>
          <w:rStyle w:val="EndnoteReference"/>
        </w:rPr>
        <w:endnoteRef/>
      </w:r>
      <w:r w:rsidR="00816D63">
        <w:t xml:space="preserve"> </w:t>
      </w:r>
      <w:r w:rsidR="00816D63">
        <w:fldChar w:fldCharType="begin" w:fldLock="1"/>
      </w:r>
      <w:r w:rsidR="00816D63">
        <w:instrText>ADDIN CSL_CITATION { "citationItems" : [ { "id" : "ITEM-1", "itemData" : { "ISBN" : "15471349", "ISSN" : "15471349", "abstract" : "The article presents a study on the civil-military relations in five East Asian democracies which are Indonesia, the Philippines, South Korea, Taiwan, and Thailand. The authors describe civilian control as the distribution of power between elected civilian authorities and military leaders in which civilians can make decisions without influence from the military. They state that civilian control means more than the absence of a military intervention.", "author" : [ { "dropping-particle" : "", "family" : "Croissant", "given" : "Aurel", "non-dropping-particle" : "", "parse-names" : false, "suffix" : "" }, { "dropping-particle" : "", "family" : "Kuehn", "given" : "David", "non-dropping-particle" : "", "parse-names" : false, "suffix" : "" }, { "dropping-particle" : "", "family" : "Lorenz", "given" : "Philip", "non-dropping-particle" : "", "parse-names" : false, "suffix" : "" } ], "collection-title" : "Policy Studies papers", "container-title" : "Policy Studies (15471349)", "id" : "ITEM-1", "issue" : "63", "issued" : { "date-parts" : [ [ "2012" ] ] }, "number-of-pages" : "1-72", "publisher" : "East-West Center", "publisher-place" : "Honolulu", "title" : "Breaking With the Past? Civil-Military Relations in the Emerging Democracies of East Asia.", "type" : "report" }, "uris" : [ "http://www.mendeley.com/documents/?uuid=d6b2755d-5842-47c4-857a-6fc1356bacca" ] } ], "mendeley" : { "formattedCitation" : "Aurel Croissant, David Kuehn, and Philip Lorenz, \u201cBreaking With the Past? Civil-Military Relations in the Emerging Democracies of East Asia.,\u201d &lt;i&gt;Policy Studies (15471349)&lt;/i&gt;, Policy Studies Papers (Honolulu: East-West Center, 2012).", "plainTextFormattedCitation" : "Aurel Croissant, David Kuehn, and Philip Lorenz, \u201cBreaking With the Past? Civil-Military Relations in the Emerging Democracies of East Asia.,\u201d Policy Studies (15471349), Policy Studies Papers (Honolulu: East-West Center, 2012)." }, "properties" : { "noteIndex" : 0 }, "schema" : "https://github.com/citation-style-language/schema/raw/master/csl-citation.json" }</w:instrText>
      </w:r>
      <w:r w:rsidR="00816D63">
        <w:fldChar w:fldCharType="separate"/>
      </w:r>
      <w:r w:rsidR="00816D63" w:rsidRPr="00816D63">
        <w:rPr>
          <w:noProof/>
        </w:rPr>
        <w:t xml:space="preserve">Aurel Croissant, David Kuehn, and Philip Lorenz, “Breaking With the Past? Civil-Military Relations in the Emerging Democracies of East Asia.,” </w:t>
      </w:r>
      <w:r w:rsidR="00816D63" w:rsidRPr="00816D63">
        <w:rPr>
          <w:i/>
          <w:noProof/>
        </w:rPr>
        <w:t>Policy Studies (15471349)</w:t>
      </w:r>
      <w:r w:rsidR="00816D63" w:rsidRPr="00816D63">
        <w:rPr>
          <w:noProof/>
        </w:rPr>
        <w:t>, Policy Studies Papers (Honolulu: East-West Center, 2012).</w:t>
      </w:r>
      <w:r w:rsidR="00816D63">
        <w:fldChar w:fldCharType="end"/>
      </w:r>
    </w:p>
    <w:p w14:paraId="03D5202C" w14:textId="77777777" w:rsidR="00DC404C" w:rsidRDefault="00DC404C" w:rsidP="00F61E31">
      <w:pPr>
        <w:pStyle w:val="EndnoteText"/>
      </w:pPr>
    </w:p>
    <w:p w14:paraId="69D16FC1" w14:textId="77777777" w:rsidR="00DC404C" w:rsidRDefault="00DC404C">
      <w:pPr>
        <w:widowControl w:val="0"/>
        <w:autoSpaceDE w:val="0"/>
        <w:spacing w:after="240" w:line="360" w:lineRule="auto"/>
        <w:ind w:left="480" w:hanging="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7070" w14:textId="77777777" w:rsidR="00685A55" w:rsidRDefault="00685A55" w:rsidP="0022604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D9CC3" w14:textId="77777777" w:rsidR="00685A55" w:rsidRDefault="00685A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3381" w14:textId="77777777" w:rsidR="00685A55" w:rsidRDefault="00685A55" w:rsidP="0022604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492">
      <w:rPr>
        <w:rStyle w:val="PageNumber"/>
        <w:noProof/>
      </w:rPr>
      <w:t>23</w:t>
    </w:r>
    <w:r>
      <w:rPr>
        <w:rStyle w:val="PageNumber"/>
      </w:rPr>
      <w:fldChar w:fldCharType="end"/>
    </w:r>
  </w:p>
  <w:p w14:paraId="579FE418" w14:textId="06671262" w:rsidR="00D76112" w:rsidRDefault="00F009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FA22A" w14:textId="77777777" w:rsidR="00F0090E" w:rsidRDefault="00F0090E">
      <w:pPr>
        <w:spacing w:line="240" w:lineRule="auto"/>
      </w:pPr>
      <w:r>
        <w:rPr>
          <w:color w:val="000000"/>
        </w:rPr>
        <w:separator/>
      </w:r>
    </w:p>
  </w:footnote>
  <w:footnote w:type="continuationSeparator" w:id="0">
    <w:p w14:paraId="68BFE3CE" w14:textId="77777777" w:rsidR="00F0090E" w:rsidRDefault="00F0090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70F96"/>
    <w:multiLevelType w:val="hybridMultilevel"/>
    <w:tmpl w:val="511C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C620E"/>
    <w:multiLevelType w:val="hybridMultilevel"/>
    <w:tmpl w:val="178E217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26C27"/>
    <w:multiLevelType w:val="multilevel"/>
    <w:tmpl w:val="B3E04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62603BD"/>
    <w:multiLevelType w:val="multilevel"/>
    <w:tmpl w:val="2B1C5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attachedTemplate r:id="rId1"/>
  <w:defaultTabStop w:val="720"/>
  <w:autoHyphenation/>
  <w:characterSpacingControl w:val="doNotCompress"/>
  <w:hdrShapeDefaults>
    <o:shapedefaults v:ext="edit" spidmax="10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4C"/>
    <w:rsid w:val="00011DEC"/>
    <w:rsid w:val="00027D15"/>
    <w:rsid w:val="0005221B"/>
    <w:rsid w:val="00053E7E"/>
    <w:rsid w:val="000B7B83"/>
    <w:rsid w:val="000E688C"/>
    <w:rsid w:val="00105EBE"/>
    <w:rsid w:val="0011302C"/>
    <w:rsid w:val="00121BDA"/>
    <w:rsid w:val="00130BE9"/>
    <w:rsid w:val="00135309"/>
    <w:rsid w:val="00143BC6"/>
    <w:rsid w:val="001661D2"/>
    <w:rsid w:val="00194492"/>
    <w:rsid w:val="001978BA"/>
    <w:rsid w:val="001D1933"/>
    <w:rsid w:val="001D5F77"/>
    <w:rsid w:val="001F3EF0"/>
    <w:rsid w:val="0020217B"/>
    <w:rsid w:val="00215C4C"/>
    <w:rsid w:val="002166BB"/>
    <w:rsid w:val="002251CB"/>
    <w:rsid w:val="00236B57"/>
    <w:rsid w:val="00256952"/>
    <w:rsid w:val="00257C23"/>
    <w:rsid w:val="0026216E"/>
    <w:rsid w:val="00285D52"/>
    <w:rsid w:val="0029060B"/>
    <w:rsid w:val="002E1714"/>
    <w:rsid w:val="00344460"/>
    <w:rsid w:val="003642CB"/>
    <w:rsid w:val="00387235"/>
    <w:rsid w:val="00391C0B"/>
    <w:rsid w:val="003A394F"/>
    <w:rsid w:val="003A681F"/>
    <w:rsid w:val="00414E26"/>
    <w:rsid w:val="00457AA3"/>
    <w:rsid w:val="00461E6B"/>
    <w:rsid w:val="004A4C16"/>
    <w:rsid w:val="00501E1F"/>
    <w:rsid w:val="00523C52"/>
    <w:rsid w:val="00594260"/>
    <w:rsid w:val="005A2751"/>
    <w:rsid w:val="005C3960"/>
    <w:rsid w:val="005E147B"/>
    <w:rsid w:val="005E395E"/>
    <w:rsid w:val="00611994"/>
    <w:rsid w:val="006255E6"/>
    <w:rsid w:val="00635C62"/>
    <w:rsid w:val="00645F3F"/>
    <w:rsid w:val="0066748F"/>
    <w:rsid w:val="00670F63"/>
    <w:rsid w:val="00677DDA"/>
    <w:rsid w:val="00685A55"/>
    <w:rsid w:val="00694178"/>
    <w:rsid w:val="006A2656"/>
    <w:rsid w:val="006A5500"/>
    <w:rsid w:val="006B2C75"/>
    <w:rsid w:val="006C14CD"/>
    <w:rsid w:val="00702F2D"/>
    <w:rsid w:val="007167B0"/>
    <w:rsid w:val="0073064D"/>
    <w:rsid w:val="007C2E1D"/>
    <w:rsid w:val="007D3632"/>
    <w:rsid w:val="007D39FC"/>
    <w:rsid w:val="007E6436"/>
    <w:rsid w:val="0080315C"/>
    <w:rsid w:val="00816D63"/>
    <w:rsid w:val="008254A9"/>
    <w:rsid w:val="008C3C68"/>
    <w:rsid w:val="009346A6"/>
    <w:rsid w:val="00934FB1"/>
    <w:rsid w:val="009367AB"/>
    <w:rsid w:val="0096419F"/>
    <w:rsid w:val="00972171"/>
    <w:rsid w:val="00995F70"/>
    <w:rsid w:val="009E16EB"/>
    <w:rsid w:val="009F56F7"/>
    <w:rsid w:val="00A47974"/>
    <w:rsid w:val="00A5105F"/>
    <w:rsid w:val="00A67D4D"/>
    <w:rsid w:val="00A91FF2"/>
    <w:rsid w:val="00AA7CDB"/>
    <w:rsid w:val="00AC18FE"/>
    <w:rsid w:val="00B1020B"/>
    <w:rsid w:val="00B34301"/>
    <w:rsid w:val="00B77DD7"/>
    <w:rsid w:val="00B859CF"/>
    <w:rsid w:val="00BB7B93"/>
    <w:rsid w:val="00BC13F9"/>
    <w:rsid w:val="00BE7479"/>
    <w:rsid w:val="00C15C74"/>
    <w:rsid w:val="00C55329"/>
    <w:rsid w:val="00C900E0"/>
    <w:rsid w:val="00CA1794"/>
    <w:rsid w:val="00CC693F"/>
    <w:rsid w:val="00D20744"/>
    <w:rsid w:val="00D23380"/>
    <w:rsid w:val="00D30146"/>
    <w:rsid w:val="00D46E23"/>
    <w:rsid w:val="00DB217C"/>
    <w:rsid w:val="00DC03E9"/>
    <w:rsid w:val="00DC404C"/>
    <w:rsid w:val="00DC66FF"/>
    <w:rsid w:val="00DD443B"/>
    <w:rsid w:val="00DF570B"/>
    <w:rsid w:val="00E23BED"/>
    <w:rsid w:val="00E3345C"/>
    <w:rsid w:val="00E47150"/>
    <w:rsid w:val="00E800B0"/>
    <w:rsid w:val="00E860D1"/>
    <w:rsid w:val="00E97FD2"/>
    <w:rsid w:val="00F0090E"/>
    <w:rsid w:val="00F61E31"/>
    <w:rsid w:val="00F76650"/>
    <w:rsid w:val="00F87D21"/>
    <w:rsid w:val="00FE51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79B239"/>
  <w15:docId w15:val="{05109720-989B-461E-B31E-A2934C68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4"/>
        <w:szCs w:val="24"/>
        <w:lang w:val="en-US" w:eastAsia="en-US"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line="480" w:lineRule="auto"/>
    </w:pPr>
    <w:rPr>
      <w:rFonts w:ascii="Times New Roman" w:eastAsia="Times New Roman" w:hAnsi="Times New Roman" w:cs="Times New Roman"/>
      <w:lang w:val="en-GB" w:eastAsia="en-GB"/>
    </w:rPr>
  </w:style>
  <w:style w:type="paragraph" w:styleId="Heading1">
    <w:name w:val="heading 1"/>
    <w:basedOn w:val="Normal"/>
    <w:next w:val="Paragraph"/>
    <w:pPr>
      <w:keepNext/>
      <w:spacing w:before="360" w:after="60" w:line="360" w:lineRule="auto"/>
      <w:ind w:right="567"/>
      <w:outlineLvl w:val="0"/>
    </w:pPr>
    <w:rPr>
      <w:rFonts w:cs="Arial"/>
      <w:b/>
      <w:bCs/>
      <w:kern w:val="3"/>
      <w:szCs w:val="32"/>
    </w:rPr>
  </w:style>
  <w:style w:type="paragraph" w:styleId="Heading2">
    <w:name w:val="heading 2"/>
    <w:basedOn w:val="Normal"/>
    <w:next w:val="Paragraph"/>
    <w:pPr>
      <w:keepNext/>
      <w:spacing w:before="360" w:after="60" w:line="360" w:lineRule="auto"/>
      <w:ind w:right="567"/>
      <w:outlineLvl w:val="1"/>
    </w:pPr>
    <w:rPr>
      <w:rFonts w:cs="Arial"/>
      <w:b/>
      <w:bCs/>
      <w:i/>
      <w:iCs/>
      <w:szCs w:val="28"/>
    </w:rPr>
  </w:style>
  <w:style w:type="paragraph" w:styleId="Heading3">
    <w:name w:val="heading 3"/>
    <w:basedOn w:val="Normal"/>
    <w:next w:val="Paragraph"/>
    <w:pPr>
      <w:keepNext/>
      <w:spacing w:before="360" w:after="60" w:line="360" w:lineRule="auto"/>
      <w:ind w:right="567"/>
      <w:outlineLvl w:val="2"/>
    </w:pPr>
    <w:rPr>
      <w:rFonts w:cs="Arial"/>
      <w:bCs/>
      <w:i/>
      <w:szCs w:val="26"/>
    </w:rPr>
  </w:style>
  <w:style w:type="paragraph" w:styleId="Heading4">
    <w:name w:val="heading 4"/>
    <w:basedOn w:val="Paragraph"/>
    <w:next w:val="Newparagraph"/>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mposiumnotes">
    <w:name w:val="Symposium notes"/>
    <w:basedOn w:val="Normal"/>
    <w:rPr>
      <w:b/>
      <w:bCs/>
      <w:sz w:val="28"/>
      <w:szCs w:val="28"/>
      <w:u w:val="single"/>
    </w:rPr>
  </w:style>
  <w:style w:type="paragraph" w:styleId="ListParagraph">
    <w:name w:val="List Paragraph"/>
    <w:basedOn w:val="Normal"/>
    <w:pPr>
      <w:ind w:left="720"/>
    </w:pPr>
  </w:style>
  <w:style w:type="paragraph" w:styleId="Footer">
    <w:name w:val="footer"/>
    <w:basedOn w:val="Normal"/>
    <w:pPr>
      <w:tabs>
        <w:tab w:val="center" w:pos="4320"/>
        <w:tab w:val="right" w:pos="8640"/>
      </w:tabs>
      <w:spacing w:line="240" w:lineRule="auto"/>
    </w:pPr>
  </w:style>
  <w:style w:type="character" w:customStyle="1" w:styleId="FooterChar">
    <w:name w:val="Footer Char"/>
    <w:basedOn w:val="DefaultParagraphFont"/>
    <w:rPr>
      <w:rFonts w:ascii="Times New Roman" w:eastAsia="Times New Roman" w:hAnsi="Times New Roman" w:cs="Times New Roman"/>
      <w:lang w:val="en-GB" w:eastAsia="en-GB"/>
    </w:rPr>
  </w:style>
  <w:style w:type="character" w:styleId="PageNumber">
    <w:name w:val="page number"/>
    <w:basedOn w:val="DefaultParagraphFont"/>
  </w:style>
  <w:style w:type="character" w:customStyle="1" w:styleId="Heading1Char">
    <w:name w:val="Heading 1 Char"/>
    <w:basedOn w:val="DefaultParagraphFont"/>
    <w:rPr>
      <w:rFonts w:ascii="Times New Roman" w:eastAsia="Times New Roman" w:hAnsi="Times New Roman" w:cs="Arial"/>
      <w:b/>
      <w:bCs/>
      <w:kern w:val="3"/>
      <w:szCs w:val="32"/>
      <w:lang w:val="en-GB" w:eastAsia="en-GB"/>
    </w:rPr>
  </w:style>
  <w:style w:type="character" w:customStyle="1" w:styleId="Heading2Char">
    <w:name w:val="Heading 2 Char"/>
    <w:basedOn w:val="DefaultParagraphFont"/>
    <w:rPr>
      <w:rFonts w:ascii="Times New Roman" w:eastAsia="Times New Roman" w:hAnsi="Times New Roman" w:cs="Arial"/>
      <w:b/>
      <w:bCs/>
      <w:i/>
      <w:iCs/>
      <w:szCs w:val="28"/>
      <w:lang w:val="en-GB" w:eastAsia="en-GB"/>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sz w:val="20"/>
      <w:szCs w:val="20"/>
      <w:lang w:val="en-GB"/>
    </w:rPr>
  </w:style>
  <w:style w:type="paragraph" w:styleId="FootnoteText">
    <w:name w:val="footnote text"/>
    <w:basedOn w:val="Normal"/>
    <w:autoRedefine/>
    <w:pPr>
      <w:ind w:left="284" w:hanging="284"/>
    </w:pPr>
    <w:rPr>
      <w:sz w:val="22"/>
      <w:szCs w:val="20"/>
    </w:rPr>
  </w:style>
  <w:style w:type="character" w:customStyle="1" w:styleId="FootnoteTextChar">
    <w:name w:val="Footnote Text Char"/>
    <w:basedOn w:val="DefaultParagraphFont"/>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Pr>
      <w:position w:val="0"/>
      <w:vertAlign w:val="superscript"/>
    </w:rPr>
  </w:style>
  <w:style w:type="paragraph" w:styleId="EndnoteText">
    <w:name w:val="endnote text"/>
    <w:basedOn w:val="Normal"/>
    <w:autoRedefine/>
    <w:rsid w:val="00F61E31"/>
    <w:pPr>
      <w:spacing w:after="120" w:line="276" w:lineRule="auto"/>
    </w:pPr>
    <w:rPr>
      <w:sz w:val="22"/>
      <w:szCs w:val="20"/>
    </w:rPr>
  </w:style>
  <w:style w:type="character" w:customStyle="1" w:styleId="EndnoteTextChar">
    <w:name w:val="Endnote Text Char"/>
    <w:basedOn w:val="DefaultParagraphFont"/>
    <w:rPr>
      <w:rFonts w:ascii="Times New Roman" w:eastAsia="Times New Roman" w:hAnsi="Times New Roman" w:cs="Times New Roman"/>
      <w:sz w:val="22"/>
      <w:szCs w:val="20"/>
      <w:lang w:val="en-GB" w:eastAsia="en-GB"/>
    </w:rPr>
  </w:style>
  <w:style w:type="character" w:styleId="EndnoteReference">
    <w:name w:val="endnote reference"/>
    <w:basedOn w:val="DefaultParagraphFont"/>
    <w:rPr>
      <w:position w:val="0"/>
      <w:vertAlign w:val="superscript"/>
    </w:rPr>
  </w:style>
  <w:style w:type="paragraph" w:styleId="Header">
    <w:name w:val="header"/>
    <w:basedOn w:val="Normal"/>
    <w:pPr>
      <w:tabs>
        <w:tab w:val="center" w:pos="4320"/>
        <w:tab w:val="right" w:pos="8640"/>
      </w:tabs>
      <w:spacing w:line="240" w:lineRule="auto"/>
    </w:pPr>
  </w:style>
  <w:style w:type="character" w:customStyle="1" w:styleId="HeaderChar">
    <w:name w:val="Header Char"/>
    <w:basedOn w:val="DefaultParagraphFont"/>
    <w:rPr>
      <w:rFonts w:ascii="Times New Roman" w:eastAsia="Times New Roman" w:hAnsi="Times New Roman" w:cs="Times New Roman"/>
      <w:lang w:val="en-GB" w:eastAsia="en-GB"/>
    </w:rPr>
  </w:style>
  <w:style w:type="paragraph" w:styleId="NormalWeb">
    <w:name w:val="Normal (Web)"/>
    <w:basedOn w:val="Normal"/>
    <w:pPr>
      <w:spacing w:before="100" w:after="100" w:line="240" w:lineRule="auto"/>
    </w:pPr>
    <w:rPr>
      <w:lang w:val="en-US" w:bidi="he-IL"/>
    </w:rPr>
  </w:style>
  <w:style w:type="character" w:customStyle="1" w:styleId="Heading3Char">
    <w:name w:val="Heading 3 Char"/>
    <w:basedOn w:val="DefaultParagraphFont"/>
    <w:rPr>
      <w:rFonts w:ascii="Times New Roman" w:eastAsia="Times New Roman" w:hAnsi="Times New Roman" w:cs="Arial"/>
      <w:bCs/>
      <w:i/>
      <w:szCs w:val="26"/>
      <w:lang w:val="en-GB" w:eastAsia="en-GB"/>
    </w:rPr>
  </w:style>
  <w:style w:type="character" w:customStyle="1" w:styleId="Heading4Char">
    <w:name w:val="Heading 4 Char"/>
    <w:basedOn w:val="DefaultParagraphFont"/>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pPr>
      <w:spacing w:after="120" w:line="360" w:lineRule="auto"/>
    </w:pPr>
    <w:rPr>
      <w:b/>
      <w:sz w:val="28"/>
    </w:rPr>
  </w:style>
  <w:style w:type="paragraph" w:customStyle="1" w:styleId="Authornames">
    <w:name w:val="Author names"/>
    <w:basedOn w:val="Normal"/>
    <w:next w:val="Normal"/>
    <w:pPr>
      <w:spacing w:before="240" w:line="360" w:lineRule="auto"/>
    </w:pPr>
    <w:rPr>
      <w:sz w:val="28"/>
    </w:rPr>
  </w:style>
  <w:style w:type="paragraph" w:customStyle="1" w:styleId="Affiliation">
    <w:name w:val="Affiliation"/>
    <w:basedOn w:val="Normal"/>
    <w:pPr>
      <w:spacing w:before="240" w:line="360" w:lineRule="auto"/>
    </w:pPr>
    <w:rPr>
      <w:i/>
    </w:rPr>
  </w:style>
  <w:style w:type="paragraph" w:customStyle="1" w:styleId="Receiveddates">
    <w:name w:val="Received dates"/>
    <w:basedOn w:val="Affiliation"/>
    <w:next w:val="Abstract"/>
  </w:style>
  <w:style w:type="paragraph" w:customStyle="1" w:styleId="Abstract">
    <w:name w:val="Abstract"/>
    <w:basedOn w:val="Normal"/>
    <w:next w:val="Keywords"/>
    <w:pPr>
      <w:spacing w:before="360" w:after="300" w:line="360" w:lineRule="auto"/>
      <w:ind w:left="720" w:right="567"/>
    </w:pPr>
    <w:rPr>
      <w:sz w:val="22"/>
    </w:rPr>
  </w:style>
  <w:style w:type="paragraph" w:customStyle="1" w:styleId="Keywords">
    <w:name w:val="Keywords"/>
    <w:basedOn w:val="Normal"/>
    <w:next w:val="Paragraph"/>
    <w:pPr>
      <w:spacing w:before="240" w:after="240" w:line="360" w:lineRule="auto"/>
      <w:ind w:left="720" w:right="567"/>
    </w:pPr>
    <w:rPr>
      <w:sz w:val="22"/>
    </w:rPr>
  </w:style>
  <w:style w:type="paragraph" w:customStyle="1" w:styleId="Correspondencedetails">
    <w:name w:val="Correspondence details"/>
    <w:basedOn w:val="Normal"/>
    <w:pPr>
      <w:spacing w:before="240" w:line="360" w:lineRule="auto"/>
    </w:pPr>
  </w:style>
  <w:style w:type="paragraph" w:customStyle="1" w:styleId="Displayedquotation">
    <w:name w:val="Displayed quotation"/>
    <w:basedOn w:val="Normal"/>
    <w:pPr>
      <w:tabs>
        <w:tab w:val="left" w:pos="1077"/>
        <w:tab w:val="left" w:pos="1440"/>
        <w:tab w:val="left" w:pos="1797"/>
        <w:tab w:val="left" w:pos="2155"/>
        <w:tab w:val="left" w:pos="2512"/>
      </w:tabs>
      <w:spacing w:before="240" w:after="360" w:line="360" w:lineRule="auto"/>
      <w:ind w:left="709" w:right="425"/>
    </w:pPr>
    <w:rPr>
      <w:sz w:val="22"/>
    </w:rPr>
  </w:style>
  <w:style w:type="paragraph" w:customStyle="1" w:styleId="Numberedlist">
    <w:name w:val="Numbered list"/>
    <w:basedOn w:val="Paragraph"/>
    <w:next w:val="Paragraph"/>
    <w:pPr>
      <w:widowControl/>
      <w:spacing w:after="240"/>
      <w:ind w:left="720" w:hanging="153"/>
    </w:pPr>
  </w:style>
  <w:style w:type="paragraph" w:customStyle="1" w:styleId="Displayedequation">
    <w:name w:val="Displayed equation"/>
    <w:basedOn w:val="Normal"/>
    <w:next w:val="Paragraph"/>
    <w:pPr>
      <w:tabs>
        <w:tab w:val="center" w:pos="4253"/>
        <w:tab w:val="right" w:pos="8222"/>
      </w:tabs>
      <w:spacing w:before="240" w:after="240"/>
      <w:jc w:val="center"/>
    </w:pPr>
  </w:style>
  <w:style w:type="paragraph" w:customStyle="1" w:styleId="Acknowledgements">
    <w:name w:val="Acknowledgements"/>
    <w:basedOn w:val="Normal"/>
    <w:next w:val="Normal"/>
    <w:pPr>
      <w:spacing w:before="120" w:line="360" w:lineRule="auto"/>
    </w:pPr>
    <w:rPr>
      <w:sz w:val="22"/>
    </w:rPr>
  </w:style>
  <w:style w:type="paragraph" w:customStyle="1" w:styleId="Tabletitle">
    <w:name w:val="Table title"/>
    <w:basedOn w:val="Normal"/>
    <w:next w:val="Normal"/>
    <w:pPr>
      <w:spacing w:before="240" w:line="360" w:lineRule="auto"/>
    </w:pPr>
  </w:style>
  <w:style w:type="paragraph" w:customStyle="1" w:styleId="Figurecaption">
    <w:name w:val="Figure caption"/>
    <w:basedOn w:val="Normal"/>
    <w:next w:val="Normal"/>
    <w:pPr>
      <w:spacing w:before="240" w:line="360" w:lineRule="auto"/>
    </w:pPr>
  </w:style>
  <w:style w:type="paragraph" w:customStyle="1" w:styleId="Footnotes">
    <w:name w:val="Footnotes"/>
    <w:basedOn w:val="Normal"/>
    <w:pPr>
      <w:spacing w:before="120" w:line="360" w:lineRule="auto"/>
      <w:ind w:left="482" w:hanging="482"/>
    </w:pPr>
    <w:rPr>
      <w:sz w:val="22"/>
    </w:rPr>
  </w:style>
  <w:style w:type="paragraph" w:customStyle="1" w:styleId="Notesoncontributors">
    <w:name w:val="Notes on contributors"/>
    <w:basedOn w:val="Normal"/>
    <w:pPr>
      <w:spacing w:before="240" w:line="360" w:lineRule="auto"/>
    </w:pPr>
    <w:rPr>
      <w:sz w:val="22"/>
    </w:rPr>
  </w:style>
  <w:style w:type="paragraph" w:customStyle="1" w:styleId="Normalparagraphstyle">
    <w:name w:val="Normal paragraph style"/>
    <w:basedOn w:val="Normal"/>
    <w:next w:val="Normal"/>
  </w:style>
  <w:style w:type="paragraph" w:customStyle="1" w:styleId="Paragraph">
    <w:name w:val="Paragraph"/>
    <w:basedOn w:val="Normal"/>
    <w:next w:val="Newparagraph"/>
    <w:pPr>
      <w:widowControl w:val="0"/>
      <w:spacing w:before="240"/>
    </w:pPr>
  </w:style>
  <w:style w:type="paragraph" w:customStyle="1" w:styleId="Newparagraph">
    <w:name w:val="New paragraph"/>
    <w:basedOn w:val="Normal"/>
    <w:pPr>
      <w:ind w:firstLine="720"/>
    </w:pPr>
  </w:style>
  <w:style w:type="paragraph" w:styleId="NormalIndent">
    <w:name w:val="Normal Indent"/>
    <w:basedOn w:val="Normal"/>
    <w:pPr>
      <w:ind w:left="720"/>
    </w:pPr>
  </w:style>
  <w:style w:type="paragraph" w:customStyle="1" w:styleId="References">
    <w:name w:val="References"/>
    <w:basedOn w:val="Normal"/>
    <w:pPr>
      <w:spacing w:before="120" w:line="360" w:lineRule="auto"/>
      <w:ind w:left="720" w:hanging="720"/>
    </w:pPr>
  </w:style>
  <w:style w:type="paragraph" w:customStyle="1" w:styleId="Subjectcodes">
    <w:name w:val="Subject codes"/>
    <w:basedOn w:val="Keywords"/>
    <w:next w:val="Paragraph"/>
  </w:style>
  <w:style w:type="paragraph" w:customStyle="1" w:styleId="Bulletedlist">
    <w:name w:val="Bulleted list"/>
    <w:basedOn w:val="Paragraph"/>
    <w:next w:val="Paragraph"/>
    <w:pPr>
      <w:widowControl/>
      <w:spacing w:after="240"/>
      <w:ind w:left="720" w:hanging="360"/>
    </w:pPr>
  </w:style>
  <w:style w:type="paragraph" w:customStyle="1" w:styleId="Heading4Paragraph">
    <w:name w:val="Heading 4 + Paragraph"/>
    <w:basedOn w:val="Paragraph"/>
    <w:next w:val="Newparagraph"/>
    <w:pPr>
      <w:widowControl/>
      <w:spacing w:before="360"/>
    </w:pPr>
  </w:style>
  <w:style w:type="character" w:styleId="Hyperlink">
    <w:name w:val="Hyperlink"/>
    <w:basedOn w:val="DefaultParagraphFont"/>
    <w:uiPriority w:val="99"/>
    <w:unhideWhenUsed/>
    <w:rsid w:val="002E1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dwesterman/Library/Group%20Containers/UBF8T346G9.Office/User%20Content.localized/Templates.localized/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3A946B-99F3-8F4B-A388-EE4B53E0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0</TotalTime>
  <Pages>24</Pages>
  <Words>5690</Words>
  <Characters>32439</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Westerman</dc:creator>
  <dc:description/>
  <cp:lastModifiedBy>Ian Westerman</cp:lastModifiedBy>
  <cp:revision>2</cp:revision>
  <cp:lastPrinted>2017-01-27T09:19:00Z</cp:lastPrinted>
  <dcterms:created xsi:type="dcterms:W3CDTF">2017-01-27T13:47:00Z</dcterms:created>
  <dcterms:modified xsi:type="dcterms:W3CDTF">2017-01-27T13:47:00Z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056aa1e3-6ecb-3bc4-9846-589358df58c4</vt:lpwstr>
  </property>
  <property fmtid="{D5CDD505-2E9C-101B-9397-08002B2CF9AE}" pid="4" name="Mendeley Citation Style_1">
    <vt:lpwstr>http://www.zotero.org/styles/chicago-fullnote-bibliography</vt:lpwstr>
  </property>
</Properties>
</file>