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614" w:rsidRDefault="001F0614" w:rsidP="001F0614">
      <w:pPr>
        <w:jc w:val="right"/>
        <w:rPr>
          <w:rFonts w:cs="David" w:hint="cs"/>
          <w:sz w:val="24"/>
          <w:szCs w:val="24"/>
          <w:rtl/>
        </w:rPr>
      </w:pPr>
      <w:r>
        <w:rPr>
          <w:rFonts w:cs="David" w:hint="cs"/>
          <w:sz w:val="24"/>
          <w:szCs w:val="24"/>
          <w:rtl/>
        </w:rPr>
        <w:t>המכללה לביטחון לאומי</w:t>
      </w:r>
    </w:p>
    <w:p w:rsidR="001F0614" w:rsidRDefault="001F0614" w:rsidP="001F0614">
      <w:pPr>
        <w:jc w:val="right"/>
        <w:rPr>
          <w:rFonts w:cs="David" w:hint="cs"/>
          <w:sz w:val="24"/>
          <w:szCs w:val="24"/>
          <w:rtl/>
        </w:rPr>
      </w:pPr>
      <w:r>
        <w:rPr>
          <w:rFonts w:cs="David" w:hint="cs"/>
          <w:sz w:val="24"/>
          <w:szCs w:val="24"/>
          <w:rtl/>
        </w:rPr>
        <w:t>מחזור מ"ז, 2019-2020</w:t>
      </w:r>
    </w:p>
    <w:p w:rsidR="001F0614" w:rsidRDefault="001F0614" w:rsidP="001F0614">
      <w:pPr>
        <w:jc w:val="right"/>
        <w:rPr>
          <w:rFonts w:cs="David" w:hint="cs"/>
          <w:sz w:val="24"/>
          <w:szCs w:val="24"/>
          <w:rtl/>
        </w:rPr>
      </w:pPr>
    </w:p>
    <w:p w:rsidR="001F0614" w:rsidRDefault="001F0614" w:rsidP="001F0614">
      <w:pPr>
        <w:jc w:val="center"/>
        <w:rPr>
          <w:rFonts w:cs="David" w:hint="cs"/>
          <w:b/>
          <w:bCs/>
          <w:sz w:val="40"/>
          <w:szCs w:val="40"/>
          <w:rtl/>
        </w:rPr>
      </w:pPr>
    </w:p>
    <w:p w:rsidR="001F0614" w:rsidRDefault="001F0614" w:rsidP="001F0614">
      <w:pPr>
        <w:jc w:val="center"/>
        <w:rPr>
          <w:rFonts w:cs="David" w:hint="cs"/>
          <w:b/>
          <w:bCs/>
          <w:sz w:val="40"/>
          <w:szCs w:val="40"/>
          <w:rtl/>
        </w:rPr>
      </w:pPr>
    </w:p>
    <w:p w:rsidR="001F0614" w:rsidRPr="001F0614" w:rsidRDefault="001F0614" w:rsidP="001F0614">
      <w:pPr>
        <w:jc w:val="center"/>
        <w:rPr>
          <w:rFonts w:cs="David" w:hint="cs"/>
          <w:b/>
          <w:bCs/>
          <w:sz w:val="40"/>
          <w:szCs w:val="40"/>
          <w:rtl/>
        </w:rPr>
      </w:pPr>
      <w:r w:rsidRPr="001F0614">
        <w:rPr>
          <w:rFonts w:cs="David" w:hint="cs"/>
          <w:b/>
          <w:bCs/>
          <w:sz w:val="40"/>
          <w:szCs w:val="40"/>
          <w:rtl/>
        </w:rPr>
        <w:t xml:space="preserve">שם הקורס: </w:t>
      </w:r>
    </w:p>
    <w:p w:rsidR="001F0614" w:rsidRDefault="001F0614" w:rsidP="007C70C5">
      <w:pPr>
        <w:jc w:val="center"/>
        <w:rPr>
          <w:rFonts w:cs="David" w:hint="cs"/>
          <w:b/>
          <w:bCs/>
          <w:sz w:val="40"/>
          <w:szCs w:val="40"/>
          <w:rtl/>
        </w:rPr>
      </w:pPr>
      <w:r w:rsidRPr="001F0614">
        <w:rPr>
          <w:rFonts w:cs="David" w:hint="cs"/>
          <w:b/>
          <w:bCs/>
          <w:sz w:val="40"/>
          <w:szCs w:val="40"/>
          <w:rtl/>
        </w:rPr>
        <w:t>גישות ואסכולות במדע המדינה</w:t>
      </w:r>
    </w:p>
    <w:p w:rsidR="001F0614" w:rsidRDefault="001F0614" w:rsidP="001F0614">
      <w:pPr>
        <w:jc w:val="center"/>
        <w:rPr>
          <w:rFonts w:cs="David" w:hint="cs"/>
          <w:b/>
          <w:bCs/>
          <w:sz w:val="40"/>
          <w:szCs w:val="40"/>
          <w:rtl/>
        </w:rPr>
      </w:pPr>
    </w:p>
    <w:p w:rsidR="001F0614" w:rsidRDefault="001F0614" w:rsidP="001F0614">
      <w:pPr>
        <w:jc w:val="center"/>
        <w:rPr>
          <w:rFonts w:cs="David" w:hint="cs"/>
          <w:b/>
          <w:bCs/>
          <w:sz w:val="40"/>
          <w:szCs w:val="40"/>
          <w:rtl/>
        </w:rPr>
      </w:pPr>
    </w:p>
    <w:p w:rsidR="001F0614" w:rsidRDefault="001F0614" w:rsidP="001F0614">
      <w:pPr>
        <w:jc w:val="center"/>
        <w:rPr>
          <w:rFonts w:cs="David" w:hint="cs"/>
          <w:b/>
          <w:bCs/>
          <w:sz w:val="40"/>
          <w:szCs w:val="40"/>
          <w:rtl/>
        </w:rPr>
      </w:pPr>
    </w:p>
    <w:p w:rsidR="002304A4" w:rsidRDefault="007C70C5" w:rsidP="002304A4">
      <w:pPr>
        <w:jc w:val="center"/>
        <w:rPr>
          <w:rFonts w:cs="David"/>
          <w:b/>
          <w:bCs/>
          <w:sz w:val="40"/>
          <w:szCs w:val="40"/>
        </w:rPr>
      </w:pPr>
      <w:r>
        <w:rPr>
          <w:rFonts w:cs="David" w:hint="cs"/>
          <w:b/>
          <w:bCs/>
          <w:sz w:val="40"/>
          <w:szCs w:val="40"/>
          <w:rtl/>
        </w:rPr>
        <w:t>המרד נגד ה</w:t>
      </w:r>
      <w:r w:rsidR="001F0614">
        <w:rPr>
          <w:rFonts w:cs="David" w:hint="cs"/>
          <w:b/>
          <w:bCs/>
          <w:sz w:val="40"/>
          <w:szCs w:val="40"/>
          <w:rtl/>
        </w:rPr>
        <w:t xml:space="preserve">גלובליזציה </w:t>
      </w:r>
    </w:p>
    <w:p w:rsidR="001F0614" w:rsidRDefault="001F0614" w:rsidP="001F0614">
      <w:pPr>
        <w:jc w:val="center"/>
        <w:rPr>
          <w:rFonts w:cs="David" w:hint="cs"/>
          <w:b/>
          <w:bCs/>
          <w:sz w:val="40"/>
          <w:szCs w:val="40"/>
          <w:rtl/>
        </w:rPr>
      </w:pPr>
    </w:p>
    <w:p w:rsidR="001F0614" w:rsidRPr="001F0614" w:rsidRDefault="001F0614" w:rsidP="001F0614">
      <w:pPr>
        <w:jc w:val="center"/>
        <w:rPr>
          <w:rFonts w:cs="David" w:hint="cs"/>
          <w:b/>
          <w:bCs/>
          <w:sz w:val="40"/>
          <w:szCs w:val="40"/>
          <w:rtl/>
        </w:rPr>
      </w:pPr>
    </w:p>
    <w:p w:rsidR="001F0614" w:rsidRDefault="001F0614" w:rsidP="001F0614">
      <w:pPr>
        <w:rPr>
          <w:rFonts w:cs="David" w:hint="cs"/>
          <w:sz w:val="24"/>
          <w:szCs w:val="24"/>
          <w:rtl/>
        </w:rPr>
      </w:pPr>
    </w:p>
    <w:p w:rsidR="001F0614" w:rsidRDefault="001F0614" w:rsidP="001F0614">
      <w:pPr>
        <w:rPr>
          <w:rFonts w:cs="David" w:hint="cs"/>
          <w:sz w:val="24"/>
          <w:szCs w:val="24"/>
          <w:rtl/>
        </w:rPr>
      </w:pPr>
    </w:p>
    <w:p w:rsidR="001F0614" w:rsidRDefault="001F0614" w:rsidP="001F0614">
      <w:pPr>
        <w:rPr>
          <w:rFonts w:cs="David" w:hint="cs"/>
          <w:sz w:val="24"/>
          <w:szCs w:val="24"/>
          <w:rtl/>
        </w:rPr>
      </w:pPr>
    </w:p>
    <w:p w:rsidR="001F0614" w:rsidRDefault="001F0614" w:rsidP="001F0614">
      <w:pPr>
        <w:rPr>
          <w:rFonts w:cs="David" w:hint="cs"/>
          <w:sz w:val="24"/>
          <w:szCs w:val="24"/>
          <w:rtl/>
        </w:rPr>
      </w:pPr>
    </w:p>
    <w:p w:rsidR="001F0614" w:rsidRDefault="001F0614" w:rsidP="001F0614">
      <w:pPr>
        <w:rPr>
          <w:rFonts w:cs="David" w:hint="cs"/>
          <w:sz w:val="24"/>
          <w:szCs w:val="24"/>
          <w:rtl/>
        </w:rPr>
      </w:pPr>
    </w:p>
    <w:p w:rsidR="001F0614" w:rsidRDefault="001F0614" w:rsidP="001F0614">
      <w:pPr>
        <w:rPr>
          <w:rFonts w:cs="David" w:hint="cs"/>
          <w:sz w:val="24"/>
          <w:szCs w:val="24"/>
          <w:rtl/>
        </w:rPr>
      </w:pPr>
    </w:p>
    <w:p w:rsidR="001F0614" w:rsidRDefault="001F0614" w:rsidP="001F0614">
      <w:pPr>
        <w:rPr>
          <w:rFonts w:cs="David" w:hint="cs"/>
          <w:sz w:val="24"/>
          <w:szCs w:val="24"/>
          <w:rtl/>
        </w:rPr>
      </w:pPr>
    </w:p>
    <w:p w:rsidR="001F0614" w:rsidRDefault="001F0614" w:rsidP="001F0614">
      <w:pPr>
        <w:rPr>
          <w:rFonts w:cs="David" w:hint="cs"/>
          <w:sz w:val="24"/>
          <w:szCs w:val="24"/>
          <w:rtl/>
        </w:rPr>
      </w:pPr>
      <w:r>
        <w:rPr>
          <w:rFonts w:cs="David" w:hint="cs"/>
          <w:sz w:val="24"/>
          <w:szCs w:val="24"/>
          <w:rtl/>
        </w:rPr>
        <w:t xml:space="preserve">מגישה: מיכל </w:t>
      </w:r>
      <w:proofErr w:type="spellStart"/>
      <w:r>
        <w:rPr>
          <w:rFonts w:cs="David" w:hint="cs"/>
          <w:sz w:val="24"/>
          <w:szCs w:val="24"/>
          <w:rtl/>
        </w:rPr>
        <w:t>מסטיי</w:t>
      </w:r>
      <w:proofErr w:type="spellEnd"/>
    </w:p>
    <w:p w:rsidR="001F0614" w:rsidRDefault="001F0614" w:rsidP="001F0614">
      <w:pPr>
        <w:rPr>
          <w:rFonts w:cs="David" w:hint="cs"/>
          <w:sz w:val="24"/>
          <w:szCs w:val="24"/>
          <w:rtl/>
        </w:rPr>
      </w:pPr>
      <w:r>
        <w:rPr>
          <w:rFonts w:cs="David" w:hint="cs"/>
          <w:sz w:val="24"/>
          <w:szCs w:val="24"/>
          <w:rtl/>
        </w:rPr>
        <w:t>מרצה: ד"ר דורון נבות</w:t>
      </w:r>
    </w:p>
    <w:p w:rsidR="001F0614" w:rsidRDefault="001F0614" w:rsidP="001F0614">
      <w:pPr>
        <w:jc w:val="right"/>
        <w:rPr>
          <w:rFonts w:cs="David" w:hint="cs"/>
          <w:sz w:val="24"/>
          <w:szCs w:val="24"/>
          <w:rtl/>
        </w:rPr>
      </w:pPr>
    </w:p>
    <w:p w:rsidR="007C70C5" w:rsidRDefault="001F0614" w:rsidP="001F0614">
      <w:pPr>
        <w:jc w:val="right"/>
        <w:rPr>
          <w:rFonts w:cs="David"/>
          <w:sz w:val="24"/>
          <w:szCs w:val="24"/>
          <w:rtl/>
        </w:rPr>
      </w:pPr>
      <w:r>
        <w:rPr>
          <w:rFonts w:cs="David" w:hint="cs"/>
          <w:sz w:val="24"/>
          <w:szCs w:val="24"/>
          <w:rtl/>
        </w:rPr>
        <w:t>נובמבר 2019</w:t>
      </w:r>
    </w:p>
    <w:p w:rsidR="001F0614" w:rsidRDefault="001F0614" w:rsidP="001F0614">
      <w:pPr>
        <w:jc w:val="right"/>
        <w:rPr>
          <w:rFonts w:cs="David" w:hint="cs"/>
          <w:sz w:val="24"/>
          <w:szCs w:val="24"/>
          <w:rtl/>
        </w:rPr>
      </w:pPr>
    </w:p>
    <w:p w:rsidR="001F0614" w:rsidRDefault="004B3F7B" w:rsidP="004B3F7B">
      <w:pPr>
        <w:jc w:val="both"/>
        <w:rPr>
          <w:rFonts w:cs="David" w:hint="cs"/>
          <w:sz w:val="24"/>
          <w:szCs w:val="24"/>
          <w:rtl/>
        </w:rPr>
      </w:pPr>
      <w:r>
        <w:rPr>
          <w:rFonts w:cs="David" w:hint="cs"/>
          <w:color w:val="222222"/>
          <w:sz w:val="25"/>
          <w:szCs w:val="25"/>
          <w:shd w:val="clear" w:color="auto" w:fill="FFFFFF"/>
          <w:rtl/>
        </w:rPr>
        <w:lastRenderedPageBreak/>
        <w:t>"</w:t>
      </w:r>
      <w:r>
        <w:rPr>
          <w:rFonts w:cs="David" w:hint="cs"/>
          <w:color w:val="222222"/>
          <w:sz w:val="25"/>
          <w:szCs w:val="25"/>
          <w:shd w:val="clear" w:color="auto" w:fill="FFFFFF"/>
          <w:rtl/>
        </w:rPr>
        <w:t xml:space="preserve">וַיְהִי כָל הָאָרֶץ שָׂפָה אֶחָת וּדְבָרִים אֲחָדִים: וַיְהִי בְּנָסְעָם מִקֶּדֶם וַיִּמְצְאוּ בִקְעָה בְּאֶרֶץ שִׁנְעָר וַיֵּשְׁבוּ שָׁם: וַיֹּאמְרוּ אִישׁ אֶל רֵעֵהוּ הָבָה נִלְבְּנָה לְבֵנִים וְנִשְׂרְפָה לִשְׂרֵפָה וַתְּהִי לָהֶם הַלְּבֵנָה לְאָבֶן וְהַחֵמָר הָיָה לָהֶם לַחֹמֶר: וַיֹּאמְרוּ הָבָה נִבְנֶה לָּנוּ עִיר וּמִגְדָּל וְרֹאשׁוֹ בַשָּׁמַיִם וְנַעֲשֶׂה לָּנוּ שֵׁם פֶּן נָפוּץ עַל פְּנֵי כָל הָאָרֶץ: וַיֵּרֶד ה' </w:t>
      </w:r>
      <w:proofErr w:type="spellStart"/>
      <w:r>
        <w:rPr>
          <w:rFonts w:cs="David" w:hint="cs"/>
          <w:color w:val="222222"/>
          <w:sz w:val="25"/>
          <w:szCs w:val="25"/>
          <w:shd w:val="clear" w:color="auto" w:fill="FFFFFF"/>
          <w:rtl/>
        </w:rPr>
        <w:t>לִרְאֹת</w:t>
      </w:r>
      <w:proofErr w:type="spellEnd"/>
      <w:r>
        <w:rPr>
          <w:rFonts w:cs="David" w:hint="cs"/>
          <w:color w:val="222222"/>
          <w:sz w:val="25"/>
          <w:szCs w:val="25"/>
          <w:shd w:val="clear" w:color="auto" w:fill="FFFFFF"/>
          <w:rtl/>
        </w:rPr>
        <w:t xml:space="preserve"> אֶת הָעִיר וְאֶת הַמִּגְדָּל אֲשֶׁר בָּנוּ בְּנֵי הָאָדָם: וַיֹּאמֶר ה' הֵן עַם אֶחָד וְשָׂפָה אַחַת </w:t>
      </w:r>
      <w:proofErr w:type="spellStart"/>
      <w:r>
        <w:rPr>
          <w:rFonts w:cs="David" w:hint="cs"/>
          <w:color w:val="222222"/>
          <w:sz w:val="25"/>
          <w:szCs w:val="25"/>
          <w:shd w:val="clear" w:color="auto" w:fill="FFFFFF"/>
          <w:rtl/>
        </w:rPr>
        <w:t>לְכֻלָּם</w:t>
      </w:r>
      <w:proofErr w:type="spellEnd"/>
      <w:r>
        <w:rPr>
          <w:rFonts w:cs="David" w:hint="cs"/>
          <w:color w:val="222222"/>
          <w:sz w:val="25"/>
          <w:szCs w:val="25"/>
          <w:shd w:val="clear" w:color="auto" w:fill="FFFFFF"/>
          <w:rtl/>
        </w:rPr>
        <w:t xml:space="preserve"> וְזֶה הַחִלָּם לַעֲשׂוֹת וְעַתָּה לֹא יִבָּצֵר מֵהֶם כֹּל אֲשֶׁר יָזְמוּ לַעֲשׂוֹת: הָבָה נֵרְדָה וְנָבְלָה שָׁם שְׂפָתָם אֲשֶׁר לֹא יִשְׁמְעוּ אִישׁ שְׂפַת רֵעֵהוּ: </w:t>
      </w:r>
      <w:proofErr w:type="spellStart"/>
      <w:r>
        <w:rPr>
          <w:rFonts w:cs="David" w:hint="cs"/>
          <w:color w:val="222222"/>
          <w:sz w:val="25"/>
          <w:szCs w:val="25"/>
          <w:shd w:val="clear" w:color="auto" w:fill="FFFFFF"/>
          <w:rtl/>
        </w:rPr>
        <w:t>וַיָּפֶץ</w:t>
      </w:r>
      <w:proofErr w:type="spellEnd"/>
      <w:r>
        <w:rPr>
          <w:rFonts w:cs="David" w:hint="cs"/>
          <w:color w:val="222222"/>
          <w:sz w:val="25"/>
          <w:szCs w:val="25"/>
          <w:shd w:val="clear" w:color="auto" w:fill="FFFFFF"/>
          <w:rtl/>
        </w:rPr>
        <w:t xml:space="preserve"> ה' אֹתָם מִשָּׁם עַל פְּנֵי כָל הָאָרֶץ וַיַּחְדְּלוּ לִבְנֹת הָעִיר: עַל כֵּן קָרָא שְׁמָהּ בָּבֶל כִּי שָׁם בָּלַל ה' שְׂפַת כָּל הָאָרֶץ וּמִשָּׁם </w:t>
      </w:r>
      <w:proofErr w:type="spellStart"/>
      <w:r>
        <w:rPr>
          <w:rFonts w:cs="David" w:hint="cs"/>
          <w:color w:val="222222"/>
          <w:sz w:val="25"/>
          <w:szCs w:val="25"/>
          <w:shd w:val="clear" w:color="auto" w:fill="FFFFFF"/>
          <w:rtl/>
        </w:rPr>
        <w:t>הֱפִיצָם</w:t>
      </w:r>
      <w:proofErr w:type="spellEnd"/>
      <w:r>
        <w:rPr>
          <w:rFonts w:cs="David" w:hint="cs"/>
          <w:color w:val="222222"/>
          <w:sz w:val="25"/>
          <w:szCs w:val="25"/>
          <w:shd w:val="clear" w:color="auto" w:fill="FFFFFF"/>
          <w:rtl/>
        </w:rPr>
        <w:t xml:space="preserve"> ה' עַל פְּנֵי כָּל הָאָרֶץ</w:t>
      </w:r>
      <w:r>
        <w:rPr>
          <w:rFonts w:cs="David" w:hint="cs"/>
          <w:sz w:val="24"/>
          <w:szCs w:val="24"/>
          <w:rtl/>
        </w:rPr>
        <w:t>" (בראשית י"א, א'-ט').</w:t>
      </w:r>
    </w:p>
    <w:p w:rsidR="00C619FB" w:rsidRDefault="00C619FB" w:rsidP="00620E19">
      <w:pPr>
        <w:jc w:val="both"/>
        <w:rPr>
          <w:rFonts w:cs="David" w:hint="cs"/>
          <w:sz w:val="24"/>
          <w:szCs w:val="24"/>
          <w:rtl/>
        </w:rPr>
      </w:pPr>
      <w:r>
        <w:rPr>
          <w:rFonts w:cs="David" w:hint="cs"/>
          <w:sz w:val="24"/>
          <w:szCs w:val="24"/>
          <w:rtl/>
        </w:rPr>
        <w:t xml:space="preserve">סיפורו של מגדל בבל </w:t>
      </w:r>
      <w:r w:rsidR="00620E19">
        <w:rPr>
          <w:rFonts w:cs="David" w:hint="cs"/>
          <w:sz w:val="24"/>
          <w:szCs w:val="24"/>
          <w:rtl/>
        </w:rPr>
        <w:t>נע</w:t>
      </w:r>
      <w:r w:rsidRPr="00C619FB">
        <w:rPr>
          <w:rFonts w:cs="David" w:hint="cs"/>
          <w:sz w:val="24"/>
          <w:szCs w:val="24"/>
          <w:rtl/>
        </w:rPr>
        <w:t xml:space="preserve"> בין הדיסטופיה הנוראית של דור המבול, דור מנוכר ונטול מוסריות וחמלה אנושית</w:t>
      </w:r>
      <w:r w:rsidR="00620E19">
        <w:rPr>
          <w:rFonts w:cs="David" w:hint="cs"/>
          <w:sz w:val="24"/>
          <w:szCs w:val="24"/>
          <w:rtl/>
        </w:rPr>
        <w:t>,</w:t>
      </w:r>
      <w:r w:rsidRPr="00C619FB">
        <w:rPr>
          <w:rFonts w:cs="David" w:hint="cs"/>
          <w:sz w:val="24"/>
          <w:szCs w:val="24"/>
          <w:rtl/>
        </w:rPr>
        <w:t xml:space="preserve"> לבין אוטופיה אנושית לכאורה של התקדמות ולכידות חברתית</w:t>
      </w:r>
      <w:r w:rsidR="00620E19">
        <w:rPr>
          <w:rFonts w:cs="David" w:hint="cs"/>
          <w:sz w:val="24"/>
          <w:szCs w:val="24"/>
          <w:rtl/>
        </w:rPr>
        <w:t>, חברה גלובלית, מתקדמת, המטשטשת את זהותו של היחיד</w:t>
      </w:r>
      <w:r w:rsidRPr="00C619FB">
        <w:rPr>
          <w:rFonts w:cs="David" w:hint="cs"/>
          <w:sz w:val="24"/>
          <w:szCs w:val="24"/>
          <w:rtl/>
        </w:rPr>
        <w:t xml:space="preserve">. </w:t>
      </w:r>
      <w:r w:rsidR="00620E19">
        <w:rPr>
          <w:rFonts w:cs="David" w:hint="cs"/>
          <w:sz w:val="24"/>
          <w:szCs w:val="24"/>
          <w:rtl/>
        </w:rPr>
        <w:t>האתגר העומד בפני האנושות</w:t>
      </w:r>
      <w:r w:rsidR="002304A4">
        <w:rPr>
          <w:rFonts w:cs="David" w:hint="cs"/>
          <w:sz w:val="24"/>
          <w:szCs w:val="24"/>
          <w:rtl/>
        </w:rPr>
        <w:t>,</w:t>
      </w:r>
      <w:bookmarkStart w:id="0" w:name="_GoBack"/>
      <w:bookmarkEnd w:id="0"/>
      <w:r w:rsidR="00620E19">
        <w:rPr>
          <w:rFonts w:cs="David" w:hint="cs"/>
          <w:sz w:val="24"/>
          <w:szCs w:val="24"/>
          <w:rtl/>
        </w:rPr>
        <w:t xml:space="preserve"> </w:t>
      </w:r>
      <w:r w:rsidR="002304A4">
        <w:rPr>
          <w:rFonts w:cs="David" w:hint="cs"/>
          <w:sz w:val="24"/>
          <w:szCs w:val="24"/>
          <w:rtl/>
        </w:rPr>
        <w:t xml:space="preserve">כאז כן עתה, </w:t>
      </w:r>
      <w:r w:rsidR="00620E19">
        <w:rPr>
          <w:rFonts w:cs="David" w:hint="cs"/>
          <w:sz w:val="24"/>
          <w:szCs w:val="24"/>
          <w:rtl/>
        </w:rPr>
        <w:t xml:space="preserve">הוא מציאת נקודת האיזון בתווך.  </w:t>
      </w:r>
    </w:p>
    <w:p w:rsidR="004B3F7B" w:rsidRDefault="004B3F7B" w:rsidP="004B3F7B">
      <w:pPr>
        <w:jc w:val="both"/>
        <w:rPr>
          <w:rFonts w:cs="David" w:hint="cs"/>
          <w:sz w:val="24"/>
          <w:szCs w:val="24"/>
          <w:rtl/>
        </w:rPr>
      </w:pPr>
    </w:p>
    <w:p w:rsidR="004B3F7B" w:rsidRDefault="00BB5ECC" w:rsidP="004B3F7B">
      <w:pPr>
        <w:pStyle w:val="a3"/>
        <w:numPr>
          <w:ilvl w:val="0"/>
          <w:numId w:val="1"/>
        </w:numPr>
        <w:ind w:left="635" w:hanging="635"/>
        <w:jc w:val="both"/>
        <w:rPr>
          <w:rFonts w:cs="David" w:hint="cs"/>
          <w:b/>
          <w:bCs/>
          <w:sz w:val="24"/>
          <w:szCs w:val="24"/>
          <w:u w:val="single"/>
        </w:rPr>
      </w:pPr>
      <w:r w:rsidRPr="00BB5ECC">
        <w:rPr>
          <w:rFonts w:cs="David" w:hint="cs"/>
          <w:b/>
          <w:bCs/>
          <w:sz w:val="24"/>
          <w:szCs w:val="24"/>
          <w:u w:val="single"/>
          <w:rtl/>
        </w:rPr>
        <w:t>ההבדלים בין המונח גלובליזציה, תופעת הגלובליזציה והמשגת הגלובליזציה</w:t>
      </w:r>
    </w:p>
    <w:p w:rsidR="00BB5ECC" w:rsidRDefault="00BB5ECC" w:rsidP="00BB5ECC">
      <w:pPr>
        <w:pStyle w:val="a3"/>
        <w:ind w:left="635"/>
        <w:jc w:val="both"/>
        <w:rPr>
          <w:rFonts w:cs="David" w:hint="cs"/>
          <w:b/>
          <w:bCs/>
          <w:sz w:val="24"/>
          <w:szCs w:val="24"/>
          <w:u w:val="single"/>
          <w:rtl/>
        </w:rPr>
      </w:pPr>
    </w:p>
    <w:p w:rsidR="00BB5ECC" w:rsidRDefault="00BB5ECC" w:rsidP="00BB5ECC">
      <w:pPr>
        <w:pStyle w:val="a3"/>
        <w:ind w:left="635"/>
        <w:jc w:val="both"/>
        <w:rPr>
          <w:rFonts w:cs="David" w:hint="cs"/>
          <w:sz w:val="24"/>
          <w:szCs w:val="24"/>
          <w:rtl/>
        </w:rPr>
      </w:pPr>
      <w:r w:rsidRPr="00BB5ECC">
        <w:rPr>
          <w:rFonts w:cs="David" w:hint="cs"/>
          <w:b/>
          <w:bCs/>
          <w:sz w:val="24"/>
          <w:szCs w:val="24"/>
          <w:rtl/>
        </w:rPr>
        <w:t>המונח גלובליזציה</w:t>
      </w:r>
      <w:r>
        <w:rPr>
          <w:rFonts w:cs="David" w:hint="cs"/>
          <w:sz w:val="24"/>
          <w:szCs w:val="24"/>
          <w:rtl/>
        </w:rPr>
        <w:t xml:space="preserve">  - </w:t>
      </w:r>
      <w:r>
        <w:rPr>
          <w:rFonts w:cs="David" w:hint="cs"/>
          <w:sz w:val="24"/>
          <w:szCs w:val="24"/>
          <w:rtl/>
        </w:rPr>
        <w:t xml:space="preserve">מונח </w:t>
      </w:r>
      <w:r>
        <w:rPr>
          <w:rFonts w:cs="David"/>
          <w:sz w:val="24"/>
          <w:szCs w:val="24"/>
          <w:rtl/>
        </w:rPr>
        <w:t>מתהוו</w:t>
      </w:r>
      <w:r>
        <w:rPr>
          <w:rFonts w:cs="David" w:hint="cs"/>
          <w:sz w:val="24"/>
          <w:szCs w:val="24"/>
          <w:rtl/>
        </w:rPr>
        <w:t>ה</w:t>
      </w:r>
      <w:r w:rsidRPr="00BB5ECC">
        <w:rPr>
          <w:rFonts w:cs="David"/>
          <w:sz w:val="24"/>
          <w:szCs w:val="24"/>
          <w:rtl/>
        </w:rPr>
        <w:t xml:space="preserve"> כאשר האדם מוצא מכנה משותף לתופעות אחדות שאותן הוא מייחס לסוג אחד בעל אופי מוגדר</w:t>
      </w:r>
      <w:bookmarkStart w:id="1" w:name="_Ref25624231"/>
      <w:r>
        <w:rPr>
          <w:rStyle w:val="a7"/>
          <w:rFonts w:cs="David"/>
          <w:sz w:val="24"/>
          <w:szCs w:val="24"/>
          <w:rtl/>
        </w:rPr>
        <w:footnoteReference w:id="1"/>
      </w:r>
      <w:bookmarkEnd w:id="1"/>
      <w:r>
        <w:rPr>
          <w:rFonts w:cs="David" w:hint="cs"/>
          <w:sz w:val="24"/>
          <w:szCs w:val="24"/>
          <w:rtl/>
        </w:rPr>
        <w:t>. אין עוררין על קיומו של המונח גלובליזציה. המונח  קיים בהקשרים חינוכיים, תרבותיים וכלכליים החל משנות ה-30 של המאה הקודמת</w:t>
      </w:r>
      <w:r>
        <w:rPr>
          <w:rStyle w:val="a7"/>
          <w:rFonts w:cs="David"/>
          <w:sz w:val="24"/>
          <w:szCs w:val="24"/>
          <w:rtl/>
        </w:rPr>
        <w:footnoteReference w:id="2"/>
      </w:r>
      <w:r>
        <w:rPr>
          <w:rFonts w:cs="David" w:hint="cs"/>
          <w:sz w:val="24"/>
          <w:szCs w:val="24"/>
          <w:rtl/>
        </w:rPr>
        <w:t xml:space="preserve">. </w:t>
      </w:r>
    </w:p>
    <w:p w:rsidR="00BB5ECC" w:rsidRDefault="00BB5ECC" w:rsidP="00BB5ECC">
      <w:pPr>
        <w:pStyle w:val="a3"/>
        <w:ind w:left="635"/>
        <w:jc w:val="both"/>
        <w:rPr>
          <w:rFonts w:cs="David" w:hint="cs"/>
          <w:sz w:val="24"/>
          <w:szCs w:val="24"/>
          <w:rtl/>
        </w:rPr>
      </w:pPr>
    </w:p>
    <w:p w:rsidR="00BB5ECC" w:rsidRDefault="00BB5ECC" w:rsidP="00BB5ECC">
      <w:pPr>
        <w:pStyle w:val="a3"/>
        <w:ind w:left="635"/>
        <w:jc w:val="both"/>
        <w:rPr>
          <w:rFonts w:cs="David" w:hint="cs"/>
          <w:sz w:val="24"/>
          <w:szCs w:val="24"/>
          <w:rtl/>
        </w:rPr>
      </w:pPr>
      <w:r w:rsidRPr="00BB5ECC">
        <w:rPr>
          <w:rFonts w:cs="David" w:hint="cs"/>
          <w:b/>
          <w:bCs/>
          <w:sz w:val="24"/>
          <w:szCs w:val="24"/>
          <w:rtl/>
        </w:rPr>
        <w:t>תופעת הגלובליזציה</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המונח גלובליזציה כאמור, מגדיר תופעה. קיומה או העדרה של תופעת הגלובליזציה תלוי בהגדרה שניתנה למונח. ישנן מספר הגדרות למונח גלובליזציה וההבדל ביניהן הוא בתיאור התופעה.  יש המגדירים את תופעת הגלובליזציה כ"התחזקות דרמטית של קשרי גומלין בינלאומיים". הגדרה </w:t>
      </w:r>
      <w:r w:rsidR="00014D06">
        <w:rPr>
          <w:rFonts w:cs="David" w:hint="cs"/>
          <w:sz w:val="24"/>
          <w:szCs w:val="24"/>
          <w:rtl/>
        </w:rPr>
        <w:t xml:space="preserve">נוספת, </w:t>
      </w:r>
      <w:r>
        <w:rPr>
          <w:rFonts w:cs="David" w:hint="cs"/>
          <w:sz w:val="24"/>
          <w:szCs w:val="24"/>
          <w:rtl/>
        </w:rPr>
        <w:t>נרחבת יותר</w:t>
      </w:r>
      <w:r w:rsidR="00014D06">
        <w:rPr>
          <w:rFonts w:cs="David" w:hint="cs"/>
          <w:sz w:val="24"/>
          <w:szCs w:val="24"/>
          <w:rtl/>
        </w:rPr>
        <w:t>,</w:t>
      </w:r>
      <w:r>
        <w:rPr>
          <w:rFonts w:cs="David" w:hint="cs"/>
          <w:sz w:val="24"/>
          <w:szCs w:val="24"/>
          <w:rtl/>
        </w:rPr>
        <w:t xml:space="preserve"> מספק פרופ' דיוויד </w:t>
      </w:r>
      <w:proofErr w:type="spellStart"/>
      <w:r>
        <w:rPr>
          <w:rFonts w:cs="David" w:hint="cs"/>
          <w:sz w:val="24"/>
          <w:szCs w:val="24"/>
          <w:rtl/>
        </w:rPr>
        <w:t>הלד</w:t>
      </w:r>
      <w:proofErr w:type="spellEnd"/>
      <w:r>
        <w:rPr>
          <w:rFonts w:cs="David" w:hint="cs"/>
          <w:sz w:val="24"/>
          <w:szCs w:val="24"/>
          <w:rtl/>
        </w:rPr>
        <w:t xml:space="preserve"> מ -  </w:t>
      </w:r>
      <w:r>
        <w:rPr>
          <w:rFonts w:cs="David"/>
          <w:sz w:val="24"/>
          <w:szCs w:val="24"/>
        </w:rPr>
        <w:t>LSE</w:t>
      </w:r>
      <w:r>
        <w:rPr>
          <w:rFonts w:cs="David" w:hint="cs"/>
          <w:sz w:val="24"/>
          <w:szCs w:val="24"/>
          <w:rtl/>
        </w:rPr>
        <w:t xml:space="preserve"> המגדיר גלובליזציה כ"הרחבה, האצה, והעמקה של קשרי גומלין ויחסים חברתיים בין מדינות, תרבויות ואינדיבידואלים."</w:t>
      </w:r>
      <w:bookmarkStart w:id="2" w:name="_Ref25624194"/>
      <w:r>
        <w:rPr>
          <w:rStyle w:val="a7"/>
          <w:rFonts w:cs="David"/>
          <w:sz w:val="24"/>
          <w:szCs w:val="24"/>
          <w:rtl/>
        </w:rPr>
        <w:footnoteReference w:id="3"/>
      </w:r>
      <w:bookmarkEnd w:id="2"/>
    </w:p>
    <w:p w:rsidR="00BB5ECC" w:rsidRDefault="00BB5ECC" w:rsidP="00BB5ECC">
      <w:pPr>
        <w:pStyle w:val="a3"/>
        <w:ind w:left="635"/>
        <w:jc w:val="both"/>
        <w:rPr>
          <w:rFonts w:cs="David" w:hint="cs"/>
          <w:sz w:val="24"/>
          <w:szCs w:val="24"/>
          <w:rtl/>
        </w:rPr>
      </w:pPr>
    </w:p>
    <w:p w:rsidR="004C0B0D" w:rsidRDefault="00033F94" w:rsidP="007C1EEE">
      <w:pPr>
        <w:pStyle w:val="a3"/>
        <w:ind w:left="635"/>
        <w:jc w:val="both"/>
        <w:rPr>
          <w:rFonts w:cs="David" w:hint="cs"/>
          <w:sz w:val="24"/>
          <w:szCs w:val="24"/>
          <w:rtl/>
        </w:rPr>
      </w:pPr>
      <w:r w:rsidRPr="00033F94">
        <w:rPr>
          <w:rFonts w:cs="David" w:hint="cs"/>
          <w:b/>
          <w:bCs/>
          <w:sz w:val="24"/>
          <w:szCs w:val="24"/>
          <w:rtl/>
        </w:rPr>
        <w:t>המשגת גלובליזציה</w:t>
      </w:r>
      <w:r>
        <w:rPr>
          <w:rFonts w:cs="David" w:hint="cs"/>
          <w:sz w:val="24"/>
          <w:szCs w:val="24"/>
          <w:rtl/>
        </w:rPr>
        <w:t xml:space="preserve"> </w:t>
      </w:r>
      <w:r>
        <w:rPr>
          <w:rFonts w:cs="David"/>
          <w:sz w:val="24"/>
          <w:szCs w:val="24"/>
          <w:rtl/>
        </w:rPr>
        <w:t>–</w:t>
      </w:r>
      <w:r>
        <w:rPr>
          <w:rFonts w:cs="David" w:hint="cs"/>
          <w:sz w:val="24"/>
          <w:szCs w:val="24"/>
          <w:rtl/>
        </w:rPr>
        <w:t xml:space="preserve"> ההמשגה היא </w:t>
      </w:r>
      <w:r w:rsidR="00BB5ECC" w:rsidRPr="00BB5ECC">
        <w:rPr>
          <w:rFonts w:cs="David"/>
          <w:sz w:val="24"/>
          <w:szCs w:val="24"/>
          <w:rtl/>
        </w:rPr>
        <w:t>תהליך ההערכה והניתוח שבו האדם עוסק עד שהוא מזהה את הצד השווה שבין העצמים או התופעות ש</w:t>
      </w:r>
      <w:r>
        <w:rPr>
          <w:rFonts w:cs="David"/>
          <w:sz w:val="24"/>
          <w:szCs w:val="24"/>
          <w:rtl/>
        </w:rPr>
        <w:t xml:space="preserve">אותם הוא ממיין </w:t>
      </w:r>
      <w:r>
        <w:rPr>
          <w:rFonts w:cs="David" w:hint="cs"/>
          <w:sz w:val="24"/>
          <w:szCs w:val="24"/>
          <w:rtl/>
        </w:rPr>
        <w:t>למונח</w:t>
      </w:r>
      <w:r>
        <w:rPr>
          <w:rFonts w:cs="David"/>
          <w:sz w:val="24"/>
          <w:szCs w:val="24"/>
          <w:rtl/>
        </w:rPr>
        <w:t xml:space="preserve"> מסוים</w:t>
      </w:r>
      <w:r>
        <w:rPr>
          <w:rStyle w:val="a7"/>
          <w:rFonts w:cs="David"/>
          <w:sz w:val="24"/>
          <w:szCs w:val="24"/>
          <w:rtl/>
        </w:rPr>
        <w:footnoteReference w:id="4"/>
      </w:r>
      <w:r>
        <w:rPr>
          <w:rFonts w:cs="David" w:hint="cs"/>
          <w:sz w:val="24"/>
          <w:szCs w:val="24"/>
          <w:rtl/>
        </w:rPr>
        <w:t xml:space="preserve">. </w:t>
      </w:r>
      <w:r w:rsidR="004C0B0D" w:rsidRPr="004C0B0D">
        <w:rPr>
          <w:rFonts w:cs="David"/>
          <w:sz w:val="24"/>
          <w:szCs w:val="24"/>
          <w:rtl/>
        </w:rPr>
        <w:t>הפילוסוף המייחס לדוברי השפה הטבעית מושגים לא מבוררים אומר בעצם ש</w:t>
      </w:r>
      <w:r w:rsidR="004C0B0D">
        <w:rPr>
          <w:rFonts w:cs="David" w:hint="cs"/>
          <w:sz w:val="24"/>
          <w:szCs w:val="24"/>
          <w:rtl/>
        </w:rPr>
        <w:t>"</w:t>
      </w:r>
      <w:r w:rsidR="004C0B0D" w:rsidRPr="004C0B0D">
        <w:rPr>
          <w:rFonts w:cs="David"/>
          <w:sz w:val="24"/>
          <w:szCs w:val="24"/>
          <w:rtl/>
        </w:rPr>
        <w:t>אין להם מושג על מה הם מדברים</w:t>
      </w:r>
      <w:r w:rsidR="004C0B0D">
        <w:rPr>
          <w:rFonts w:cs="David" w:hint="cs"/>
          <w:sz w:val="24"/>
          <w:szCs w:val="24"/>
          <w:rtl/>
        </w:rPr>
        <w:t>"</w:t>
      </w:r>
      <w:r w:rsidR="004C0B0D" w:rsidRPr="004C0B0D">
        <w:rPr>
          <w:rFonts w:cs="David"/>
          <w:sz w:val="24"/>
          <w:szCs w:val="24"/>
          <w:rtl/>
        </w:rPr>
        <w:t>. צריך להבין את הביטוי כפשוטו</w:t>
      </w:r>
      <w:r w:rsidR="00FC1E35">
        <w:rPr>
          <w:rStyle w:val="a7"/>
          <w:rFonts w:cs="David"/>
          <w:sz w:val="24"/>
          <w:szCs w:val="24"/>
          <w:rtl/>
        </w:rPr>
        <w:footnoteReference w:id="5"/>
      </w:r>
      <w:r w:rsidR="004C0B0D">
        <w:rPr>
          <w:rFonts w:cs="David" w:hint="cs"/>
          <w:sz w:val="24"/>
          <w:szCs w:val="24"/>
          <w:rtl/>
        </w:rPr>
        <w:t xml:space="preserve">. יצירת המושג אינה תהליך תפיסתי בלבד, אלא תולדה של פעילות שכלית </w:t>
      </w:r>
      <w:r w:rsidR="004C0B0D" w:rsidRPr="00BB5ECC">
        <w:rPr>
          <w:rFonts w:cs="David"/>
          <w:sz w:val="24"/>
          <w:szCs w:val="24"/>
          <w:rtl/>
        </w:rPr>
        <w:t>שהאדם מפעילה כאשר</w:t>
      </w:r>
      <w:r w:rsidR="004C0B0D">
        <w:rPr>
          <w:rFonts w:cs="David"/>
          <w:sz w:val="24"/>
          <w:szCs w:val="24"/>
          <w:rtl/>
        </w:rPr>
        <w:t xml:space="preserve"> הוא נדרש להתמודד עם בעי</w:t>
      </w:r>
      <w:r w:rsidR="004C0B0D" w:rsidRPr="00BB5ECC">
        <w:rPr>
          <w:rFonts w:cs="David"/>
          <w:sz w:val="24"/>
          <w:szCs w:val="24"/>
          <w:rtl/>
        </w:rPr>
        <w:t>ה ולפתור אותה</w:t>
      </w:r>
      <w:r w:rsidR="004C0B0D">
        <w:rPr>
          <w:rFonts w:cs="David" w:hint="cs"/>
          <w:sz w:val="24"/>
          <w:szCs w:val="24"/>
          <w:rtl/>
        </w:rPr>
        <w:t xml:space="preserve">. </w:t>
      </w:r>
      <w:r w:rsidR="004C0B0D" w:rsidRPr="00BB5ECC">
        <w:rPr>
          <w:rFonts w:cs="David"/>
          <w:sz w:val="24"/>
          <w:szCs w:val="24"/>
        </w:rPr>
        <w:t> </w:t>
      </w:r>
      <w:proofErr w:type="spellStart"/>
      <w:r w:rsidR="00FC1E35">
        <w:rPr>
          <w:rFonts w:cs="David" w:hint="cs"/>
          <w:sz w:val="24"/>
          <w:szCs w:val="24"/>
          <w:rtl/>
        </w:rPr>
        <w:t>ככזו</w:t>
      </w:r>
      <w:proofErr w:type="spellEnd"/>
      <w:r w:rsidR="00FC1E35">
        <w:rPr>
          <w:rFonts w:cs="David" w:hint="cs"/>
          <w:sz w:val="24"/>
          <w:szCs w:val="24"/>
          <w:rtl/>
        </w:rPr>
        <w:t xml:space="preserve">, מקפלת בתוכה ההמשגה </w:t>
      </w:r>
      <w:r w:rsidR="007C1EEE">
        <w:rPr>
          <w:rFonts w:cs="David" w:hint="cs"/>
          <w:sz w:val="24"/>
          <w:szCs w:val="24"/>
          <w:rtl/>
        </w:rPr>
        <w:t xml:space="preserve">של המונח גלובליזציה </w:t>
      </w:r>
      <w:r w:rsidR="00FC1E35">
        <w:rPr>
          <w:rFonts w:cs="David" w:hint="cs"/>
          <w:sz w:val="24"/>
          <w:szCs w:val="24"/>
          <w:rtl/>
        </w:rPr>
        <w:t xml:space="preserve">אמונות ודעות, ברצותה </w:t>
      </w:r>
      <w:r w:rsidR="007C1EEE">
        <w:rPr>
          <w:rFonts w:cs="David" w:hint="cs"/>
          <w:sz w:val="24"/>
          <w:szCs w:val="24"/>
          <w:rtl/>
        </w:rPr>
        <w:t xml:space="preserve">כוללת </w:t>
      </w:r>
      <w:r w:rsidR="00FC1E35">
        <w:rPr>
          <w:rFonts w:cs="David" w:hint="cs"/>
          <w:sz w:val="24"/>
          <w:szCs w:val="24"/>
          <w:rtl/>
        </w:rPr>
        <w:t xml:space="preserve">תופעות מסוימות במושג וברצותה </w:t>
      </w:r>
      <w:r w:rsidR="007C1EEE">
        <w:rPr>
          <w:rFonts w:cs="David" w:hint="cs"/>
          <w:sz w:val="24"/>
          <w:szCs w:val="24"/>
          <w:rtl/>
        </w:rPr>
        <w:t>מתעלמת מ</w:t>
      </w:r>
      <w:r w:rsidR="00FC1E35">
        <w:rPr>
          <w:rFonts w:cs="David" w:hint="cs"/>
          <w:sz w:val="24"/>
          <w:szCs w:val="24"/>
          <w:rtl/>
        </w:rPr>
        <w:t xml:space="preserve">תופעות </w:t>
      </w:r>
      <w:r w:rsidR="007C1EEE">
        <w:rPr>
          <w:rFonts w:cs="David" w:hint="cs"/>
          <w:sz w:val="24"/>
          <w:szCs w:val="24"/>
          <w:rtl/>
        </w:rPr>
        <w:t>ואינה מחשיבה אותן כתופעות של גלובליזציה</w:t>
      </w:r>
      <w:r w:rsidR="00FC1E35">
        <w:rPr>
          <w:rFonts w:cs="David" w:hint="cs"/>
          <w:sz w:val="24"/>
          <w:szCs w:val="24"/>
          <w:rtl/>
        </w:rPr>
        <w:t xml:space="preserve">. </w:t>
      </w:r>
    </w:p>
    <w:p w:rsidR="00014D06" w:rsidRPr="004C0B0D" w:rsidRDefault="00014D06" w:rsidP="007C1EEE">
      <w:pPr>
        <w:pStyle w:val="a3"/>
        <w:ind w:left="635"/>
        <w:jc w:val="both"/>
        <w:rPr>
          <w:rFonts w:cs="David" w:hint="cs"/>
          <w:sz w:val="24"/>
          <w:szCs w:val="24"/>
          <w:rtl/>
        </w:rPr>
      </w:pPr>
    </w:p>
    <w:p w:rsidR="00BB5ECC" w:rsidRDefault="00613E99" w:rsidP="004B3F7B">
      <w:pPr>
        <w:pStyle w:val="a3"/>
        <w:numPr>
          <w:ilvl w:val="0"/>
          <w:numId w:val="1"/>
        </w:numPr>
        <w:ind w:left="635" w:hanging="635"/>
        <w:jc w:val="both"/>
        <w:rPr>
          <w:rFonts w:cs="David" w:hint="cs"/>
          <w:b/>
          <w:bCs/>
          <w:sz w:val="24"/>
          <w:szCs w:val="24"/>
          <w:u w:val="single"/>
        </w:rPr>
      </w:pPr>
      <w:r>
        <w:rPr>
          <w:rFonts w:cs="David" w:hint="cs"/>
          <w:b/>
          <w:bCs/>
          <w:sz w:val="24"/>
          <w:szCs w:val="24"/>
          <w:u w:val="single"/>
          <w:rtl/>
        </w:rPr>
        <w:t>היצירה שתנותח בעבודה: המרד נגד הגלובליזציה</w:t>
      </w:r>
    </w:p>
    <w:p w:rsidR="00E931A0" w:rsidRDefault="00E931A0" w:rsidP="00E931A0">
      <w:pPr>
        <w:pStyle w:val="a3"/>
        <w:ind w:left="635"/>
        <w:jc w:val="both"/>
        <w:rPr>
          <w:rFonts w:cs="David" w:hint="cs"/>
          <w:sz w:val="24"/>
          <w:szCs w:val="24"/>
          <w:rtl/>
        </w:rPr>
      </w:pPr>
    </w:p>
    <w:p w:rsidR="00E931A0" w:rsidRDefault="00E931A0" w:rsidP="00E931A0">
      <w:pPr>
        <w:pStyle w:val="a3"/>
        <w:ind w:left="635"/>
        <w:jc w:val="both"/>
        <w:rPr>
          <w:rFonts w:cs="David" w:hint="cs"/>
          <w:sz w:val="24"/>
          <w:szCs w:val="24"/>
          <w:rtl/>
        </w:rPr>
      </w:pPr>
      <w:r>
        <w:rPr>
          <w:rFonts w:cs="David" w:hint="cs"/>
          <w:sz w:val="24"/>
          <w:szCs w:val="24"/>
          <w:rtl/>
        </w:rPr>
        <w:t>ספרו של נדב איל, "המרד נגד הגלובליזציה" מתאר בשפה קולחת, את התפתחותו של המרד ב</w:t>
      </w:r>
      <w:r w:rsidRPr="00E931A0">
        <w:rPr>
          <w:rFonts w:cs="David"/>
          <w:sz w:val="24"/>
          <w:szCs w:val="24"/>
          <w:rtl/>
        </w:rPr>
        <w:t xml:space="preserve">סדר העולמי שנבנה בדם ובעמל רב בעשורים האחרונים. </w:t>
      </w:r>
      <w:r>
        <w:rPr>
          <w:rFonts w:cs="David" w:hint="cs"/>
          <w:sz w:val="24"/>
          <w:szCs w:val="24"/>
          <w:rtl/>
        </w:rPr>
        <w:t xml:space="preserve">הספר מסביר את תופעת הגלובליזציה בעיני המחבר ופורס בפני הקורא, באמצעות תיאורים היסטוריים וסיפורים </w:t>
      </w:r>
      <w:r>
        <w:rPr>
          <w:rFonts w:cs="David" w:hint="cs"/>
          <w:sz w:val="24"/>
          <w:szCs w:val="24"/>
          <w:rtl/>
        </w:rPr>
        <w:lastRenderedPageBreak/>
        <w:t xml:space="preserve">אישיים, את צדדיה האפלים: </w:t>
      </w:r>
      <w:r w:rsidRPr="00E931A0">
        <w:rPr>
          <w:rFonts w:cs="David"/>
          <w:sz w:val="24"/>
          <w:szCs w:val="24"/>
          <w:rtl/>
        </w:rPr>
        <w:t xml:space="preserve">הרס הסביבה, </w:t>
      </w:r>
      <w:r w:rsidRPr="00E931A0">
        <w:rPr>
          <w:rFonts w:cs="David" w:hint="cs"/>
          <w:sz w:val="24"/>
          <w:szCs w:val="24"/>
          <w:rtl/>
        </w:rPr>
        <w:t>פונדמנטליזם וטרור, אי-שוויון</w:t>
      </w:r>
      <w:r w:rsidRPr="00E931A0">
        <w:rPr>
          <w:rFonts w:cs="David"/>
          <w:sz w:val="24"/>
          <w:szCs w:val="24"/>
          <w:rtl/>
        </w:rPr>
        <w:t xml:space="preserve"> קיצוני, ניצולם הנורא של בני אדם ב"דרום הגלובלי", ואיום תמידי על פרנסתו, עתידו וזהותו של מעמד הביניים</w:t>
      </w:r>
      <w:r>
        <w:rPr>
          <w:rFonts w:cs="David" w:hint="cs"/>
          <w:sz w:val="24"/>
          <w:szCs w:val="24"/>
          <w:rtl/>
        </w:rPr>
        <w:t xml:space="preserve">. </w:t>
      </w:r>
      <w:r w:rsidRPr="00E931A0">
        <w:rPr>
          <w:rFonts w:cs="David" w:hint="cs"/>
          <w:sz w:val="24"/>
          <w:szCs w:val="24"/>
          <w:rtl/>
        </w:rPr>
        <w:t xml:space="preserve"> </w:t>
      </w:r>
    </w:p>
    <w:p w:rsidR="00613E99" w:rsidRDefault="00E931A0" w:rsidP="001F314A">
      <w:pPr>
        <w:pStyle w:val="a3"/>
        <w:ind w:left="635"/>
        <w:jc w:val="both"/>
        <w:rPr>
          <w:rFonts w:cs="David" w:hint="cs"/>
          <w:sz w:val="24"/>
          <w:szCs w:val="24"/>
          <w:rtl/>
        </w:rPr>
      </w:pPr>
      <w:r>
        <w:rPr>
          <w:rFonts w:cs="David" w:hint="cs"/>
          <w:sz w:val="24"/>
          <w:szCs w:val="24"/>
          <w:rtl/>
        </w:rPr>
        <w:t>בחירתי בספר נעוצה בשתי סיבות</w:t>
      </w:r>
      <w:r w:rsidR="005C401A">
        <w:rPr>
          <w:rFonts w:cs="David" w:hint="cs"/>
          <w:sz w:val="24"/>
          <w:szCs w:val="24"/>
          <w:rtl/>
        </w:rPr>
        <w:t>:</w:t>
      </w:r>
      <w:r>
        <w:rPr>
          <w:rFonts w:cs="David" w:hint="cs"/>
          <w:sz w:val="24"/>
          <w:szCs w:val="24"/>
          <w:rtl/>
        </w:rPr>
        <w:t xml:space="preserve"> ראשית, </w:t>
      </w:r>
      <w:r w:rsidR="005C401A">
        <w:rPr>
          <w:rFonts w:cs="David" w:hint="cs"/>
          <w:sz w:val="24"/>
          <w:szCs w:val="24"/>
          <w:rtl/>
        </w:rPr>
        <w:t>החיפוש אחר יצירה הכוללת תיאור של צדדים שונים, אפלים ומוארים</w:t>
      </w:r>
      <w:r w:rsidR="00587903">
        <w:rPr>
          <w:rFonts w:cs="David" w:hint="cs"/>
          <w:sz w:val="24"/>
          <w:szCs w:val="24"/>
          <w:rtl/>
        </w:rPr>
        <w:t>,</w:t>
      </w:r>
      <w:r w:rsidR="005C401A">
        <w:rPr>
          <w:rFonts w:cs="David" w:hint="cs"/>
          <w:sz w:val="24"/>
          <w:szCs w:val="24"/>
          <w:rtl/>
        </w:rPr>
        <w:t xml:space="preserve"> של תופעת הגלובליזציה. </w:t>
      </w:r>
      <w:r>
        <w:rPr>
          <w:rFonts w:cs="David" w:hint="cs"/>
          <w:sz w:val="24"/>
          <w:szCs w:val="24"/>
          <w:rtl/>
        </w:rPr>
        <w:t xml:space="preserve">הספר מתאר </w:t>
      </w:r>
      <w:r w:rsidR="006C3DEE">
        <w:rPr>
          <w:rFonts w:cs="David" w:hint="cs"/>
          <w:sz w:val="24"/>
          <w:szCs w:val="24"/>
          <w:rtl/>
        </w:rPr>
        <w:t xml:space="preserve">באריכות </w:t>
      </w:r>
      <w:r>
        <w:rPr>
          <w:rFonts w:cs="David" w:hint="cs"/>
          <w:sz w:val="24"/>
          <w:szCs w:val="24"/>
          <w:rtl/>
        </w:rPr>
        <w:t xml:space="preserve">את תוצאותיה הקשות של הגלובליזציה </w:t>
      </w:r>
      <w:r w:rsidR="006C3DEE">
        <w:rPr>
          <w:rFonts w:cs="David" w:hint="cs"/>
          <w:sz w:val="24"/>
          <w:szCs w:val="24"/>
          <w:rtl/>
        </w:rPr>
        <w:t xml:space="preserve">אך אינו מתעלם </w:t>
      </w:r>
      <w:r w:rsidR="006C3DEE" w:rsidRPr="006C3DEE">
        <w:rPr>
          <w:rFonts w:cs="David" w:hint="cs"/>
          <w:sz w:val="24"/>
          <w:szCs w:val="24"/>
          <w:rtl/>
        </w:rPr>
        <w:t xml:space="preserve">מיכולתה להיטיב </w:t>
      </w:r>
      <w:r w:rsidR="006C3DEE" w:rsidRPr="006C3DEE">
        <w:rPr>
          <w:rFonts w:cs="David"/>
          <w:sz w:val="24"/>
          <w:szCs w:val="24"/>
          <w:rtl/>
        </w:rPr>
        <w:t>עם האנושות</w:t>
      </w:r>
      <w:r w:rsidR="006C3DEE" w:rsidRPr="006C3DEE">
        <w:rPr>
          <w:rFonts w:cs="David" w:hint="cs"/>
          <w:sz w:val="24"/>
          <w:szCs w:val="24"/>
          <w:rtl/>
        </w:rPr>
        <w:t xml:space="preserve">: להפחית </w:t>
      </w:r>
      <w:r w:rsidR="006C3DEE" w:rsidRPr="006C3DEE">
        <w:rPr>
          <w:rFonts w:cs="David"/>
          <w:sz w:val="24"/>
          <w:szCs w:val="24"/>
          <w:rtl/>
        </w:rPr>
        <w:t xml:space="preserve">רעב, מחלות, עוני </w:t>
      </w:r>
      <w:r w:rsidR="006C3DEE" w:rsidRPr="006C3DEE">
        <w:rPr>
          <w:rFonts w:cs="David"/>
          <w:sz w:val="24"/>
          <w:szCs w:val="24"/>
          <w:rtl/>
        </w:rPr>
        <w:t>ומלחמות</w:t>
      </w:r>
      <w:r w:rsidR="006C3DEE" w:rsidRPr="006C3DEE">
        <w:rPr>
          <w:rFonts w:cs="David"/>
          <w:sz w:val="24"/>
          <w:szCs w:val="24"/>
        </w:rPr>
        <w:t>.</w:t>
      </w:r>
      <w:r w:rsidR="006C3DEE">
        <w:rPr>
          <w:rFonts w:cs="David" w:hint="cs"/>
          <w:sz w:val="24"/>
          <w:szCs w:val="24"/>
          <w:rtl/>
        </w:rPr>
        <w:t xml:space="preserve"> המחבר אינו מעונין בניפוץ הגלובליזציה אלא בתיקונה ומציע לקורא שורה של הצעות, לתיקון הכשלים בגלובליזציה. </w:t>
      </w:r>
      <w:r w:rsidR="005C401A">
        <w:rPr>
          <w:rFonts w:cs="David" w:hint="cs"/>
          <w:sz w:val="24"/>
          <w:szCs w:val="24"/>
          <w:rtl/>
        </w:rPr>
        <w:t xml:space="preserve">אמנם </w:t>
      </w:r>
      <w:r w:rsidR="006C3DEE">
        <w:rPr>
          <w:rFonts w:cs="David" w:hint="cs"/>
          <w:sz w:val="24"/>
          <w:szCs w:val="24"/>
          <w:rtl/>
        </w:rPr>
        <w:t xml:space="preserve">ישימותן של ההצעות לתיקון הכשלים </w:t>
      </w:r>
      <w:r w:rsidR="005C401A">
        <w:rPr>
          <w:rFonts w:cs="David" w:hint="cs"/>
          <w:sz w:val="24"/>
          <w:szCs w:val="24"/>
          <w:rtl/>
        </w:rPr>
        <w:t xml:space="preserve">מחייבת דיון אך </w:t>
      </w:r>
      <w:proofErr w:type="spellStart"/>
      <w:r w:rsidR="005C401A">
        <w:rPr>
          <w:rFonts w:cs="David" w:hint="cs"/>
          <w:sz w:val="24"/>
          <w:szCs w:val="24"/>
          <w:rtl/>
        </w:rPr>
        <w:t>העלתן</w:t>
      </w:r>
      <w:proofErr w:type="spellEnd"/>
      <w:r w:rsidR="005C401A">
        <w:rPr>
          <w:rFonts w:cs="David" w:hint="cs"/>
          <w:sz w:val="24"/>
          <w:szCs w:val="24"/>
          <w:rtl/>
        </w:rPr>
        <w:t xml:space="preserve"> על הכתב </w:t>
      </w:r>
      <w:r w:rsidR="006C3DEE">
        <w:rPr>
          <w:rFonts w:cs="David" w:hint="cs"/>
          <w:sz w:val="24"/>
          <w:szCs w:val="24"/>
          <w:rtl/>
        </w:rPr>
        <w:t xml:space="preserve"> </w:t>
      </w:r>
      <w:r w:rsidR="005C401A">
        <w:rPr>
          <w:rFonts w:cs="David" w:hint="cs"/>
          <w:sz w:val="24"/>
          <w:szCs w:val="24"/>
          <w:rtl/>
        </w:rPr>
        <w:t xml:space="preserve">ראויה כשלעצמה. </w:t>
      </w:r>
      <w:r w:rsidR="00891F59">
        <w:rPr>
          <w:rFonts w:cs="David" w:hint="cs"/>
          <w:sz w:val="24"/>
          <w:szCs w:val="24"/>
          <w:rtl/>
        </w:rPr>
        <w:t>הסיבה השני</w:t>
      </w:r>
      <w:r w:rsidR="001F314A">
        <w:rPr>
          <w:rFonts w:cs="David" w:hint="cs"/>
          <w:sz w:val="24"/>
          <w:szCs w:val="24"/>
          <w:rtl/>
        </w:rPr>
        <w:t>י</w:t>
      </w:r>
      <w:r w:rsidR="00891F59">
        <w:rPr>
          <w:rFonts w:cs="David" w:hint="cs"/>
          <w:sz w:val="24"/>
          <w:szCs w:val="24"/>
          <w:rtl/>
        </w:rPr>
        <w:t xml:space="preserve">ה לבחירת הספר נעוצה בתיאור התופעה ב </w:t>
      </w:r>
      <w:r w:rsidR="00587903">
        <w:rPr>
          <w:rFonts w:cs="David" w:hint="cs"/>
          <w:sz w:val="24"/>
          <w:szCs w:val="24"/>
          <w:rtl/>
        </w:rPr>
        <w:t>"משקפיים ישראליות"</w:t>
      </w:r>
      <w:r>
        <w:rPr>
          <w:rFonts w:ascii="Arial" w:hAnsi="Arial" w:cs="Arial"/>
          <w:color w:val="000000"/>
          <w:sz w:val="21"/>
          <w:szCs w:val="21"/>
        </w:rPr>
        <w:t>.</w:t>
      </w:r>
      <w:r>
        <w:rPr>
          <w:rFonts w:cs="David" w:hint="cs"/>
          <w:sz w:val="24"/>
          <w:szCs w:val="24"/>
          <w:rtl/>
        </w:rPr>
        <w:t xml:space="preserve"> </w:t>
      </w:r>
      <w:r w:rsidR="008372A9">
        <w:rPr>
          <w:rFonts w:cs="David" w:hint="cs"/>
          <w:sz w:val="24"/>
          <w:szCs w:val="24"/>
          <w:rtl/>
        </w:rPr>
        <w:t xml:space="preserve">המחבר </w:t>
      </w:r>
      <w:r w:rsidR="001F314A">
        <w:rPr>
          <w:rFonts w:cs="David" w:hint="cs"/>
          <w:sz w:val="24"/>
          <w:szCs w:val="24"/>
          <w:rtl/>
        </w:rPr>
        <w:t xml:space="preserve">שוזר את סיפורו האישי, המשפחתי, הישראלי, בסיפור הגלובלי ומקדיש בסוף הספר פרק לניתוח תופעת המרד בגלובליזציה בהקשר הישראלי. </w:t>
      </w:r>
    </w:p>
    <w:p w:rsidR="001F314A" w:rsidRPr="00E931A0" w:rsidRDefault="001F314A" w:rsidP="001F314A">
      <w:pPr>
        <w:pStyle w:val="a3"/>
        <w:ind w:left="635"/>
        <w:jc w:val="both"/>
        <w:rPr>
          <w:rFonts w:cs="David" w:hint="cs"/>
          <w:sz w:val="24"/>
          <w:szCs w:val="24"/>
        </w:rPr>
      </w:pPr>
    </w:p>
    <w:p w:rsidR="00613E99" w:rsidRDefault="00892C62" w:rsidP="00892C62">
      <w:pPr>
        <w:pStyle w:val="a3"/>
        <w:numPr>
          <w:ilvl w:val="0"/>
          <w:numId w:val="1"/>
        </w:numPr>
        <w:ind w:left="635" w:hanging="635"/>
        <w:jc w:val="both"/>
        <w:rPr>
          <w:rFonts w:cs="David" w:hint="cs"/>
          <w:b/>
          <w:bCs/>
          <w:sz w:val="24"/>
          <w:szCs w:val="24"/>
          <w:u w:val="single"/>
        </w:rPr>
      </w:pPr>
      <w:r>
        <w:rPr>
          <w:rFonts w:cs="David" w:hint="cs"/>
          <w:b/>
          <w:bCs/>
          <w:sz w:val="24"/>
          <w:szCs w:val="24"/>
          <w:u w:val="single"/>
          <w:rtl/>
        </w:rPr>
        <w:t>המשגת הגלובליזציה ביצירה</w:t>
      </w:r>
    </w:p>
    <w:p w:rsidR="00892C62" w:rsidRDefault="00892C62" w:rsidP="00892C62">
      <w:pPr>
        <w:pStyle w:val="a3"/>
        <w:ind w:left="635"/>
        <w:jc w:val="both"/>
        <w:rPr>
          <w:rFonts w:cs="David" w:hint="cs"/>
          <w:b/>
          <w:bCs/>
          <w:sz w:val="24"/>
          <w:szCs w:val="24"/>
          <w:u w:val="single"/>
        </w:rPr>
      </w:pPr>
    </w:p>
    <w:p w:rsidR="00892C62" w:rsidRDefault="00892C62" w:rsidP="00892C62">
      <w:pPr>
        <w:pStyle w:val="a3"/>
        <w:numPr>
          <w:ilvl w:val="1"/>
          <w:numId w:val="1"/>
        </w:numPr>
        <w:ind w:left="1076" w:hanging="425"/>
        <w:jc w:val="both"/>
        <w:rPr>
          <w:rFonts w:cs="David" w:hint="cs"/>
          <w:sz w:val="24"/>
          <w:szCs w:val="24"/>
          <w:u w:val="single"/>
        </w:rPr>
      </w:pPr>
      <w:r w:rsidRPr="00892C62">
        <w:rPr>
          <w:rFonts w:cs="David" w:hint="cs"/>
          <w:sz w:val="24"/>
          <w:szCs w:val="24"/>
          <w:u w:val="single"/>
          <w:rtl/>
        </w:rPr>
        <w:t>תוכן ההמשגה- כיצד המחבר מגדיר או מתאר את הגלובליזציה</w:t>
      </w:r>
    </w:p>
    <w:p w:rsidR="00892C62" w:rsidRDefault="00892C62" w:rsidP="00331933">
      <w:pPr>
        <w:pStyle w:val="a3"/>
        <w:ind w:left="1076"/>
        <w:jc w:val="both"/>
        <w:rPr>
          <w:rFonts w:cs="David" w:hint="cs"/>
          <w:sz w:val="24"/>
          <w:szCs w:val="24"/>
          <w:rtl/>
        </w:rPr>
      </w:pPr>
      <w:r>
        <w:rPr>
          <w:rFonts w:cs="David" w:hint="cs"/>
          <w:sz w:val="24"/>
          <w:szCs w:val="24"/>
          <w:rtl/>
        </w:rPr>
        <w:t xml:space="preserve">לצורך המשגת הגלובליזציה, נעזר המחבר בהגדרות </w:t>
      </w:r>
      <w:r w:rsidR="00331933">
        <w:rPr>
          <w:rFonts w:cs="David" w:hint="cs"/>
          <w:sz w:val="24"/>
          <w:szCs w:val="24"/>
          <w:rtl/>
        </w:rPr>
        <w:t xml:space="preserve">מופשטות </w:t>
      </w:r>
      <w:r>
        <w:rPr>
          <w:rFonts w:cs="David" w:hint="cs"/>
          <w:sz w:val="24"/>
          <w:szCs w:val="24"/>
          <w:rtl/>
        </w:rPr>
        <w:t>ו</w:t>
      </w:r>
      <w:r w:rsidR="00140B0F">
        <w:rPr>
          <w:rFonts w:cs="David" w:hint="cs"/>
          <w:sz w:val="24"/>
          <w:szCs w:val="24"/>
          <w:rtl/>
        </w:rPr>
        <w:t xml:space="preserve">כן </w:t>
      </w:r>
      <w:r w:rsidR="00331933">
        <w:rPr>
          <w:rFonts w:cs="David" w:hint="cs"/>
          <w:sz w:val="24"/>
          <w:szCs w:val="24"/>
          <w:rtl/>
        </w:rPr>
        <w:t>בפירוט</w:t>
      </w:r>
      <w:r>
        <w:rPr>
          <w:rFonts w:cs="David" w:hint="cs"/>
          <w:sz w:val="24"/>
          <w:szCs w:val="24"/>
          <w:rtl/>
        </w:rPr>
        <w:t xml:space="preserve"> תופעות</w:t>
      </w:r>
      <w:r w:rsidR="00140B0F">
        <w:rPr>
          <w:rFonts w:cs="David" w:hint="cs"/>
          <w:sz w:val="24"/>
          <w:szCs w:val="24"/>
          <w:rtl/>
        </w:rPr>
        <w:t xml:space="preserve"> המתארות את תהליך הגלובליזציה או את תוצאותיו</w:t>
      </w:r>
      <w:r>
        <w:rPr>
          <w:rFonts w:cs="David" w:hint="cs"/>
          <w:sz w:val="24"/>
          <w:szCs w:val="24"/>
          <w:rtl/>
        </w:rPr>
        <w:t>. ההגדרות בספר הן פשוטות: "</w:t>
      </w:r>
      <w:r>
        <w:rPr>
          <w:rFonts w:cs="David" w:hint="cs"/>
          <w:sz w:val="24"/>
          <w:szCs w:val="24"/>
          <w:rtl/>
        </w:rPr>
        <w:t>התחזקות דרמטית של קשרי גומלין בינלאומיים"</w:t>
      </w:r>
      <w:r>
        <w:rPr>
          <w:rFonts w:cs="David" w:hint="cs"/>
          <w:sz w:val="24"/>
          <w:szCs w:val="24"/>
          <w:rtl/>
        </w:rPr>
        <w:t xml:space="preserve"> או הגדרה נרחבת יותר - </w:t>
      </w:r>
      <w:r>
        <w:rPr>
          <w:rFonts w:cs="David" w:hint="cs"/>
          <w:sz w:val="24"/>
          <w:szCs w:val="24"/>
          <w:rtl/>
        </w:rPr>
        <w:t>"הרחבה, האצה, והעמקה של קשרי גומלין ויחסים חברתיים בין מדינות, תרבויות ואינדיבידואלים."</w:t>
      </w:r>
      <w:r>
        <w:rPr>
          <w:rStyle w:val="a7"/>
          <w:rFonts w:cs="David"/>
          <w:sz w:val="24"/>
          <w:szCs w:val="24"/>
          <w:rtl/>
        </w:rPr>
        <w:footnoteReference w:id="6"/>
      </w:r>
      <w:r w:rsidR="00140B0F">
        <w:rPr>
          <w:rFonts w:cs="David" w:hint="cs"/>
          <w:sz w:val="24"/>
          <w:szCs w:val="24"/>
          <w:rtl/>
        </w:rPr>
        <w:t xml:space="preserve"> בהמשך, מתאר המחבר  את הגלובליזציה כ"תהליך חובק כל, אגרסיבי, לא מתנצל" הניזון מחוסר שוויון</w:t>
      </w:r>
      <w:r w:rsidR="00140B0F">
        <w:rPr>
          <w:rStyle w:val="a7"/>
          <w:rFonts w:cs="David"/>
          <w:sz w:val="24"/>
          <w:szCs w:val="24"/>
          <w:rtl/>
        </w:rPr>
        <w:footnoteReference w:id="7"/>
      </w:r>
      <w:r w:rsidR="00140B0F">
        <w:rPr>
          <w:rFonts w:cs="David" w:hint="cs"/>
          <w:sz w:val="24"/>
          <w:szCs w:val="24"/>
          <w:rtl/>
        </w:rPr>
        <w:t xml:space="preserve">, בניגוד לתדמית ה"כפר הגלובלי"  הגדול והשוויוני שנקשרה במונח,  שבו יושבים במעגלים בני גזעים שונים ושרים קום-בא-יה. </w:t>
      </w:r>
    </w:p>
    <w:p w:rsidR="00235EB0" w:rsidRDefault="00235EB0" w:rsidP="00985FA4">
      <w:pPr>
        <w:pStyle w:val="a3"/>
        <w:ind w:left="1076"/>
        <w:jc w:val="both"/>
        <w:rPr>
          <w:rFonts w:cs="David" w:hint="cs"/>
          <w:sz w:val="24"/>
          <w:szCs w:val="24"/>
          <w:rtl/>
        </w:rPr>
      </w:pPr>
      <w:r>
        <w:rPr>
          <w:rFonts w:cs="David" w:hint="cs"/>
          <w:sz w:val="24"/>
          <w:szCs w:val="24"/>
          <w:rtl/>
        </w:rPr>
        <w:t xml:space="preserve">המחבר מבאר את ההגדרה לפיה הגלובליזציה היא הרחבה של קשרי גומלין, באמצעות מתן דוגמאות כגון: קשרי סחר בינלאומי </w:t>
      </w:r>
      <w:r w:rsidR="004D7A5C">
        <w:rPr>
          <w:rFonts w:cs="David" w:hint="cs"/>
          <w:sz w:val="24"/>
          <w:szCs w:val="24"/>
          <w:rtl/>
        </w:rPr>
        <w:t xml:space="preserve">הבנויים על עקרון הביקוש וההיצע, </w:t>
      </w:r>
      <w:r>
        <w:rPr>
          <w:rFonts w:cs="David" w:hint="cs"/>
          <w:sz w:val="24"/>
          <w:szCs w:val="24"/>
          <w:rtl/>
        </w:rPr>
        <w:t>שהלכו והתהדקו בין אומות</w:t>
      </w:r>
      <w:r w:rsidR="00521077">
        <w:rPr>
          <w:rFonts w:cs="David" w:hint="cs"/>
          <w:sz w:val="24"/>
          <w:szCs w:val="24"/>
          <w:rtl/>
        </w:rPr>
        <w:t xml:space="preserve"> ותרבויות ממסחר באריגים ואבנים טובות לפני 2000 שנה ועד מוצרי הצריכה בביתו של אדם ממוצע בעולם המערבי כיום</w:t>
      </w:r>
      <w:r>
        <w:rPr>
          <w:rStyle w:val="a7"/>
          <w:rFonts w:cs="David"/>
          <w:sz w:val="24"/>
          <w:szCs w:val="24"/>
          <w:rtl/>
        </w:rPr>
        <w:footnoteReference w:id="8"/>
      </w:r>
      <w:r w:rsidR="00D01FCF">
        <w:rPr>
          <w:rFonts w:cs="David" w:hint="cs"/>
          <w:sz w:val="24"/>
          <w:szCs w:val="24"/>
          <w:rtl/>
        </w:rPr>
        <w:t xml:space="preserve">. ה"רחוק" נהיה "קרוב", והציבור תופס עצמו כ"אזרח העולם". </w:t>
      </w:r>
      <w:r w:rsidR="00C159CC">
        <w:rPr>
          <w:rFonts w:cs="David" w:hint="cs"/>
          <w:sz w:val="24"/>
          <w:szCs w:val="24"/>
          <w:rtl/>
        </w:rPr>
        <w:t xml:space="preserve">היבט נוסף של הגלובליזציה הוא </w:t>
      </w:r>
      <w:r w:rsidR="00C159CC">
        <w:rPr>
          <w:rFonts w:cs="David" w:hint="cs"/>
          <w:sz w:val="24"/>
          <w:szCs w:val="24"/>
          <w:rtl/>
        </w:rPr>
        <w:t>הידע המבוזר</w:t>
      </w:r>
      <w:r w:rsidR="00985FA4">
        <w:rPr>
          <w:rFonts w:cs="David" w:hint="cs"/>
          <w:sz w:val="24"/>
          <w:szCs w:val="24"/>
          <w:rtl/>
        </w:rPr>
        <w:t xml:space="preserve"> ברשת האינטרנט</w:t>
      </w:r>
      <w:r w:rsidR="00C159CC">
        <w:rPr>
          <w:rFonts w:cs="David"/>
          <w:sz w:val="24"/>
          <w:szCs w:val="24"/>
          <w:rtl/>
        </w:rPr>
        <w:t>–</w:t>
      </w:r>
      <w:r w:rsidR="00C159CC">
        <w:rPr>
          <w:rFonts w:cs="David" w:hint="cs"/>
          <w:sz w:val="24"/>
          <w:szCs w:val="24"/>
          <w:rtl/>
        </w:rPr>
        <w:t xml:space="preserve"> "הגלובליזציה של התודעה"</w:t>
      </w:r>
      <w:r w:rsidR="000707B7">
        <w:rPr>
          <w:rFonts w:cs="David" w:hint="cs"/>
          <w:sz w:val="24"/>
          <w:szCs w:val="24"/>
          <w:rtl/>
        </w:rPr>
        <w:t xml:space="preserve"> </w:t>
      </w:r>
      <w:r w:rsidR="000707B7">
        <w:rPr>
          <w:rFonts w:cs="David"/>
          <w:sz w:val="24"/>
          <w:szCs w:val="24"/>
          <w:rtl/>
        </w:rPr>
        <w:t>–</w:t>
      </w:r>
      <w:r w:rsidR="000707B7">
        <w:rPr>
          <w:rFonts w:cs="David" w:hint="cs"/>
          <w:sz w:val="24"/>
          <w:szCs w:val="24"/>
          <w:rtl/>
        </w:rPr>
        <w:t xml:space="preserve"> מסד משותף של רעיונות, עובדות ודימויים שמצמיחים איתם שאיפות וחרדות משותפות</w:t>
      </w:r>
      <w:r w:rsidR="000707B7">
        <w:rPr>
          <w:rStyle w:val="a7"/>
          <w:rFonts w:cs="David"/>
          <w:sz w:val="24"/>
          <w:szCs w:val="24"/>
          <w:rtl/>
        </w:rPr>
        <w:footnoteReference w:id="9"/>
      </w:r>
      <w:r w:rsidR="00C159CC">
        <w:rPr>
          <w:rFonts w:cs="David" w:hint="cs"/>
          <w:sz w:val="24"/>
          <w:szCs w:val="24"/>
          <w:rtl/>
        </w:rPr>
        <w:t xml:space="preserve">. </w:t>
      </w:r>
      <w:r w:rsidR="009E1259">
        <w:rPr>
          <w:rFonts w:cs="David" w:hint="cs"/>
          <w:sz w:val="24"/>
          <w:szCs w:val="24"/>
          <w:rtl/>
        </w:rPr>
        <w:t xml:space="preserve">המחבר נמנע מלתאר את הגלובליזציה בתיאורים רומנטיים, ומבהיר כי </w:t>
      </w:r>
      <w:r w:rsidR="00D01FCF">
        <w:rPr>
          <w:rFonts w:cs="David" w:hint="cs"/>
          <w:sz w:val="24"/>
          <w:szCs w:val="24"/>
          <w:rtl/>
        </w:rPr>
        <w:t>הגלובליזציה אינה תופעה טבעית, אלא יצירה פוליטית כלכלית</w:t>
      </w:r>
      <w:r w:rsidR="004D7A5C">
        <w:rPr>
          <w:rFonts w:cs="David" w:hint="cs"/>
          <w:sz w:val="24"/>
          <w:szCs w:val="24"/>
          <w:rtl/>
        </w:rPr>
        <w:t xml:space="preserve"> "לא מובנת מאליה ורחוקה מהדימויים הוורודים המסווים את סודותיה"</w:t>
      </w:r>
      <w:r w:rsidR="004D7A5C">
        <w:rPr>
          <w:rStyle w:val="a7"/>
          <w:rFonts w:cs="David"/>
          <w:sz w:val="24"/>
          <w:szCs w:val="24"/>
          <w:rtl/>
        </w:rPr>
        <w:footnoteReference w:id="10"/>
      </w:r>
      <w:r w:rsidR="009E1259">
        <w:rPr>
          <w:rFonts w:cs="David" w:hint="cs"/>
          <w:sz w:val="24"/>
          <w:szCs w:val="24"/>
          <w:rtl/>
        </w:rPr>
        <w:t>.</w:t>
      </w:r>
    </w:p>
    <w:p w:rsidR="00892C62" w:rsidRPr="00892C62" w:rsidRDefault="00892C62" w:rsidP="00892C62">
      <w:pPr>
        <w:pStyle w:val="a3"/>
        <w:ind w:left="1076"/>
        <w:jc w:val="both"/>
        <w:rPr>
          <w:rFonts w:cs="David" w:hint="cs"/>
          <w:sz w:val="24"/>
          <w:szCs w:val="24"/>
          <w:u w:val="single"/>
        </w:rPr>
      </w:pPr>
    </w:p>
    <w:p w:rsidR="00892C62" w:rsidRDefault="00985FA4" w:rsidP="00892C62">
      <w:pPr>
        <w:pStyle w:val="a3"/>
        <w:numPr>
          <w:ilvl w:val="1"/>
          <w:numId w:val="1"/>
        </w:numPr>
        <w:ind w:left="1076" w:hanging="425"/>
        <w:jc w:val="both"/>
        <w:rPr>
          <w:rFonts w:cs="David" w:hint="cs"/>
          <w:sz w:val="24"/>
          <w:szCs w:val="24"/>
          <w:u w:val="single"/>
        </w:rPr>
      </w:pPr>
      <w:r>
        <w:rPr>
          <w:rFonts w:cs="David" w:hint="cs"/>
          <w:sz w:val="24"/>
          <w:szCs w:val="24"/>
          <w:u w:val="single"/>
          <w:rtl/>
        </w:rPr>
        <w:t xml:space="preserve">המשגת הגלובליזציה </w:t>
      </w:r>
      <w:r>
        <w:rPr>
          <w:rFonts w:cs="David"/>
          <w:sz w:val="24"/>
          <w:szCs w:val="24"/>
          <w:u w:val="single"/>
          <w:rtl/>
        </w:rPr>
        <w:t>–</w:t>
      </w:r>
      <w:r>
        <w:rPr>
          <w:rFonts w:cs="David" w:hint="cs"/>
          <w:sz w:val="24"/>
          <w:szCs w:val="24"/>
          <w:u w:val="single"/>
          <w:rtl/>
        </w:rPr>
        <w:t xml:space="preserve"> במישרין או בעקיפין?</w:t>
      </w:r>
    </w:p>
    <w:p w:rsidR="0022640A" w:rsidRDefault="0022640A" w:rsidP="007812D5">
      <w:pPr>
        <w:pStyle w:val="a3"/>
        <w:ind w:left="1076"/>
        <w:jc w:val="both"/>
        <w:rPr>
          <w:rFonts w:cs="David" w:hint="cs"/>
          <w:sz w:val="24"/>
          <w:szCs w:val="24"/>
          <w:rtl/>
        </w:rPr>
      </w:pPr>
      <w:r w:rsidRPr="0022640A">
        <w:rPr>
          <w:rFonts w:cs="David" w:hint="cs"/>
          <w:sz w:val="24"/>
          <w:szCs w:val="24"/>
          <w:rtl/>
        </w:rPr>
        <w:t xml:space="preserve">ההמשגה </w:t>
      </w:r>
      <w:r w:rsidR="00A77AE9">
        <w:rPr>
          <w:rFonts w:cs="David" w:hint="cs"/>
          <w:sz w:val="24"/>
          <w:szCs w:val="24"/>
          <w:rtl/>
        </w:rPr>
        <w:t xml:space="preserve">נעשית באופן </w:t>
      </w:r>
      <w:r w:rsidR="00A77AE9" w:rsidRPr="004D3673">
        <w:rPr>
          <w:rFonts w:cs="David" w:hint="cs"/>
          <w:b/>
          <w:bCs/>
          <w:sz w:val="24"/>
          <w:szCs w:val="24"/>
          <w:rtl/>
        </w:rPr>
        <w:t>משולב</w:t>
      </w:r>
      <w:r w:rsidR="00A77AE9">
        <w:rPr>
          <w:rFonts w:cs="David" w:hint="cs"/>
          <w:sz w:val="24"/>
          <w:szCs w:val="24"/>
          <w:rtl/>
        </w:rPr>
        <w:t xml:space="preserve">. חלקה </w:t>
      </w:r>
      <w:r w:rsidR="00A77AE9" w:rsidRPr="004D3673">
        <w:rPr>
          <w:rFonts w:cs="David" w:hint="cs"/>
          <w:b/>
          <w:bCs/>
          <w:sz w:val="24"/>
          <w:szCs w:val="24"/>
          <w:rtl/>
        </w:rPr>
        <w:t>במישרין</w:t>
      </w:r>
      <w:r w:rsidR="00A77AE9">
        <w:rPr>
          <w:rFonts w:cs="David" w:hint="cs"/>
          <w:sz w:val="24"/>
          <w:szCs w:val="24"/>
          <w:rtl/>
        </w:rPr>
        <w:t xml:space="preserve">, באמצעות הגדרות כמפורט לעיל ומתן דוגמאות. בנוסף לכך, נעשית המשגה </w:t>
      </w:r>
      <w:r w:rsidR="00A77AE9" w:rsidRPr="004D3673">
        <w:rPr>
          <w:rFonts w:cs="David" w:hint="cs"/>
          <w:b/>
          <w:bCs/>
          <w:sz w:val="24"/>
          <w:szCs w:val="24"/>
          <w:rtl/>
        </w:rPr>
        <w:t>בעקיפין</w:t>
      </w:r>
      <w:r w:rsidR="004D3673">
        <w:rPr>
          <w:rFonts w:cs="David" w:hint="cs"/>
          <w:sz w:val="24"/>
          <w:szCs w:val="24"/>
          <w:rtl/>
        </w:rPr>
        <w:t>,</w:t>
      </w:r>
      <w:r w:rsidR="00A77AE9">
        <w:rPr>
          <w:rFonts w:cs="David" w:hint="cs"/>
          <w:sz w:val="24"/>
          <w:szCs w:val="24"/>
          <w:rtl/>
        </w:rPr>
        <w:t xml:space="preserve"> באמצעות </w:t>
      </w:r>
      <w:r w:rsidR="00DB5253">
        <w:rPr>
          <w:rFonts w:cs="David" w:hint="cs"/>
          <w:sz w:val="24"/>
          <w:szCs w:val="24"/>
          <w:rtl/>
        </w:rPr>
        <w:t>תיאור מאפייניה של הגלובליזציה: ביקוש והיצע, יעילות</w:t>
      </w:r>
      <w:r w:rsidR="00DB5253">
        <w:rPr>
          <w:rStyle w:val="a7"/>
          <w:rFonts w:cs="David"/>
          <w:sz w:val="24"/>
          <w:szCs w:val="24"/>
          <w:rtl/>
        </w:rPr>
        <w:footnoteReference w:id="11"/>
      </w:r>
      <w:r w:rsidR="00DB5253">
        <w:rPr>
          <w:rFonts w:cs="David" w:hint="cs"/>
          <w:sz w:val="24"/>
          <w:szCs w:val="24"/>
          <w:rtl/>
        </w:rPr>
        <w:t xml:space="preserve">  וכן </w:t>
      </w:r>
      <w:r w:rsidR="00A77AE9">
        <w:rPr>
          <w:rFonts w:cs="David" w:hint="cs"/>
          <w:sz w:val="24"/>
          <w:szCs w:val="24"/>
          <w:rtl/>
        </w:rPr>
        <w:t xml:space="preserve">תיאור תופעות המהוות תוצאה של תהליך הגלובליזציה </w:t>
      </w:r>
      <w:r w:rsidR="00A77AE9">
        <w:rPr>
          <w:rFonts w:cs="David"/>
          <w:sz w:val="24"/>
          <w:szCs w:val="24"/>
          <w:rtl/>
        </w:rPr>
        <w:t>–</w:t>
      </w:r>
      <w:r w:rsidR="00A77AE9">
        <w:rPr>
          <w:rFonts w:cs="David" w:hint="cs"/>
          <w:sz w:val="24"/>
          <w:szCs w:val="24"/>
          <w:rtl/>
        </w:rPr>
        <w:t xml:space="preserve"> תיאור צדדיה האפלים של הגלובליזציה</w:t>
      </w:r>
      <w:r w:rsidR="004D3673">
        <w:rPr>
          <w:rFonts w:cs="David" w:hint="cs"/>
          <w:sz w:val="24"/>
          <w:szCs w:val="24"/>
          <w:rtl/>
        </w:rPr>
        <w:t xml:space="preserve">: </w:t>
      </w:r>
      <w:r w:rsidR="00CD31C2">
        <w:rPr>
          <w:rFonts w:cs="David" w:hint="cs"/>
          <w:sz w:val="24"/>
          <w:szCs w:val="24"/>
          <w:rtl/>
        </w:rPr>
        <w:t>ניצול ושעבוד במדינות לא מפותחות, זיהום סביבתי</w:t>
      </w:r>
      <w:r w:rsidR="00CD31C2">
        <w:rPr>
          <w:rStyle w:val="a7"/>
          <w:rFonts w:cs="David"/>
          <w:sz w:val="24"/>
          <w:szCs w:val="24"/>
          <w:rtl/>
        </w:rPr>
        <w:footnoteReference w:id="12"/>
      </w:r>
      <w:r w:rsidR="00CD31C2">
        <w:rPr>
          <w:rFonts w:cs="David" w:hint="cs"/>
          <w:sz w:val="24"/>
          <w:szCs w:val="24"/>
          <w:rtl/>
        </w:rPr>
        <w:t xml:space="preserve">, </w:t>
      </w:r>
      <w:proofErr w:type="spellStart"/>
      <w:r w:rsidR="00DB5253">
        <w:rPr>
          <w:rFonts w:cs="David" w:hint="cs"/>
          <w:sz w:val="24"/>
          <w:szCs w:val="24"/>
          <w:rtl/>
        </w:rPr>
        <w:t>מגיפת</w:t>
      </w:r>
      <w:proofErr w:type="spellEnd"/>
      <w:r w:rsidR="00DB5253">
        <w:rPr>
          <w:rFonts w:cs="David" w:hint="cs"/>
          <w:sz w:val="24"/>
          <w:szCs w:val="24"/>
          <w:rtl/>
        </w:rPr>
        <w:t xml:space="preserve"> </w:t>
      </w:r>
      <w:proofErr w:type="spellStart"/>
      <w:r w:rsidR="00DB5253">
        <w:rPr>
          <w:rFonts w:cs="David" w:hint="cs"/>
          <w:sz w:val="24"/>
          <w:szCs w:val="24"/>
          <w:rtl/>
        </w:rPr>
        <w:t>האופיואידים</w:t>
      </w:r>
      <w:proofErr w:type="spellEnd"/>
      <w:r w:rsidR="00DB5253">
        <w:rPr>
          <w:rFonts w:cs="David" w:hint="cs"/>
          <w:sz w:val="24"/>
          <w:szCs w:val="24"/>
          <w:rtl/>
        </w:rPr>
        <w:t xml:space="preserve">, פונדמנטליזם, המשבר המוניטרי, </w:t>
      </w:r>
      <w:r w:rsidR="00DB5253">
        <w:rPr>
          <w:rFonts w:cs="David" w:hint="cs"/>
          <w:sz w:val="24"/>
          <w:szCs w:val="24"/>
          <w:rtl/>
        </w:rPr>
        <w:lastRenderedPageBreak/>
        <w:t xml:space="preserve">משבר תעסוקתי, </w:t>
      </w:r>
      <w:r w:rsidR="00A956D2">
        <w:rPr>
          <w:rFonts w:cs="David" w:hint="cs"/>
          <w:sz w:val="24"/>
          <w:szCs w:val="24"/>
          <w:rtl/>
        </w:rPr>
        <w:t xml:space="preserve">משבר </w:t>
      </w:r>
      <w:proofErr w:type="spellStart"/>
      <w:r w:rsidR="00DB5253">
        <w:rPr>
          <w:rFonts w:cs="David" w:hint="cs"/>
          <w:sz w:val="24"/>
          <w:szCs w:val="24"/>
          <w:rtl/>
        </w:rPr>
        <w:t>דמוגראפי</w:t>
      </w:r>
      <w:proofErr w:type="spellEnd"/>
      <w:r w:rsidR="00A956D2">
        <w:rPr>
          <w:rFonts w:cs="David" w:hint="cs"/>
          <w:sz w:val="24"/>
          <w:szCs w:val="24"/>
          <w:rtl/>
        </w:rPr>
        <w:t>, פליטים ועקורים ומשבר ההגירה</w:t>
      </w:r>
      <w:r w:rsidR="00DB5253">
        <w:rPr>
          <w:rFonts w:cs="David" w:hint="cs"/>
          <w:sz w:val="24"/>
          <w:szCs w:val="24"/>
          <w:rtl/>
        </w:rPr>
        <w:t>.</w:t>
      </w:r>
      <w:r w:rsidR="00E4464D">
        <w:rPr>
          <w:rFonts w:cs="David" w:hint="cs"/>
          <w:sz w:val="24"/>
          <w:szCs w:val="24"/>
          <w:rtl/>
        </w:rPr>
        <w:t xml:space="preserve"> תיאור בעקיפין של צדדים אפלים מסייע בתחימת הדיון בתופעת הגלובליזציה ופתרון כשליה. מנגד, תופעה שלא תוגדר במישרין או בעקיפין כחלק מהגלובליזציה, לא תזכה ל"יומה" בדיון על תיקון כשליה. </w:t>
      </w:r>
      <w:r w:rsidR="007812D5">
        <w:rPr>
          <w:rFonts w:cs="David" w:hint="cs"/>
          <w:sz w:val="24"/>
          <w:szCs w:val="24"/>
          <w:rtl/>
        </w:rPr>
        <w:t xml:space="preserve">כך למשל נמנע המחבר מלזהות כוחות פוליטיים שאין לו ענין בהם, בתהליך הגלובליזציה, כגון כוחות הלוחמים בעד הגלובליזציה (בבחירות בארה"ב ב 2016, </w:t>
      </w:r>
      <w:proofErr w:type="spellStart"/>
      <w:r w:rsidR="007812D5">
        <w:rPr>
          <w:rFonts w:cs="David" w:hint="cs"/>
          <w:sz w:val="24"/>
          <w:szCs w:val="24"/>
          <w:rtl/>
        </w:rPr>
        <w:t>בברקזיט</w:t>
      </w:r>
      <w:proofErr w:type="spellEnd"/>
      <w:r w:rsidR="007812D5">
        <w:rPr>
          <w:rFonts w:cs="David" w:hint="cs"/>
          <w:sz w:val="24"/>
          <w:szCs w:val="24"/>
          <w:rtl/>
        </w:rPr>
        <w:t>) וכן תופעות של ניאו ליברליזם</w:t>
      </w:r>
      <w:r w:rsidR="007812D5">
        <w:rPr>
          <w:rStyle w:val="a7"/>
          <w:rFonts w:cs="David"/>
          <w:sz w:val="24"/>
          <w:szCs w:val="24"/>
          <w:rtl/>
        </w:rPr>
        <w:footnoteReference w:id="13"/>
      </w:r>
      <w:r w:rsidR="007812D5">
        <w:rPr>
          <w:rFonts w:cs="David" w:hint="cs"/>
          <w:sz w:val="24"/>
          <w:szCs w:val="24"/>
          <w:rtl/>
        </w:rPr>
        <w:t xml:space="preserve">. </w:t>
      </w:r>
    </w:p>
    <w:p w:rsidR="00E4464D" w:rsidRPr="0022640A" w:rsidRDefault="00E4464D" w:rsidP="00E4464D">
      <w:pPr>
        <w:pStyle w:val="a3"/>
        <w:ind w:left="1076"/>
        <w:jc w:val="both"/>
        <w:rPr>
          <w:rFonts w:cs="David" w:hint="cs"/>
          <w:sz w:val="24"/>
          <w:szCs w:val="24"/>
        </w:rPr>
      </w:pPr>
    </w:p>
    <w:p w:rsidR="0022640A" w:rsidRDefault="00F803E1" w:rsidP="00892C62">
      <w:pPr>
        <w:pStyle w:val="a3"/>
        <w:numPr>
          <w:ilvl w:val="1"/>
          <w:numId w:val="1"/>
        </w:numPr>
        <w:ind w:left="1076" w:hanging="425"/>
        <w:jc w:val="both"/>
        <w:rPr>
          <w:rFonts w:cs="David" w:hint="cs"/>
          <w:sz w:val="24"/>
          <w:szCs w:val="24"/>
          <w:u w:val="single"/>
        </w:rPr>
      </w:pPr>
      <w:r>
        <w:rPr>
          <w:rFonts w:cs="David" w:hint="cs"/>
          <w:sz w:val="24"/>
          <w:szCs w:val="24"/>
          <w:u w:val="single"/>
          <w:rtl/>
        </w:rPr>
        <w:t>הגישה המשמשת את המחבר בהמשגה, במפורש או במשתמע, והעדויות לכך</w:t>
      </w:r>
    </w:p>
    <w:p w:rsidR="00E35184" w:rsidRDefault="00CA4F24" w:rsidP="00F57BE5">
      <w:pPr>
        <w:pStyle w:val="a3"/>
        <w:ind w:left="1076"/>
        <w:jc w:val="both"/>
        <w:rPr>
          <w:rFonts w:cs="David" w:hint="cs"/>
          <w:sz w:val="24"/>
          <w:szCs w:val="24"/>
          <w:rtl/>
        </w:rPr>
      </w:pPr>
      <w:r>
        <w:rPr>
          <w:rFonts w:cs="David" w:hint="cs"/>
          <w:sz w:val="24"/>
          <w:szCs w:val="24"/>
          <w:rtl/>
        </w:rPr>
        <w:t xml:space="preserve">המחבר עושה שימוש </w:t>
      </w:r>
      <w:r w:rsidRPr="00D64C81">
        <w:rPr>
          <w:rFonts w:cs="David" w:hint="cs"/>
          <w:b/>
          <w:bCs/>
          <w:sz w:val="24"/>
          <w:szCs w:val="24"/>
          <w:rtl/>
        </w:rPr>
        <w:t>בגישה הפלורליסטית</w:t>
      </w:r>
      <w:r>
        <w:rPr>
          <w:rFonts w:cs="David" w:hint="cs"/>
          <w:sz w:val="24"/>
          <w:szCs w:val="24"/>
          <w:rtl/>
        </w:rPr>
        <w:t xml:space="preserve"> לצורך המשגת הגלובליזציה. </w:t>
      </w:r>
      <w:r w:rsidR="006C567B">
        <w:rPr>
          <w:rFonts w:cs="David" w:hint="cs"/>
          <w:sz w:val="24"/>
          <w:szCs w:val="24"/>
          <w:rtl/>
        </w:rPr>
        <w:t xml:space="preserve">לאורך הספר יש תיאור נרחב של מציאות מורכבת, ריבוי כוחות ואינטרסים המניעים את גלגלי הגלובליזציה. הבסיס </w:t>
      </w:r>
      <w:r w:rsidR="0076593E">
        <w:rPr>
          <w:rFonts w:cs="David" w:hint="cs"/>
          <w:sz w:val="24"/>
          <w:szCs w:val="24"/>
          <w:rtl/>
        </w:rPr>
        <w:t>לדיון</w:t>
      </w:r>
      <w:r w:rsidR="006C567B">
        <w:rPr>
          <w:rFonts w:cs="David" w:hint="cs"/>
          <w:sz w:val="24"/>
          <w:szCs w:val="24"/>
          <w:rtl/>
        </w:rPr>
        <w:t xml:space="preserve"> הוא ערכי, תרבותי</w:t>
      </w:r>
      <w:r w:rsidR="00F57BE5">
        <w:rPr>
          <w:rFonts w:cs="David" w:hint="cs"/>
          <w:sz w:val="24"/>
          <w:szCs w:val="24"/>
          <w:rtl/>
        </w:rPr>
        <w:t xml:space="preserve">, מכיל, </w:t>
      </w:r>
      <w:r w:rsidR="006C567B">
        <w:rPr>
          <w:rFonts w:cs="David" w:hint="cs"/>
          <w:sz w:val="24"/>
          <w:szCs w:val="24"/>
          <w:rtl/>
        </w:rPr>
        <w:t>ומבוסס על רעיון הדמוקרטיה הליברלית.</w:t>
      </w:r>
    </w:p>
    <w:p w:rsidR="009A02C8" w:rsidRPr="006C567B" w:rsidRDefault="009A02C8" w:rsidP="0076593E">
      <w:pPr>
        <w:pStyle w:val="a3"/>
        <w:ind w:left="1076"/>
        <w:jc w:val="both"/>
        <w:rPr>
          <w:rFonts w:cs="David" w:hint="cs"/>
          <w:sz w:val="24"/>
          <w:szCs w:val="24"/>
          <w:rtl/>
        </w:rPr>
      </w:pPr>
      <w:r>
        <w:rPr>
          <w:rFonts w:cs="David" w:hint="cs"/>
          <w:sz w:val="24"/>
          <w:szCs w:val="24"/>
          <w:rtl/>
        </w:rPr>
        <w:t xml:space="preserve">לאורך הספר מתאר המחבר את </w:t>
      </w:r>
      <w:r w:rsidR="00F57BE5">
        <w:rPr>
          <w:rFonts w:cs="David" w:hint="cs"/>
          <w:sz w:val="24"/>
          <w:szCs w:val="24"/>
          <w:rtl/>
        </w:rPr>
        <w:t xml:space="preserve">ריבוי </w:t>
      </w:r>
      <w:r w:rsidRPr="006C567B">
        <w:rPr>
          <w:rFonts w:cs="David" w:hint="cs"/>
          <w:sz w:val="24"/>
          <w:szCs w:val="24"/>
          <w:rtl/>
        </w:rPr>
        <w:t xml:space="preserve">מוקדי הכוח </w:t>
      </w:r>
      <w:r>
        <w:rPr>
          <w:rFonts w:cs="David" w:hint="cs"/>
          <w:sz w:val="24"/>
          <w:szCs w:val="24"/>
          <w:rtl/>
        </w:rPr>
        <w:t>השונים ביניהם</w:t>
      </w:r>
      <w:r w:rsidRPr="006C567B">
        <w:rPr>
          <w:rFonts w:cs="David" w:hint="cs"/>
          <w:sz w:val="24"/>
          <w:szCs w:val="24"/>
          <w:rtl/>
        </w:rPr>
        <w:t xml:space="preserve"> מעצמות כארה"ב, רוסיה וסין, מדינות הלאום, ארגונים בינלאומיים כדוגמת האו"ם, האיחוד האירופי; תאגידים בי</w:t>
      </w:r>
      <w:r w:rsidR="00642359">
        <w:rPr>
          <w:rFonts w:cs="David" w:hint="cs"/>
          <w:sz w:val="24"/>
          <w:szCs w:val="24"/>
          <w:rtl/>
        </w:rPr>
        <w:t xml:space="preserve">נלאומיים ובפרט ענקיות האינטרנט. במציאות שבה יש ריבוי כוחות, קובע המחבר כי במאה ה </w:t>
      </w:r>
      <w:r w:rsidR="00642359">
        <w:rPr>
          <w:rFonts w:cs="David"/>
          <w:sz w:val="24"/>
          <w:szCs w:val="24"/>
          <w:rtl/>
        </w:rPr>
        <w:t>–</w:t>
      </w:r>
      <w:r w:rsidR="00642359">
        <w:rPr>
          <w:rFonts w:cs="David" w:hint="cs"/>
          <w:sz w:val="24"/>
          <w:szCs w:val="24"/>
          <w:rtl/>
        </w:rPr>
        <w:t xml:space="preserve"> 21 ובמאה ה </w:t>
      </w:r>
      <w:r w:rsidR="00642359">
        <w:rPr>
          <w:rFonts w:cs="David"/>
          <w:sz w:val="24"/>
          <w:szCs w:val="24"/>
          <w:rtl/>
        </w:rPr>
        <w:t>–</w:t>
      </w:r>
      <w:r w:rsidR="00642359">
        <w:rPr>
          <w:rFonts w:cs="David" w:hint="cs"/>
          <w:sz w:val="24"/>
          <w:szCs w:val="24"/>
          <w:rtl/>
        </w:rPr>
        <w:t xml:space="preserve"> 22, בני א</w:t>
      </w:r>
      <w:r w:rsidR="0076593E">
        <w:rPr>
          <w:rFonts w:cs="David" w:hint="cs"/>
          <w:sz w:val="24"/>
          <w:szCs w:val="24"/>
          <w:rtl/>
        </w:rPr>
        <w:t>דם יאבקו עבור מדינתם, עמם ודתם  שכן "רק בטחון בכך שזהותם לא תמחק, תטען בבני אדם את העוצמה להיאבק עבור עקרונות גדולים יותר, כלל אנושיים, ורק סיפור ששוקד על צדק יוכל ללכד ולהעצים. "</w:t>
      </w:r>
      <w:r w:rsidR="0076593E">
        <w:rPr>
          <w:rStyle w:val="a7"/>
          <w:rFonts w:cs="David"/>
          <w:sz w:val="24"/>
          <w:szCs w:val="24"/>
          <w:rtl/>
        </w:rPr>
        <w:footnoteReference w:id="14"/>
      </w:r>
      <w:r w:rsidR="0076593E">
        <w:rPr>
          <w:rFonts w:cs="David" w:hint="cs"/>
          <w:sz w:val="24"/>
          <w:szCs w:val="24"/>
          <w:rtl/>
        </w:rPr>
        <w:t xml:space="preserve"> </w:t>
      </w:r>
    </w:p>
    <w:p w:rsidR="006C567B" w:rsidRDefault="006C567B" w:rsidP="00F57BE5">
      <w:pPr>
        <w:pStyle w:val="a3"/>
        <w:ind w:left="1076"/>
        <w:jc w:val="both"/>
        <w:rPr>
          <w:rFonts w:cs="David" w:hint="cs"/>
          <w:sz w:val="24"/>
          <w:szCs w:val="24"/>
          <w:rtl/>
        </w:rPr>
      </w:pPr>
      <w:r>
        <w:rPr>
          <w:rFonts w:cs="David" w:hint="cs"/>
          <w:sz w:val="24"/>
          <w:szCs w:val="24"/>
          <w:rtl/>
        </w:rPr>
        <w:t>המחבר קובע בספרו "</w:t>
      </w:r>
      <w:r w:rsidRPr="00F57BE5">
        <w:rPr>
          <w:rFonts w:cs="David" w:hint="cs"/>
          <w:sz w:val="24"/>
          <w:szCs w:val="24"/>
          <w:u w:val="single"/>
          <w:rtl/>
        </w:rPr>
        <w:t>אין מודל מצליח אחר לבד מגלובליזציה בעולם עם רוב דמוקרטי ליברלי</w:t>
      </w:r>
      <w:r>
        <w:rPr>
          <w:rFonts w:cs="David" w:hint="cs"/>
          <w:sz w:val="24"/>
          <w:szCs w:val="24"/>
          <w:rtl/>
        </w:rPr>
        <w:t>."</w:t>
      </w:r>
      <w:r>
        <w:rPr>
          <w:rStyle w:val="a7"/>
          <w:rFonts w:cs="David"/>
          <w:sz w:val="24"/>
          <w:szCs w:val="24"/>
          <w:rtl/>
        </w:rPr>
        <w:footnoteReference w:id="15"/>
      </w:r>
      <w:r>
        <w:rPr>
          <w:rFonts w:cs="David" w:hint="cs"/>
          <w:sz w:val="24"/>
          <w:szCs w:val="24"/>
          <w:rtl/>
        </w:rPr>
        <w:t xml:space="preserve"> </w:t>
      </w:r>
      <w:r w:rsidR="00DC1A2E">
        <w:rPr>
          <w:rFonts w:cs="David" w:hint="cs"/>
          <w:sz w:val="24"/>
          <w:szCs w:val="24"/>
          <w:rtl/>
        </w:rPr>
        <w:t xml:space="preserve">המחבר מדבר על השבת הלהט ל"טובים" כדבריו. אנשים </w:t>
      </w:r>
      <w:r w:rsidR="00642359">
        <w:rPr>
          <w:rFonts w:cs="David" w:hint="cs"/>
          <w:sz w:val="24"/>
          <w:szCs w:val="24"/>
          <w:rtl/>
        </w:rPr>
        <w:t>ערכיים</w:t>
      </w:r>
      <w:r w:rsidR="00DC1A2E">
        <w:rPr>
          <w:rFonts w:cs="David" w:hint="cs"/>
          <w:sz w:val="24"/>
          <w:szCs w:val="24"/>
          <w:rtl/>
        </w:rPr>
        <w:t xml:space="preserve"> "הרוב הדומם כולו שאיננו רוצה בניצחון של רדיקלים, פופוליסטים, פונדמנטליסטים וקיצוניים אחרים." בסוף דבריו מסכם המחבר "יש רק דגם מוצלח אחד של מדינה בעולם, וזהו הדגם של </w:t>
      </w:r>
      <w:r w:rsidR="00DC1A2E" w:rsidRPr="00F57BE5">
        <w:rPr>
          <w:rFonts w:cs="David" w:hint="cs"/>
          <w:sz w:val="24"/>
          <w:szCs w:val="24"/>
          <w:u w:val="single"/>
          <w:rtl/>
        </w:rPr>
        <w:t>מדי</w:t>
      </w:r>
      <w:r w:rsidR="00F57BE5" w:rsidRPr="00F57BE5">
        <w:rPr>
          <w:rFonts w:cs="David" w:hint="cs"/>
          <w:sz w:val="24"/>
          <w:szCs w:val="24"/>
          <w:u w:val="single"/>
          <w:rtl/>
        </w:rPr>
        <w:t>נם לאום דמוקרטית, ליברלית ופתוחה</w:t>
      </w:r>
      <w:r w:rsidR="00DC1A2E">
        <w:rPr>
          <w:rFonts w:cs="David" w:hint="cs"/>
          <w:sz w:val="24"/>
          <w:szCs w:val="24"/>
          <w:rtl/>
        </w:rPr>
        <w:t>"</w:t>
      </w:r>
      <w:r w:rsidR="00F57BE5">
        <w:rPr>
          <w:rFonts w:cs="David" w:hint="cs"/>
          <w:sz w:val="24"/>
          <w:szCs w:val="24"/>
          <w:rtl/>
        </w:rPr>
        <w:t xml:space="preserve"> וסביב הסיפור הישראלי, המהווה לדבריו סיפור הצלחה במציאות הגלובלית, "ניתן לייסד ערכים משותפים </w:t>
      </w:r>
      <w:r w:rsidR="00F57BE5" w:rsidRPr="00F57BE5">
        <w:rPr>
          <w:rFonts w:cs="David" w:hint="cs"/>
          <w:sz w:val="24"/>
          <w:szCs w:val="24"/>
          <w:u w:val="single"/>
          <w:rtl/>
        </w:rPr>
        <w:t>וישראליות רחבה</w:t>
      </w:r>
      <w:r w:rsidR="00F57BE5">
        <w:rPr>
          <w:rFonts w:cs="David" w:hint="cs"/>
          <w:sz w:val="24"/>
          <w:szCs w:val="24"/>
          <w:rtl/>
        </w:rPr>
        <w:t>."</w:t>
      </w:r>
      <w:r w:rsidR="00DC1A2E">
        <w:rPr>
          <w:rStyle w:val="a7"/>
          <w:rFonts w:cs="David"/>
          <w:sz w:val="24"/>
          <w:szCs w:val="24"/>
          <w:rtl/>
        </w:rPr>
        <w:footnoteReference w:id="16"/>
      </w:r>
      <w:r w:rsidR="00F57BE5">
        <w:rPr>
          <w:rFonts w:cs="David" w:hint="cs"/>
          <w:sz w:val="24"/>
          <w:szCs w:val="24"/>
          <w:rtl/>
        </w:rPr>
        <w:t xml:space="preserve"> </w:t>
      </w:r>
    </w:p>
    <w:p w:rsidR="006C567B" w:rsidRDefault="006C567B" w:rsidP="00E35184">
      <w:pPr>
        <w:pStyle w:val="a3"/>
        <w:ind w:left="1076"/>
        <w:jc w:val="both"/>
        <w:rPr>
          <w:rFonts w:cs="David" w:hint="cs"/>
          <w:sz w:val="24"/>
          <w:szCs w:val="24"/>
          <w:rtl/>
        </w:rPr>
      </w:pPr>
    </w:p>
    <w:p w:rsidR="00F803E1" w:rsidRDefault="00160C01" w:rsidP="00892C62">
      <w:pPr>
        <w:pStyle w:val="a3"/>
        <w:numPr>
          <w:ilvl w:val="1"/>
          <w:numId w:val="1"/>
        </w:numPr>
        <w:ind w:left="1076" w:hanging="425"/>
        <w:jc w:val="both"/>
        <w:rPr>
          <w:rFonts w:cs="David" w:hint="cs"/>
          <w:sz w:val="24"/>
          <w:szCs w:val="24"/>
          <w:u w:val="single"/>
        </w:rPr>
      </w:pPr>
      <w:r>
        <w:rPr>
          <w:rFonts w:cs="David" w:hint="cs"/>
          <w:sz w:val="24"/>
          <w:szCs w:val="24"/>
          <w:u w:val="single"/>
          <w:rtl/>
        </w:rPr>
        <w:t>יחסו של מחבר היצירה לגלובליזציה</w:t>
      </w:r>
    </w:p>
    <w:p w:rsidR="00385D51" w:rsidRDefault="00385D51" w:rsidP="00674009">
      <w:pPr>
        <w:pStyle w:val="a3"/>
        <w:ind w:left="1076"/>
        <w:jc w:val="both"/>
        <w:rPr>
          <w:rFonts w:cs="David" w:hint="cs"/>
          <w:sz w:val="24"/>
          <w:szCs w:val="24"/>
          <w:rtl/>
        </w:rPr>
      </w:pPr>
      <w:r>
        <w:rPr>
          <w:rFonts w:cs="David" w:hint="cs"/>
          <w:sz w:val="24"/>
          <w:szCs w:val="24"/>
          <w:rtl/>
        </w:rPr>
        <w:t xml:space="preserve">למרות תיאוריו הקשים, לעיתים אכזריים, של המחבר ביחס לצדדיה האפלים של הגלובליזציה, המחבר סבור </w:t>
      </w:r>
      <w:r w:rsidRPr="00385D51">
        <w:rPr>
          <w:rFonts w:cs="David" w:hint="cs"/>
          <w:b/>
          <w:bCs/>
          <w:sz w:val="24"/>
          <w:szCs w:val="24"/>
          <w:rtl/>
        </w:rPr>
        <w:t>שהגלובליזציה היא</w:t>
      </w:r>
      <w:r>
        <w:rPr>
          <w:rFonts w:cs="David" w:hint="cs"/>
          <w:b/>
          <w:bCs/>
          <w:sz w:val="24"/>
          <w:szCs w:val="24"/>
          <w:rtl/>
        </w:rPr>
        <w:t xml:space="preserve"> תהליך חיובי ביסודו </w:t>
      </w:r>
      <w:r w:rsidRPr="00385D51">
        <w:rPr>
          <w:rFonts w:cs="David" w:hint="cs"/>
          <w:sz w:val="24"/>
          <w:szCs w:val="24"/>
          <w:rtl/>
        </w:rPr>
        <w:t xml:space="preserve">ובממוצע, המצב האנושי השתפר באורח דרמטי. </w:t>
      </w:r>
      <w:r>
        <w:rPr>
          <w:rFonts w:cs="David" w:hint="cs"/>
          <w:sz w:val="24"/>
          <w:szCs w:val="24"/>
          <w:rtl/>
        </w:rPr>
        <w:t>העוני פחת, הבערות דעכה, מות ילדים בינקותם הולך וממוגר, מלחמות הפכו לאירוע נדיר ויוצא דופן, הזדמנויות חדשות נפתחו למאות מיליוני בני אדם במזרח ובדרום הגלובלי שהיו מנותקים מעולם השגשוג שנבנה במערב.</w:t>
      </w:r>
      <w:r w:rsidR="00E804AC">
        <w:rPr>
          <w:rStyle w:val="a7"/>
          <w:rFonts w:cs="David"/>
          <w:sz w:val="24"/>
          <w:szCs w:val="24"/>
          <w:rtl/>
        </w:rPr>
        <w:footnoteReference w:id="17"/>
      </w:r>
      <w:r>
        <w:rPr>
          <w:rFonts w:cs="David" w:hint="cs"/>
          <w:sz w:val="24"/>
          <w:szCs w:val="24"/>
          <w:rtl/>
        </w:rPr>
        <w:t xml:space="preserve"> </w:t>
      </w:r>
      <w:r w:rsidR="00674009">
        <w:rPr>
          <w:rFonts w:cs="David" w:hint="cs"/>
          <w:sz w:val="24"/>
          <w:szCs w:val="24"/>
          <w:rtl/>
        </w:rPr>
        <w:t xml:space="preserve">המחבר מדגיש כי </w:t>
      </w:r>
      <w:r>
        <w:rPr>
          <w:rFonts w:cs="David" w:hint="cs"/>
          <w:sz w:val="24"/>
          <w:szCs w:val="24"/>
          <w:rtl/>
        </w:rPr>
        <w:t>הגלובליזציה פגעה ברבים</w:t>
      </w:r>
      <w:r w:rsidR="00674009">
        <w:rPr>
          <w:rFonts w:cs="David" w:hint="cs"/>
          <w:sz w:val="24"/>
          <w:szCs w:val="24"/>
          <w:rtl/>
        </w:rPr>
        <w:t>, חותרת תחת יסודות הווייתם ומערערת את חייהם</w:t>
      </w:r>
      <w:r w:rsidR="00E804AC">
        <w:rPr>
          <w:rFonts w:cs="David" w:hint="cs"/>
          <w:sz w:val="24"/>
          <w:szCs w:val="24"/>
          <w:rtl/>
        </w:rPr>
        <w:t>, ועל כן מציע לנסות ולתקן כשלים בגלובליזציה המפורטים בספרו.</w:t>
      </w:r>
      <w:r w:rsidR="00E804AC">
        <w:rPr>
          <w:rStyle w:val="a7"/>
          <w:rFonts w:cs="David"/>
          <w:sz w:val="24"/>
          <w:szCs w:val="24"/>
          <w:rtl/>
        </w:rPr>
        <w:footnoteReference w:id="18"/>
      </w:r>
    </w:p>
    <w:p w:rsidR="00394EF7" w:rsidRPr="00385D51" w:rsidRDefault="00394EF7" w:rsidP="00674009">
      <w:pPr>
        <w:pStyle w:val="a3"/>
        <w:ind w:left="1076"/>
        <w:jc w:val="both"/>
        <w:rPr>
          <w:rFonts w:cs="David" w:hint="cs"/>
          <w:sz w:val="24"/>
          <w:szCs w:val="24"/>
        </w:rPr>
      </w:pPr>
    </w:p>
    <w:p w:rsidR="00892C62" w:rsidRDefault="00394EF7" w:rsidP="00892C62">
      <w:pPr>
        <w:pStyle w:val="a3"/>
        <w:numPr>
          <w:ilvl w:val="0"/>
          <w:numId w:val="1"/>
        </w:numPr>
        <w:ind w:left="635" w:hanging="635"/>
        <w:jc w:val="both"/>
        <w:rPr>
          <w:rFonts w:cs="David" w:hint="cs"/>
          <w:b/>
          <w:bCs/>
          <w:sz w:val="24"/>
          <w:szCs w:val="24"/>
          <w:u w:val="single"/>
        </w:rPr>
      </w:pPr>
      <w:r>
        <w:rPr>
          <w:rFonts w:cs="David" w:hint="cs"/>
          <w:b/>
          <w:bCs/>
          <w:sz w:val="24"/>
          <w:szCs w:val="24"/>
          <w:u w:val="single"/>
          <w:rtl/>
        </w:rPr>
        <w:t>ניתוח שתי ביקורות של היצירה</w:t>
      </w:r>
    </w:p>
    <w:p w:rsidR="00761241" w:rsidRDefault="00761241" w:rsidP="00761241">
      <w:pPr>
        <w:pStyle w:val="a3"/>
        <w:numPr>
          <w:ilvl w:val="1"/>
          <w:numId w:val="1"/>
        </w:numPr>
        <w:ind w:left="1076" w:hanging="425"/>
        <w:jc w:val="both"/>
        <w:rPr>
          <w:rFonts w:cs="David" w:hint="cs"/>
          <w:sz w:val="24"/>
          <w:szCs w:val="24"/>
          <w:u w:val="single"/>
        </w:rPr>
      </w:pPr>
      <w:r w:rsidRPr="00761241">
        <w:rPr>
          <w:rFonts w:cs="David" w:hint="cs"/>
          <w:sz w:val="24"/>
          <w:szCs w:val="24"/>
          <w:u w:val="single"/>
          <w:rtl/>
        </w:rPr>
        <w:t>האם הביקורת ליצירה אימצה גישה מחקרית שונה מהיצירה עצמה?</w:t>
      </w:r>
    </w:p>
    <w:p w:rsidR="007812D5" w:rsidRDefault="00761241" w:rsidP="00761241">
      <w:pPr>
        <w:pStyle w:val="a3"/>
        <w:numPr>
          <w:ilvl w:val="1"/>
          <w:numId w:val="1"/>
        </w:numPr>
        <w:ind w:left="1076" w:hanging="425"/>
        <w:jc w:val="both"/>
        <w:rPr>
          <w:rFonts w:cs="David"/>
          <w:sz w:val="24"/>
          <w:szCs w:val="24"/>
          <w:u w:val="single"/>
          <w:rtl/>
        </w:rPr>
      </w:pPr>
      <w:r>
        <w:rPr>
          <w:rFonts w:cs="David" w:hint="cs"/>
          <w:sz w:val="24"/>
          <w:szCs w:val="24"/>
          <w:u w:val="single"/>
          <w:rtl/>
        </w:rPr>
        <w:lastRenderedPageBreak/>
        <w:t>האם מקור הביקורת נובע מגישה מחקרית שונה, או מאותה גישה אבל נקודת מבט שונה? או שמא הביקורת, בסופו של דבר, מאמצת גישה דומה, ומהדהדת את עיקרי הטיעונים ביצירה?</w:t>
      </w:r>
    </w:p>
    <w:p w:rsidR="00761241" w:rsidRPr="00761241" w:rsidRDefault="00761241" w:rsidP="007812D5">
      <w:pPr>
        <w:pStyle w:val="a3"/>
        <w:ind w:left="1076"/>
        <w:jc w:val="both"/>
        <w:rPr>
          <w:rFonts w:cs="David" w:hint="cs"/>
          <w:sz w:val="24"/>
          <w:szCs w:val="24"/>
          <w:u w:val="single"/>
          <w:rtl/>
        </w:rPr>
      </w:pPr>
    </w:p>
    <w:p w:rsidR="00761241" w:rsidRDefault="00761241" w:rsidP="00761241">
      <w:pPr>
        <w:pStyle w:val="a3"/>
        <w:numPr>
          <w:ilvl w:val="0"/>
          <w:numId w:val="3"/>
        </w:numPr>
        <w:jc w:val="both"/>
        <w:rPr>
          <w:rFonts w:cs="David" w:hint="cs"/>
          <w:b/>
          <w:bCs/>
          <w:sz w:val="24"/>
          <w:szCs w:val="24"/>
        </w:rPr>
      </w:pPr>
      <w:r w:rsidRPr="00761241">
        <w:rPr>
          <w:rFonts w:cs="David" w:hint="cs"/>
          <w:b/>
          <w:bCs/>
          <w:sz w:val="24"/>
          <w:szCs w:val="24"/>
          <w:rtl/>
        </w:rPr>
        <w:t>"החדש של נדב איל- גם עיתונאי טוב יכול ליצר ספר שטחי"</w:t>
      </w:r>
      <w:r>
        <w:rPr>
          <w:rStyle w:val="a7"/>
          <w:rFonts w:cs="David"/>
          <w:b/>
          <w:bCs/>
          <w:sz w:val="24"/>
          <w:szCs w:val="24"/>
          <w:rtl/>
        </w:rPr>
        <w:footnoteReference w:id="19"/>
      </w:r>
      <w:r w:rsidRPr="00761241">
        <w:rPr>
          <w:rFonts w:cs="David" w:hint="cs"/>
          <w:b/>
          <w:bCs/>
          <w:sz w:val="24"/>
          <w:szCs w:val="24"/>
          <w:rtl/>
        </w:rPr>
        <w:t xml:space="preserve"> </w:t>
      </w:r>
    </w:p>
    <w:p w:rsidR="00813905" w:rsidRDefault="00813905" w:rsidP="00813905">
      <w:pPr>
        <w:pStyle w:val="a3"/>
        <w:ind w:left="995"/>
        <w:jc w:val="both"/>
        <w:rPr>
          <w:rFonts w:cs="David" w:hint="cs"/>
          <w:sz w:val="24"/>
          <w:szCs w:val="24"/>
          <w:rtl/>
        </w:rPr>
      </w:pPr>
    </w:p>
    <w:p w:rsidR="002C0599" w:rsidRDefault="007812D5" w:rsidP="006C5298">
      <w:pPr>
        <w:pStyle w:val="a3"/>
        <w:ind w:left="995"/>
        <w:jc w:val="both"/>
        <w:rPr>
          <w:rFonts w:cs="David" w:hint="cs"/>
          <w:sz w:val="24"/>
          <w:szCs w:val="24"/>
          <w:rtl/>
        </w:rPr>
      </w:pPr>
      <w:r>
        <w:rPr>
          <w:rFonts w:cs="David" w:hint="cs"/>
          <w:sz w:val="24"/>
          <w:szCs w:val="24"/>
          <w:rtl/>
        </w:rPr>
        <w:t xml:space="preserve">הביקורת ליצירה </w:t>
      </w:r>
      <w:r w:rsidR="00CD21F6">
        <w:rPr>
          <w:rFonts w:cs="David" w:hint="cs"/>
          <w:sz w:val="24"/>
          <w:szCs w:val="24"/>
          <w:rtl/>
        </w:rPr>
        <w:t xml:space="preserve">במאמר הנדון, </w:t>
      </w:r>
      <w:r>
        <w:rPr>
          <w:rFonts w:cs="David" w:hint="cs"/>
          <w:sz w:val="24"/>
          <w:szCs w:val="24"/>
          <w:rtl/>
        </w:rPr>
        <w:t xml:space="preserve">אימצה </w:t>
      </w:r>
      <w:r w:rsidR="00586FCA">
        <w:rPr>
          <w:rFonts w:cs="David" w:hint="cs"/>
          <w:sz w:val="24"/>
          <w:szCs w:val="24"/>
          <w:rtl/>
        </w:rPr>
        <w:t>ונבעה מ</w:t>
      </w:r>
      <w:r>
        <w:rPr>
          <w:rFonts w:cs="David" w:hint="cs"/>
          <w:sz w:val="24"/>
          <w:szCs w:val="24"/>
          <w:rtl/>
        </w:rPr>
        <w:t xml:space="preserve">גישה </w:t>
      </w:r>
      <w:r w:rsidR="00CD21F6">
        <w:rPr>
          <w:rFonts w:cs="David" w:hint="cs"/>
          <w:sz w:val="24"/>
          <w:szCs w:val="24"/>
          <w:rtl/>
        </w:rPr>
        <w:t xml:space="preserve">מחקרית שונה מהגישה הפלורליסטית שהוצגה ע"י נדב איל </w:t>
      </w:r>
      <w:r w:rsidR="00CD21F6">
        <w:rPr>
          <w:rFonts w:cs="David"/>
          <w:sz w:val="24"/>
          <w:szCs w:val="24"/>
          <w:rtl/>
        </w:rPr>
        <w:t>–</w:t>
      </w:r>
      <w:r w:rsidR="00CD21F6">
        <w:rPr>
          <w:rFonts w:cs="David" w:hint="cs"/>
          <w:sz w:val="24"/>
          <w:szCs w:val="24"/>
          <w:rtl/>
        </w:rPr>
        <w:t xml:space="preserve"> </w:t>
      </w:r>
      <w:r w:rsidR="00CD21F6" w:rsidRPr="00117F03">
        <w:rPr>
          <w:rFonts w:cs="David" w:hint="cs"/>
          <w:b/>
          <w:bCs/>
          <w:sz w:val="24"/>
          <w:szCs w:val="24"/>
          <w:rtl/>
        </w:rPr>
        <w:t xml:space="preserve">גישה </w:t>
      </w:r>
      <w:r w:rsidRPr="00117F03">
        <w:rPr>
          <w:rFonts w:cs="David" w:hint="cs"/>
          <w:b/>
          <w:bCs/>
          <w:sz w:val="24"/>
          <w:szCs w:val="24"/>
          <w:rtl/>
        </w:rPr>
        <w:t>מרקסיסטית סוציאליסטית</w:t>
      </w:r>
      <w:r>
        <w:rPr>
          <w:rFonts w:cs="David" w:hint="cs"/>
          <w:sz w:val="24"/>
          <w:szCs w:val="24"/>
          <w:rtl/>
        </w:rPr>
        <w:t xml:space="preserve">. המבקר טוען כי </w:t>
      </w:r>
      <w:r w:rsidR="002F4083">
        <w:rPr>
          <w:rFonts w:cs="David" w:hint="cs"/>
          <w:sz w:val="24"/>
          <w:szCs w:val="24"/>
          <w:rtl/>
        </w:rPr>
        <w:t xml:space="preserve">הצלחה, במונחי גלובליזציה, פירושה להרוויח כסף- זה העיקר. </w:t>
      </w:r>
      <w:r w:rsidR="00117F03">
        <w:rPr>
          <w:rFonts w:cs="David" w:hint="cs"/>
          <w:sz w:val="24"/>
          <w:szCs w:val="24"/>
          <w:rtl/>
        </w:rPr>
        <w:t xml:space="preserve">כל </w:t>
      </w:r>
      <w:r w:rsidR="006C5298">
        <w:rPr>
          <w:rFonts w:cs="David" w:hint="cs"/>
          <w:sz w:val="24"/>
          <w:szCs w:val="24"/>
          <w:rtl/>
        </w:rPr>
        <w:t xml:space="preserve">תופעה מוסברת ע"י המצב הכלכלי </w:t>
      </w:r>
      <w:r w:rsidR="00117F03">
        <w:rPr>
          <w:rFonts w:cs="David" w:hint="cs"/>
          <w:sz w:val="24"/>
          <w:szCs w:val="24"/>
          <w:rtl/>
        </w:rPr>
        <w:t xml:space="preserve">. </w:t>
      </w:r>
      <w:r w:rsidR="002C0599">
        <w:rPr>
          <w:rFonts w:cs="David" w:hint="cs"/>
          <w:sz w:val="24"/>
          <w:szCs w:val="24"/>
          <w:rtl/>
        </w:rPr>
        <w:t>לצד זאת</w:t>
      </w:r>
      <w:r w:rsidR="002F4083">
        <w:rPr>
          <w:rFonts w:cs="David" w:hint="cs"/>
          <w:sz w:val="24"/>
          <w:szCs w:val="24"/>
          <w:rtl/>
        </w:rPr>
        <w:t>, טוען המבקר כי העולם חדל לראות את "ערכי האדם והחברה והמוסר החברתי כמטרה ראשית, וזה משליך על כל המערכת."</w:t>
      </w:r>
      <w:r w:rsidR="00117F03">
        <w:rPr>
          <w:rFonts w:cs="David" w:hint="cs"/>
          <w:sz w:val="24"/>
          <w:szCs w:val="24"/>
          <w:rtl/>
        </w:rPr>
        <w:t xml:space="preserve"> </w:t>
      </w:r>
      <w:r w:rsidR="002C0599">
        <w:rPr>
          <w:rFonts w:cs="David" w:hint="cs"/>
          <w:sz w:val="24"/>
          <w:szCs w:val="24"/>
          <w:rtl/>
        </w:rPr>
        <w:t xml:space="preserve">עמדה זו הוצגה </w:t>
      </w:r>
      <w:r w:rsidR="00813905">
        <w:rPr>
          <w:rFonts w:cs="David" w:hint="cs"/>
          <w:sz w:val="24"/>
          <w:szCs w:val="24"/>
          <w:rtl/>
        </w:rPr>
        <w:t xml:space="preserve">בין השאר </w:t>
      </w:r>
      <w:r w:rsidR="002C0599">
        <w:rPr>
          <w:rFonts w:cs="David" w:hint="cs"/>
          <w:sz w:val="24"/>
          <w:szCs w:val="24"/>
          <w:rtl/>
        </w:rPr>
        <w:t xml:space="preserve">ע"י אסכולת פרנקפורט, </w:t>
      </w:r>
      <w:r w:rsidR="00813905">
        <w:rPr>
          <w:rFonts w:cs="David" w:hint="cs"/>
          <w:sz w:val="24"/>
          <w:szCs w:val="24"/>
          <w:rtl/>
        </w:rPr>
        <w:t>ש</w:t>
      </w:r>
      <w:r w:rsidR="002C0599">
        <w:rPr>
          <w:rFonts w:cs="David" w:hint="cs"/>
          <w:sz w:val="24"/>
          <w:szCs w:val="24"/>
          <w:rtl/>
        </w:rPr>
        <w:t>הרחיבה</w:t>
      </w:r>
      <w:r w:rsidR="002C0599" w:rsidRPr="002C0599">
        <w:rPr>
          <w:rFonts w:cs="David" w:hint="cs"/>
          <w:sz w:val="24"/>
          <w:szCs w:val="24"/>
          <w:rtl/>
        </w:rPr>
        <w:t xml:space="preserve"> את הביקורת המרקסיסטית על ה</w:t>
      </w:r>
      <w:hyperlink r:id="rId9" w:tooltip="קפיטליזם" w:history="1">
        <w:r w:rsidR="002C0599" w:rsidRPr="002C0599">
          <w:rPr>
            <w:rFonts w:cs="David" w:hint="cs"/>
            <w:rtl/>
          </w:rPr>
          <w:t>קפיטליזם</w:t>
        </w:r>
      </w:hyperlink>
      <w:r w:rsidR="002C0599" w:rsidRPr="002C0599">
        <w:rPr>
          <w:rFonts w:cs="David" w:hint="cs"/>
          <w:sz w:val="24"/>
          <w:szCs w:val="24"/>
          <w:rtl/>
        </w:rPr>
        <w:t> מן המוקד הכלכלי אל מוקדי תרבות וחברה רחבים יותר, אשר גם בהם שלטת לדעתם שתלטנות קפיטליסטית המכתיבה מוסכמות המסייעות לדיכוי</w:t>
      </w:r>
      <w:r w:rsidR="002C0599">
        <w:rPr>
          <w:rFonts w:cs="David" w:hint="cs"/>
          <w:sz w:val="24"/>
          <w:szCs w:val="24"/>
          <w:rtl/>
        </w:rPr>
        <w:t xml:space="preserve">. </w:t>
      </w:r>
    </w:p>
    <w:p w:rsidR="007F17DA" w:rsidRDefault="007F17DA" w:rsidP="00813905">
      <w:pPr>
        <w:pStyle w:val="a3"/>
        <w:ind w:left="995"/>
        <w:jc w:val="both"/>
        <w:rPr>
          <w:rFonts w:cs="David" w:hint="cs"/>
          <w:sz w:val="24"/>
          <w:szCs w:val="24"/>
          <w:rtl/>
        </w:rPr>
      </w:pPr>
    </w:p>
    <w:p w:rsidR="006C5298" w:rsidRDefault="007F17DA" w:rsidP="006C5298">
      <w:pPr>
        <w:pStyle w:val="a3"/>
        <w:ind w:left="995"/>
        <w:jc w:val="both"/>
        <w:rPr>
          <w:rFonts w:cs="David" w:hint="cs"/>
          <w:sz w:val="24"/>
          <w:szCs w:val="24"/>
          <w:rtl/>
        </w:rPr>
      </w:pPr>
      <w:r>
        <w:rPr>
          <w:rFonts w:cs="David" w:hint="cs"/>
          <w:sz w:val="24"/>
          <w:szCs w:val="24"/>
          <w:rtl/>
        </w:rPr>
        <w:t>בין הפתרונות שמונה המבקר</w:t>
      </w:r>
      <w:r w:rsidR="00E24320">
        <w:rPr>
          <w:rFonts w:cs="David" w:hint="cs"/>
          <w:sz w:val="24"/>
          <w:szCs w:val="24"/>
          <w:rtl/>
        </w:rPr>
        <w:t>,</w:t>
      </w:r>
      <w:r>
        <w:rPr>
          <w:rFonts w:cs="David" w:hint="cs"/>
          <w:sz w:val="24"/>
          <w:szCs w:val="24"/>
          <w:rtl/>
        </w:rPr>
        <w:t xml:space="preserve"> ואשר לטעמו לא נבחנו ע"י המחבר, נמנים: חידוש מדינת הרווחה, קבלת אחריות של המדינה לחינוך ובריאות, צמצום ההפרטות המהוות מקור להשחתה וניכור וכן צמצום תחושת הזרות.  </w:t>
      </w:r>
    </w:p>
    <w:p w:rsidR="007F17DA" w:rsidRDefault="006C5298" w:rsidP="006C5298">
      <w:pPr>
        <w:pStyle w:val="a3"/>
        <w:ind w:left="995"/>
        <w:jc w:val="both"/>
        <w:rPr>
          <w:rFonts w:cs="David" w:hint="cs"/>
          <w:sz w:val="24"/>
          <w:szCs w:val="24"/>
          <w:rtl/>
        </w:rPr>
      </w:pPr>
      <w:r>
        <w:rPr>
          <w:rFonts w:cs="David" w:hint="cs"/>
          <w:sz w:val="24"/>
          <w:szCs w:val="24"/>
          <w:rtl/>
        </w:rPr>
        <w:t xml:space="preserve">פתרונות אלו לקוחים מהתפיסה הסוציאל דמוקרטית התומכת במדינת רווחה ומתבססת על זכויות חברתיות הכוללות זכות לחינוך וזכות לבריאות. בנוסף, תחושת הניכור והזרות </w:t>
      </w:r>
      <w:r w:rsidRPr="00F7753E">
        <w:rPr>
          <w:rFonts w:cs="David"/>
          <w:sz w:val="24"/>
          <w:szCs w:val="24"/>
          <w:rtl/>
        </w:rPr>
        <w:t>של האדם מתוצרי עבודתו, וכתוצאה מכך מהמשפחה, מהקהילה ולמעשה מהחברה כולה</w:t>
      </w:r>
      <w:r>
        <w:rPr>
          <w:rFonts w:cs="David" w:hint="cs"/>
          <w:sz w:val="24"/>
          <w:szCs w:val="24"/>
          <w:rtl/>
        </w:rPr>
        <w:t>, הינה לדעת מרקס, תוצר של המוסדות החברתיים הקפיטליסטים ו</w:t>
      </w:r>
      <w:r w:rsidRPr="00F7753E">
        <w:rPr>
          <w:rFonts w:cs="David"/>
          <w:sz w:val="24"/>
          <w:szCs w:val="24"/>
          <w:rtl/>
        </w:rPr>
        <w:t>הניצול הכלכלי המובנה בשיטה.</w:t>
      </w:r>
      <w:r>
        <w:rPr>
          <w:rFonts w:cs="David" w:hint="cs"/>
          <w:sz w:val="24"/>
          <w:szCs w:val="24"/>
          <w:rtl/>
        </w:rPr>
        <w:t xml:space="preserve"> </w:t>
      </w:r>
    </w:p>
    <w:p w:rsidR="00813905" w:rsidRDefault="00813905" w:rsidP="002C0599">
      <w:pPr>
        <w:pStyle w:val="a3"/>
        <w:ind w:left="995"/>
        <w:jc w:val="both"/>
        <w:rPr>
          <w:rFonts w:cs="David" w:hint="cs"/>
          <w:sz w:val="24"/>
          <w:szCs w:val="24"/>
          <w:rtl/>
        </w:rPr>
      </w:pPr>
    </w:p>
    <w:p w:rsidR="007F17DA" w:rsidRDefault="006C5298" w:rsidP="006C5298">
      <w:pPr>
        <w:pStyle w:val="a3"/>
        <w:ind w:left="995"/>
        <w:jc w:val="both"/>
        <w:rPr>
          <w:rFonts w:cs="David" w:hint="cs"/>
          <w:sz w:val="24"/>
          <w:szCs w:val="24"/>
          <w:rtl/>
        </w:rPr>
      </w:pPr>
      <w:r>
        <w:rPr>
          <w:rFonts w:cs="David" w:hint="cs"/>
          <w:sz w:val="24"/>
          <w:szCs w:val="24"/>
          <w:rtl/>
        </w:rPr>
        <w:t xml:space="preserve">בהמשך דבריו מציין המבקר כי </w:t>
      </w:r>
      <w:r w:rsidR="00117F03">
        <w:rPr>
          <w:rFonts w:cs="David" w:hint="cs"/>
          <w:sz w:val="24"/>
          <w:szCs w:val="24"/>
          <w:rtl/>
        </w:rPr>
        <w:t xml:space="preserve">האדם הוא אגואיסט, והוא פועל לפי התועלתנות האישית שלו. עם זאת, טוען המבקר כי האדם הוא יצור חברתי ואם אין לו תחושת אחריות כלפי החברה, לא יכולה להתקיים חברה הוגנת. </w:t>
      </w:r>
      <w:r>
        <w:rPr>
          <w:rFonts w:cs="David" w:hint="cs"/>
          <w:sz w:val="24"/>
          <w:szCs w:val="24"/>
          <w:rtl/>
        </w:rPr>
        <w:t xml:space="preserve">האגואיזם הוא תוצר של החברה הקפיטליסטית ואילו בבסיס הסוציאליזם עומדת ההנחה כי האדם הוא יצור חברתי. </w:t>
      </w:r>
    </w:p>
    <w:p w:rsidR="007F17DA" w:rsidRDefault="007F17DA" w:rsidP="002C0599">
      <w:pPr>
        <w:pStyle w:val="a3"/>
        <w:ind w:left="995"/>
        <w:jc w:val="both"/>
        <w:rPr>
          <w:rFonts w:cs="David" w:hint="cs"/>
          <w:sz w:val="24"/>
          <w:szCs w:val="24"/>
          <w:rtl/>
        </w:rPr>
      </w:pPr>
    </w:p>
    <w:p w:rsidR="007812D5" w:rsidRDefault="00117F03" w:rsidP="006C5298">
      <w:pPr>
        <w:pStyle w:val="a3"/>
        <w:ind w:left="995"/>
        <w:jc w:val="both"/>
        <w:rPr>
          <w:rFonts w:cs="David" w:hint="cs"/>
          <w:sz w:val="24"/>
          <w:szCs w:val="24"/>
          <w:rtl/>
        </w:rPr>
      </w:pPr>
      <w:r>
        <w:rPr>
          <w:rFonts w:cs="David" w:hint="cs"/>
          <w:sz w:val="24"/>
          <w:szCs w:val="24"/>
          <w:rtl/>
        </w:rPr>
        <w:t>יש להפסיק את התעמולה המטפחת את הצרכנות, שהפכה לאידיאל חיים ולטפח אתוס אחר. המבקר מתייחס לתודעה החדשה שהגלובליזציה יצרה במוחם של מי שנולדו לתוכה</w:t>
      </w:r>
      <w:r w:rsidR="006C5298">
        <w:rPr>
          <w:rFonts w:cs="David" w:hint="cs"/>
          <w:sz w:val="24"/>
          <w:szCs w:val="24"/>
          <w:rtl/>
        </w:rPr>
        <w:t xml:space="preserve"> (התודעה הכוזבת)</w:t>
      </w:r>
      <w:r>
        <w:rPr>
          <w:rFonts w:cs="David" w:hint="cs"/>
          <w:sz w:val="24"/>
          <w:szCs w:val="24"/>
          <w:rtl/>
        </w:rPr>
        <w:t xml:space="preserve">. לבסוף מציע המחבר טלטלה עולמית עזה, </w:t>
      </w:r>
      <w:r w:rsidR="006C5298">
        <w:rPr>
          <w:rFonts w:cs="David" w:hint="cs"/>
          <w:sz w:val="24"/>
          <w:szCs w:val="24"/>
          <w:rtl/>
        </w:rPr>
        <w:t>שינוי השיטה הכלכלית,</w:t>
      </w:r>
      <w:r>
        <w:rPr>
          <w:rFonts w:cs="David" w:hint="cs"/>
          <w:sz w:val="24"/>
          <w:szCs w:val="24"/>
          <w:rtl/>
        </w:rPr>
        <w:t xml:space="preserve"> </w:t>
      </w:r>
      <w:r w:rsidR="006C5298">
        <w:rPr>
          <w:rFonts w:cs="David" w:hint="cs"/>
          <w:sz w:val="24"/>
          <w:szCs w:val="24"/>
          <w:rtl/>
        </w:rPr>
        <w:t xml:space="preserve">שבלעדיה </w:t>
      </w:r>
      <w:r>
        <w:rPr>
          <w:rFonts w:cs="David" w:hint="cs"/>
          <w:sz w:val="24"/>
          <w:szCs w:val="24"/>
          <w:rtl/>
        </w:rPr>
        <w:t xml:space="preserve">לא יתמתנו הפערים וחלומם של רבים יקרוס לנוכח העוצמה הדורסנית של המשק הגלובלי.  </w:t>
      </w:r>
      <w:r w:rsidR="006C5298">
        <w:rPr>
          <w:rFonts w:cs="David" w:hint="cs"/>
          <w:sz w:val="24"/>
          <w:szCs w:val="24"/>
          <w:rtl/>
        </w:rPr>
        <w:t>טלטלה זו היא המהפכה בהתאם לגישה המרקסיסטית וביטול הקפיטליזם.</w:t>
      </w:r>
    </w:p>
    <w:p w:rsidR="00117F03" w:rsidRDefault="00117F03" w:rsidP="00117F03">
      <w:pPr>
        <w:pStyle w:val="a3"/>
        <w:ind w:left="995"/>
        <w:jc w:val="both"/>
        <w:rPr>
          <w:rFonts w:cs="David" w:hint="cs"/>
          <w:b/>
          <w:bCs/>
          <w:sz w:val="24"/>
          <w:szCs w:val="24"/>
          <w:rtl/>
        </w:rPr>
      </w:pPr>
    </w:p>
    <w:p w:rsidR="00761241" w:rsidRDefault="00761241" w:rsidP="00761241">
      <w:pPr>
        <w:pStyle w:val="a3"/>
        <w:numPr>
          <w:ilvl w:val="0"/>
          <w:numId w:val="3"/>
        </w:numPr>
        <w:jc w:val="both"/>
        <w:rPr>
          <w:rFonts w:cs="David" w:hint="cs"/>
          <w:b/>
          <w:bCs/>
          <w:sz w:val="24"/>
          <w:szCs w:val="24"/>
        </w:rPr>
      </w:pPr>
      <w:r>
        <w:rPr>
          <w:rFonts w:cs="David" w:hint="cs"/>
          <w:b/>
          <w:bCs/>
          <w:sz w:val="24"/>
          <w:szCs w:val="24"/>
          <w:rtl/>
        </w:rPr>
        <w:t>"המרד נגד הגלובליזציה: כך קולע נדב איל לטעמו של מעמד הביניים הישראלי."</w:t>
      </w:r>
      <w:bookmarkStart w:id="3" w:name="_Ref25637340"/>
      <w:r>
        <w:rPr>
          <w:rStyle w:val="a7"/>
          <w:rFonts w:cs="David"/>
          <w:b/>
          <w:bCs/>
          <w:sz w:val="24"/>
          <w:szCs w:val="24"/>
          <w:rtl/>
        </w:rPr>
        <w:footnoteReference w:id="20"/>
      </w:r>
      <w:bookmarkEnd w:id="3"/>
    </w:p>
    <w:p w:rsidR="00683AE3" w:rsidRDefault="00485CEF" w:rsidP="00586FCA">
      <w:pPr>
        <w:pStyle w:val="a3"/>
        <w:ind w:left="995"/>
        <w:jc w:val="both"/>
        <w:rPr>
          <w:rFonts w:cs="David" w:hint="cs"/>
          <w:sz w:val="24"/>
          <w:szCs w:val="24"/>
          <w:rtl/>
        </w:rPr>
      </w:pPr>
      <w:r w:rsidRPr="00485CEF">
        <w:rPr>
          <w:rFonts w:cs="David" w:hint="cs"/>
          <w:sz w:val="24"/>
          <w:szCs w:val="24"/>
          <w:rtl/>
        </w:rPr>
        <w:t>מאמר זה</w:t>
      </w:r>
      <w:r>
        <w:rPr>
          <w:rFonts w:cs="David" w:hint="cs"/>
          <w:sz w:val="24"/>
          <w:szCs w:val="24"/>
          <w:rtl/>
        </w:rPr>
        <w:t xml:space="preserve">, כקודמו, מאמץ </w:t>
      </w:r>
      <w:r w:rsidR="00586FCA">
        <w:rPr>
          <w:rFonts w:cs="David" w:hint="cs"/>
          <w:sz w:val="24"/>
          <w:szCs w:val="24"/>
          <w:rtl/>
        </w:rPr>
        <w:t xml:space="preserve">ונובע </w:t>
      </w:r>
      <w:r>
        <w:rPr>
          <w:rFonts w:cs="David" w:hint="cs"/>
          <w:sz w:val="24"/>
          <w:szCs w:val="24"/>
          <w:rtl/>
        </w:rPr>
        <w:t xml:space="preserve">אף הוא </w:t>
      </w:r>
      <w:r w:rsidR="00586FCA">
        <w:rPr>
          <w:rFonts w:cs="David" w:hint="cs"/>
          <w:sz w:val="24"/>
          <w:szCs w:val="24"/>
          <w:rtl/>
        </w:rPr>
        <w:t>מ</w:t>
      </w:r>
      <w:r w:rsidR="00586FCA">
        <w:rPr>
          <w:rFonts w:cs="David" w:hint="cs"/>
          <w:b/>
          <w:bCs/>
          <w:sz w:val="24"/>
          <w:szCs w:val="24"/>
          <w:rtl/>
        </w:rPr>
        <w:t>ה</w:t>
      </w:r>
      <w:r w:rsidRPr="00485CEF">
        <w:rPr>
          <w:rFonts w:cs="David" w:hint="cs"/>
          <w:b/>
          <w:bCs/>
          <w:sz w:val="24"/>
          <w:szCs w:val="24"/>
          <w:rtl/>
        </w:rPr>
        <w:t>גישה המרקסיסטית</w:t>
      </w:r>
      <w:r w:rsidR="000D3C24">
        <w:rPr>
          <w:rFonts w:cs="David" w:hint="cs"/>
          <w:b/>
          <w:bCs/>
          <w:sz w:val="24"/>
          <w:szCs w:val="24"/>
          <w:rtl/>
        </w:rPr>
        <w:t xml:space="preserve"> סוציאליסטית</w:t>
      </w:r>
      <w:r>
        <w:rPr>
          <w:rFonts w:cs="David" w:hint="cs"/>
          <w:sz w:val="24"/>
          <w:szCs w:val="24"/>
          <w:rtl/>
        </w:rPr>
        <w:t xml:space="preserve">. </w:t>
      </w:r>
      <w:r w:rsidR="000D3C24">
        <w:rPr>
          <w:rFonts w:cs="David" w:hint="cs"/>
          <w:sz w:val="24"/>
          <w:szCs w:val="24"/>
          <w:rtl/>
        </w:rPr>
        <w:t xml:space="preserve">המבקר טוען כי המדיניות הניאו ליברלית, היא שגורמת לכשלי הגלובליזציה, ומחוללת אי שוויון כלכלי ופערים חברתיים בישראל וכי יש לשקם את הביטחון החברתי על ידי עצירת ההפרטה וכינון מדינת רווחה רחבה ואוניברסלית.  </w:t>
      </w:r>
    </w:p>
    <w:p w:rsidR="00485CEF" w:rsidRDefault="000D3C24" w:rsidP="00683AE3">
      <w:pPr>
        <w:pStyle w:val="a3"/>
        <w:ind w:left="995"/>
        <w:jc w:val="both"/>
        <w:rPr>
          <w:rFonts w:cs="David" w:hint="cs"/>
          <w:sz w:val="24"/>
          <w:szCs w:val="24"/>
          <w:rtl/>
        </w:rPr>
      </w:pPr>
      <w:r>
        <w:rPr>
          <w:rFonts w:cs="David" w:hint="cs"/>
          <w:sz w:val="24"/>
          <w:szCs w:val="24"/>
          <w:rtl/>
        </w:rPr>
        <w:t xml:space="preserve">המבקר טוען כי המחבר מייצר מצג שווא של העדר רצון פוליטי לשינוי חברתי. זאת באמצעות עובדות שאינן תומכות במסקנתו אלא ההיפך, פרשנות מוטה של עובדות, </w:t>
      </w:r>
      <w:r>
        <w:rPr>
          <w:rFonts w:cs="David" w:hint="cs"/>
          <w:sz w:val="24"/>
          <w:szCs w:val="24"/>
          <w:rtl/>
        </w:rPr>
        <w:lastRenderedPageBreak/>
        <w:t xml:space="preserve">מחיקת ברירות אפשריות  - הימנעות מהמשגת תופעות כניאו ליברליזם על מנת שלא לעורר רצון פוליטי למאבק. מצג השווא המתואר על ידי המבקר הוא למעשה תודעה כוזבת שמייצר המחבר, </w:t>
      </w:r>
      <w:r>
        <w:rPr>
          <w:rFonts w:cs="David"/>
          <w:sz w:val="24"/>
          <w:szCs w:val="24"/>
          <w:rtl/>
        </w:rPr>
        <w:t>שעל</w:t>
      </w:r>
      <w:r>
        <w:rPr>
          <w:rFonts w:cs="David" w:hint="cs"/>
          <w:sz w:val="24"/>
          <w:szCs w:val="24"/>
          <w:rtl/>
        </w:rPr>
        <w:t xml:space="preserve"> </w:t>
      </w:r>
      <w:r w:rsidRPr="00AE776F">
        <w:rPr>
          <w:rFonts w:cs="David"/>
          <w:sz w:val="24"/>
          <w:szCs w:val="24"/>
          <w:rtl/>
        </w:rPr>
        <w:t xml:space="preserve">פי התפישה המרקסיסטית </w:t>
      </w:r>
      <w:r>
        <w:rPr>
          <w:rFonts w:cs="David" w:hint="cs"/>
          <w:sz w:val="24"/>
          <w:szCs w:val="24"/>
          <w:rtl/>
        </w:rPr>
        <w:t>גורמת לאנשים</w:t>
      </w:r>
      <w:r w:rsidRPr="00AE776F">
        <w:rPr>
          <w:rFonts w:cs="David"/>
          <w:sz w:val="24"/>
          <w:szCs w:val="24"/>
          <w:rtl/>
        </w:rPr>
        <w:t xml:space="preserve"> </w:t>
      </w:r>
      <w:r>
        <w:rPr>
          <w:rFonts w:cs="David" w:hint="cs"/>
          <w:sz w:val="24"/>
          <w:szCs w:val="24"/>
          <w:rtl/>
        </w:rPr>
        <w:t>ה</w:t>
      </w:r>
      <w:r w:rsidRPr="00AE776F">
        <w:rPr>
          <w:rFonts w:cs="David"/>
          <w:sz w:val="24"/>
          <w:szCs w:val="24"/>
          <w:rtl/>
        </w:rPr>
        <w:t xml:space="preserve">מנוצלים כלכלית ומדוכאים מבחינה חברתית ופוליטית, </w:t>
      </w:r>
      <w:r>
        <w:rPr>
          <w:rFonts w:cs="David" w:hint="cs"/>
          <w:sz w:val="24"/>
          <w:szCs w:val="24"/>
          <w:rtl/>
        </w:rPr>
        <w:t>לפעול</w:t>
      </w:r>
      <w:r w:rsidRPr="00AE776F">
        <w:rPr>
          <w:rFonts w:cs="David"/>
          <w:sz w:val="24"/>
          <w:szCs w:val="24"/>
          <w:rtl/>
        </w:rPr>
        <w:t xml:space="preserve"> באופן המנוגד למה שנתפש כאינטרס המעמדי </w:t>
      </w:r>
      <w:proofErr w:type="spellStart"/>
      <w:r w:rsidRPr="00AE776F">
        <w:rPr>
          <w:rFonts w:cs="David"/>
          <w:sz w:val="24"/>
          <w:szCs w:val="24"/>
          <w:rtl/>
        </w:rPr>
        <w:t>האמיתי</w:t>
      </w:r>
      <w:proofErr w:type="spellEnd"/>
      <w:r w:rsidRPr="00AE776F">
        <w:rPr>
          <w:rFonts w:cs="David"/>
          <w:sz w:val="24"/>
          <w:szCs w:val="24"/>
          <w:rtl/>
        </w:rPr>
        <w:t xml:space="preserve"> שלהם.</w:t>
      </w:r>
      <w:r w:rsidR="0006479B">
        <w:rPr>
          <w:rFonts w:cs="David" w:hint="cs"/>
          <w:sz w:val="24"/>
          <w:szCs w:val="24"/>
          <w:rtl/>
        </w:rPr>
        <w:t xml:space="preserve"> התודעה הכוזבת מונעת יצירת מודעות פוליטית למצבם. </w:t>
      </w:r>
      <w:r w:rsidR="002318C5">
        <w:rPr>
          <w:rFonts w:cs="David" w:hint="cs"/>
          <w:sz w:val="24"/>
          <w:szCs w:val="24"/>
          <w:rtl/>
        </w:rPr>
        <w:t xml:space="preserve">אמצעי התקשורת, לרבות המדיה הכתובה, מציגים לכאורה ריבוי קולות ונרטיב אישי ועוזרים בכך לשמר אינטרסים קפיטליסטיים ניאו ליברליים ומטשטשים פערים מעמדיים בחברה. </w:t>
      </w:r>
    </w:p>
    <w:p w:rsidR="00586FCA" w:rsidRPr="00485CEF" w:rsidRDefault="00586FCA" w:rsidP="00683AE3">
      <w:pPr>
        <w:pStyle w:val="a3"/>
        <w:ind w:left="995"/>
        <w:jc w:val="both"/>
        <w:rPr>
          <w:rFonts w:cs="David" w:hint="cs"/>
          <w:sz w:val="24"/>
          <w:szCs w:val="24"/>
        </w:rPr>
      </w:pPr>
    </w:p>
    <w:p w:rsidR="001F0614" w:rsidRDefault="002318C5" w:rsidP="005A732E">
      <w:pPr>
        <w:pStyle w:val="a3"/>
        <w:numPr>
          <w:ilvl w:val="0"/>
          <w:numId w:val="1"/>
        </w:numPr>
        <w:ind w:left="635" w:hanging="635"/>
        <w:jc w:val="both"/>
        <w:rPr>
          <w:rFonts w:cs="David" w:hint="cs"/>
          <w:b/>
          <w:bCs/>
          <w:sz w:val="24"/>
          <w:szCs w:val="24"/>
          <w:u w:val="single"/>
        </w:rPr>
      </w:pPr>
      <w:r>
        <w:rPr>
          <w:rFonts w:cs="David" w:hint="cs"/>
          <w:b/>
          <w:bCs/>
          <w:sz w:val="24"/>
          <w:szCs w:val="24"/>
          <w:u w:val="single"/>
          <w:rtl/>
        </w:rPr>
        <w:t xml:space="preserve">אימוץ גישה מחקרית שונה והצעת שינויים ביצירה בהתאם לגישה זו </w:t>
      </w:r>
      <w:r>
        <w:rPr>
          <w:rFonts w:cs="David"/>
          <w:b/>
          <w:bCs/>
          <w:sz w:val="24"/>
          <w:szCs w:val="24"/>
          <w:u w:val="single"/>
          <w:rtl/>
        </w:rPr>
        <w:t>–</w:t>
      </w:r>
      <w:r>
        <w:rPr>
          <w:rFonts w:cs="David" w:hint="cs"/>
          <w:b/>
          <w:bCs/>
          <w:sz w:val="24"/>
          <w:szCs w:val="24"/>
          <w:u w:val="single"/>
          <w:rtl/>
        </w:rPr>
        <w:t xml:space="preserve"> </w:t>
      </w:r>
      <w:r w:rsidR="005A732E">
        <w:rPr>
          <w:rFonts w:cs="David" w:hint="cs"/>
          <w:b/>
          <w:bCs/>
          <w:sz w:val="24"/>
          <w:szCs w:val="24"/>
          <w:u w:val="single"/>
          <w:rtl/>
        </w:rPr>
        <w:t xml:space="preserve">גישת ה </w:t>
      </w:r>
      <w:r w:rsidR="005A732E">
        <w:rPr>
          <w:rFonts w:cs="David"/>
          <w:b/>
          <w:bCs/>
          <w:sz w:val="24"/>
          <w:szCs w:val="24"/>
          <w:u w:val="single"/>
        </w:rPr>
        <w:t>Public Choice</w:t>
      </w:r>
      <w:r>
        <w:rPr>
          <w:rFonts w:cs="David" w:hint="cs"/>
          <w:b/>
          <w:bCs/>
          <w:sz w:val="24"/>
          <w:szCs w:val="24"/>
          <w:u w:val="single"/>
          <w:rtl/>
        </w:rPr>
        <w:t>:</w:t>
      </w:r>
    </w:p>
    <w:p w:rsidR="005A732E" w:rsidRDefault="005A732E" w:rsidP="005A732E">
      <w:pPr>
        <w:pStyle w:val="a3"/>
        <w:ind w:left="635"/>
        <w:jc w:val="both"/>
        <w:rPr>
          <w:rFonts w:cs="David" w:hint="cs"/>
          <w:sz w:val="24"/>
          <w:szCs w:val="24"/>
          <w:rtl/>
        </w:rPr>
      </w:pPr>
    </w:p>
    <w:p w:rsidR="00F444B5" w:rsidRDefault="00F444B5" w:rsidP="00F444B5">
      <w:pPr>
        <w:pStyle w:val="a3"/>
        <w:ind w:left="635"/>
        <w:jc w:val="both"/>
        <w:rPr>
          <w:rFonts w:cs="David" w:hint="cs"/>
          <w:sz w:val="24"/>
          <w:szCs w:val="24"/>
          <w:rtl/>
        </w:rPr>
      </w:pPr>
      <w:r>
        <w:rPr>
          <w:rFonts w:cs="David" w:hint="cs"/>
          <w:sz w:val="24"/>
          <w:szCs w:val="24"/>
          <w:rtl/>
        </w:rPr>
        <w:t xml:space="preserve">הגישה דוגלת בהפחתת רגולציה, הפחתת סמכויות והתערבות ממשלתית. הקטנת השירות הציבורי. </w:t>
      </w:r>
    </w:p>
    <w:p w:rsidR="00E4175D" w:rsidRDefault="00F444B5" w:rsidP="00F444B5">
      <w:pPr>
        <w:pStyle w:val="a3"/>
        <w:ind w:left="635"/>
        <w:jc w:val="both"/>
        <w:rPr>
          <w:rFonts w:cs="David" w:hint="cs"/>
          <w:sz w:val="24"/>
          <w:szCs w:val="24"/>
          <w:rtl/>
        </w:rPr>
      </w:pPr>
      <w:r>
        <w:rPr>
          <w:rFonts w:cs="David" w:hint="cs"/>
          <w:sz w:val="24"/>
          <w:szCs w:val="24"/>
          <w:rtl/>
        </w:rPr>
        <w:t xml:space="preserve"> </w:t>
      </w:r>
      <w:r w:rsidR="00E4175D">
        <w:rPr>
          <w:rFonts w:cs="David" w:hint="cs"/>
          <w:sz w:val="24"/>
          <w:szCs w:val="24"/>
          <w:rtl/>
        </w:rPr>
        <w:t>גישה זו מזהה ארבעה סוגי שחקנים:</w:t>
      </w:r>
    </w:p>
    <w:p w:rsidR="00405023" w:rsidRDefault="00E4175D" w:rsidP="00A27122">
      <w:pPr>
        <w:pStyle w:val="a3"/>
        <w:numPr>
          <w:ilvl w:val="0"/>
          <w:numId w:val="5"/>
        </w:numPr>
        <w:jc w:val="both"/>
        <w:rPr>
          <w:rFonts w:cs="David" w:hint="cs"/>
          <w:sz w:val="24"/>
          <w:szCs w:val="24"/>
        </w:rPr>
      </w:pPr>
      <w:r w:rsidRPr="0088414F">
        <w:rPr>
          <w:rFonts w:cs="David" w:hint="cs"/>
          <w:b/>
          <w:bCs/>
          <w:sz w:val="24"/>
          <w:szCs w:val="24"/>
          <w:rtl/>
        </w:rPr>
        <w:t>הפוליטיקאים</w:t>
      </w:r>
      <w:r>
        <w:rPr>
          <w:rFonts w:cs="David" w:hint="cs"/>
          <w:sz w:val="24"/>
          <w:szCs w:val="24"/>
          <w:rtl/>
        </w:rPr>
        <w:t xml:space="preserve"> </w:t>
      </w:r>
      <w:r>
        <w:rPr>
          <w:rFonts w:cs="David"/>
          <w:sz w:val="24"/>
          <w:szCs w:val="24"/>
          <w:rtl/>
        </w:rPr>
        <w:t>–</w:t>
      </w:r>
      <w:r>
        <w:rPr>
          <w:rFonts w:cs="David" w:hint="cs"/>
          <w:sz w:val="24"/>
          <w:szCs w:val="24"/>
          <w:rtl/>
        </w:rPr>
        <w:t xml:space="preserve"> כל </w:t>
      </w:r>
      <w:r w:rsidR="00F444B5">
        <w:rPr>
          <w:rFonts w:cs="David" w:hint="cs"/>
          <w:sz w:val="24"/>
          <w:szCs w:val="24"/>
          <w:rtl/>
        </w:rPr>
        <w:t>רצונם הוא להיבחר. לצורך כך הם חוברים לקבוצות אינטרס רלוונטיות, על חשבון האינטרס הציבורי.</w:t>
      </w:r>
      <w:r w:rsidR="0088414F">
        <w:rPr>
          <w:rFonts w:cs="David" w:hint="cs"/>
          <w:sz w:val="24"/>
          <w:szCs w:val="24"/>
          <w:rtl/>
        </w:rPr>
        <w:t xml:space="preserve"> כך למשל:</w:t>
      </w:r>
      <w:r w:rsidR="00F444B5">
        <w:rPr>
          <w:rFonts w:cs="David" w:hint="cs"/>
          <w:sz w:val="24"/>
          <w:szCs w:val="24"/>
          <w:rtl/>
        </w:rPr>
        <w:t xml:space="preserve"> </w:t>
      </w:r>
      <w:proofErr w:type="spellStart"/>
      <w:r w:rsidR="0088414F">
        <w:rPr>
          <w:rFonts w:cs="David" w:hint="cs"/>
          <w:sz w:val="24"/>
          <w:szCs w:val="24"/>
          <w:rtl/>
        </w:rPr>
        <w:t>טראמפ</w:t>
      </w:r>
      <w:proofErr w:type="spellEnd"/>
      <w:r w:rsidR="0088414F">
        <w:rPr>
          <w:rFonts w:cs="David" w:hint="cs"/>
          <w:sz w:val="24"/>
          <w:szCs w:val="24"/>
          <w:rtl/>
        </w:rPr>
        <w:t xml:space="preserve"> בארה"ב חבר לבעלי אינטרסים כגון </w:t>
      </w:r>
      <w:r w:rsidR="00A27122">
        <w:rPr>
          <w:rFonts w:cs="David" w:hint="cs"/>
          <w:sz w:val="24"/>
          <w:szCs w:val="24"/>
          <w:rtl/>
        </w:rPr>
        <w:t xml:space="preserve">בעלי התעשיות, </w:t>
      </w:r>
      <w:r w:rsidR="0088414F">
        <w:rPr>
          <w:rFonts w:cs="David" w:hint="cs"/>
          <w:sz w:val="24"/>
          <w:szCs w:val="24"/>
          <w:rtl/>
        </w:rPr>
        <w:t xml:space="preserve">שדולת יצרני הנשק או יצרני הרכב, </w:t>
      </w:r>
      <w:r w:rsidR="00C619FB">
        <w:rPr>
          <w:rFonts w:cs="David" w:hint="cs"/>
          <w:sz w:val="24"/>
          <w:szCs w:val="24"/>
          <w:rtl/>
        </w:rPr>
        <w:t xml:space="preserve">תעשיית הפרסום האמריקאית, </w:t>
      </w:r>
      <w:r w:rsidR="0088414F">
        <w:rPr>
          <w:rFonts w:cs="David" w:hint="cs"/>
          <w:sz w:val="24"/>
          <w:szCs w:val="24"/>
          <w:rtl/>
        </w:rPr>
        <w:t xml:space="preserve">אשר קידמו את בחירתו. </w:t>
      </w:r>
      <w:proofErr w:type="spellStart"/>
      <w:r w:rsidR="0088414F">
        <w:rPr>
          <w:rFonts w:cs="David" w:hint="cs"/>
          <w:sz w:val="24"/>
          <w:szCs w:val="24"/>
          <w:rtl/>
        </w:rPr>
        <w:t>הברקזיט</w:t>
      </w:r>
      <w:proofErr w:type="spellEnd"/>
      <w:r w:rsidR="0088414F">
        <w:rPr>
          <w:rFonts w:cs="David" w:hint="cs"/>
          <w:sz w:val="24"/>
          <w:szCs w:val="24"/>
          <w:rtl/>
        </w:rPr>
        <w:t xml:space="preserve"> בבריטניה נעשה ממניעים של קבוצות אינטרס כלכליות המעוניינות לשפר את תנאי הסחר </w:t>
      </w:r>
      <w:proofErr w:type="spellStart"/>
      <w:r w:rsidR="0088414F">
        <w:rPr>
          <w:rFonts w:cs="David" w:hint="cs"/>
          <w:sz w:val="24"/>
          <w:szCs w:val="24"/>
          <w:rtl/>
        </w:rPr>
        <w:t>וכו</w:t>
      </w:r>
      <w:proofErr w:type="spellEnd"/>
      <w:r w:rsidR="0088414F">
        <w:rPr>
          <w:rFonts w:cs="David" w:hint="cs"/>
          <w:sz w:val="24"/>
          <w:szCs w:val="24"/>
          <w:rtl/>
        </w:rPr>
        <w:t xml:space="preserve">'. </w:t>
      </w:r>
      <w:r w:rsidR="0074757F">
        <w:rPr>
          <w:rFonts w:cs="David" w:hint="cs"/>
          <w:sz w:val="24"/>
          <w:szCs w:val="24"/>
          <w:rtl/>
        </w:rPr>
        <w:t xml:space="preserve">באירופה </w:t>
      </w:r>
      <w:r w:rsidR="0074757F">
        <w:rPr>
          <w:rFonts w:cs="David"/>
          <w:sz w:val="24"/>
          <w:szCs w:val="24"/>
          <w:rtl/>
        </w:rPr>
        <w:t>–</w:t>
      </w:r>
      <w:r w:rsidR="0074757F">
        <w:rPr>
          <w:rFonts w:cs="David" w:hint="cs"/>
          <w:sz w:val="24"/>
          <w:szCs w:val="24"/>
          <w:rtl/>
        </w:rPr>
        <w:t xml:space="preserve"> חוברים הפוליטיקאים לקבוצות ימין קיצוני ומונ</w:t>
      </w:r>
      <w:r w:rsidR="00495740">
        <w:rPr>
          <w:rFonts w:cs="David" w:hint="cs"/>
          <w:sz w:val="24"/>
          <w:szCs w:val="24"/>
          <w:rtl/>
        </w:rPr>
        <w:t>עים כניסתם של מהגרים לארצותיהם, גם אם מדובר במהגרים אשר עשויים לסייע בצמיחה כל</w:t>
      </w:r>
      <w:r w:rsidR="00A27122">
        <w:rPr>
          <w:rFonts w:cs="David" w:hint="cs"/>
          <w:sz w:val="24"/>
          <w:szCs w:val="24"/>
          <w:rtl/>
        </w:rPr>
        <w:t xml:space="preserve">כלית </w:t>
      </w:r>
      <w:r w:rsidR="00495740">
        <w:rPr>
          <w:rFonts w:cs="David" w:hint="cs"/>
          <w:sz w:val="24"/>
          <w:szCs w:val="24"/>
          <w:rtl/>
        </w:rPr>
        <w:t xml:space="preserve">או לנוכח משבר </w:t>
      </w:r>
      <w:r w:rsidR="00B64354">
        <w:rPr>
          <w:rFonts w:cs="David" w:hint="cs"/>
          <w:sz w:val="24"/>
          <w:szCs w:val="24"/>
          <w:rtl/>
        </w:rPr>
        <w:t>דמוגרפי</w:t>
      </w:r>
      <w:r w:rsidR="00A27122">
        <w:rPr>
          <w:rFonts w:cs="David" w:hint="cs"/>
          <w:sz w:val="24"/>
          <w:szCs w:val="24"/>
          <w:rtl/>
        </w:rPr>
        <w:t xml:space="preserve"> פנימי</w:t>
      </w:r>
      <w:r w:rsidR="00495740">
        <w:rPr>
          <w:rFonts w:cs="David" w:hint="cs"/>
          <w:sz w:val="24"/>
          <w:szCs w:val="24"/>
          <w:rtl/>
        </w:rPr>
        <w:t>.</w:t>
      </w:r>
      <w:r w:rsidR="00A27122">
        <w:rPr>
          <w:rFonts w:cs="David" w:hint="cs"/>
          <w:sz w:val="24"/>
          <w:szCs w:val="24"/>
          <w:rtl/>
        </w:rPr>
        <w:t xml:space="preserve"> במדינות "הדרום הגלובלי" חוברים הפוליטיקאים לבעלי הון להמשך ניצול המעמד הפועל, תוך יצירת מצג של שיפור תנאי המחיה, העדר רגולציה סביבתית והמשך הזיהום הסביבתי. </w:t>
      </w:r>
    </w:p>
    <w:p w:rsidR="0088414F" w:rsidRDefault="0088414F" w:rsidP="00A27122">
      <w:pPr>
        <w:pStyle w:val="a3"/>
        <w:numPr>
          <w:ilvl w:val="0"/>
          <w:numId w:val="5"/>
        </w:numPr>
        <w:jc w:val="both"/>
        <w:rPr>
          <w:rFonts w:cs="David" w:hint="cs"/>
          <w:sz w:val="24"/>
          <w:szCs w:val="24"/>
        </w:rPr>
      </w:pPr>
      <w:r w:rsidRPr="0088414F">
        <w:rPr>
          <w:rFonts w:cs="David" w:hint="cs"/>
          <w:b/>
          <w:bCs/>
          <w:sz w:val="24"/>
          <w:szCs w:val="24"/>
          <w:rtl/>
        </w:rPr>
        <w:t>הבירוקרטים</w:t>
      </w:r>
      <w:r>
        <w:rPr>
          <w:rFonts w:cs="David" w:hint="cs"/>
          <w:sz w:val="24"/>
          <w:szCs w:val="24"/>
          <w:rtl/>
        </w:rPr>
        <w:t xml:space="preserve"> </w:t>
      </w:r>
      <w:r>
        <w:rPr>
          <w:rFonts w:cs="David"/>
          <w:sz w:val="24"/>
          <w:szCs w:val="24"/>
          <w:rtl/>
        </w:rPr>
        <w:t>–</w:t>
      </w:r>
      <w:r>
        <w:rPr>
          <w:rFonts w:cs="David" w:hint="cs"/>
          <w:sz w:val="24"/>
          <w:szCs w:val="24"/>
          <w:rtl/>
        </w:rPr>
        <w:t xml:space="preserve"> שואפים להרחבת סמכויותיהם ולהתקדמותם האישית. מעוניינים </w:t>
      </w:r>
      <w:proofErr w:type="spellStart"/>
      <w:r>
        <w:rPr>
          <w:rFonts w:cs="David" w:hint="cs"/>
          <w:sz w:val="24"/>
          <w:szCs w:val="24"/>
          <w:rtl/>
        </w:rPr>
        <w:t>בכח</w:t>
      </w:r>
      <w:proofErr w:type="spellEnd"/>
      <w:r>
        <w:rPr>
          <w:rFonts w:cs="David" w:hint="cs"/>
          <w:sz w:val="24"/>
          <w:szCs w:val="24"/>
          <w:rtl/>
        </w:rPr>
        <w:t xml:space="preserve"> ובתקציבים נוספים, תוך התעלמות מהאינטרס הציבורי. פונים לקבוצות האינטרס המספקות להם את המידע המקצועי. </w:t>
      </w:r>
      <w:r w:rsidR="0074757F">
        <w:rPr>
          <w:rFonts w:cs="David" w:hint="cs"/>
          <w:sz w:val="24"/>
          <w:szCs w:val="24"/>
          <w:rtl/>
        </w:rPr>
        <w:t xml:space="preserve">כך </w:t>
      </w:r>
      <w:r w:rsidR="00A27122">
        <w:rPr>
          <w:rFonts w:cs="David" w:hint="cs"/>
          <w:sz w:val="24"/>
          <w:szCs w:val="24"/>
          <w:rtl/>
        </w:rPr>
        <w:t xml:space="preserve">הם פונים לחברות הסלולר, ליזמי נדל"ן, חברות אנרגיה, חברות תרופות </w:t>
      </w:r>
      <w:proofErr w:type="spellStart"/>
      <w:r w:rsidR="00A27122">
        <w:rPr>
          <w:rFonts w:cs="David" w:hint="cs"/>
          <w:sz w:val="24"/>
          <w:szCs w:val="24"/>
          <w:rtl/>
        </w:rPr>
        <w:t>וכו</w:t>
      </w:r>
      <w:proofErr w:type="spellEnd"/>
      <w:r w:rsidR="00A27122">
        <w:rPr>
          <w:rFonts w:cs="David" w:hint="cs"/>
          <w:sz w:val="24"/>
          <w:szCs w:val="24"/>
          <w:rtl/>
        </w:rPr>
        <w:t>'.</w:t>
      </w:r>
      <w:r w:rsidR="0074757F">
        <w:rPr>
          <w:rFonts w:cs="David" w:hint="cs"/>
          <w:sz w:val="24"/>
          <w:szCs w:val="24"/>
          <w:rtl/>
        </w:rPr>
        <w:t xml:space="preserve"> הבירוקרטים מפחיתים או מונעים קידומה של רגולציה</w:t>
      </w:r>
      <w:r w:rsidR="00A27122">
        <w:rPr>
          <w:rFonts w:cs="David" w:hint="cs"/>
          <w:sz w:val="24"/>
          <w:szCs w:val="24"/>
          <w:rtl/>
        </w:rPr>
        <w:t xml:space="preserve"> </w:t>
      </w:r>
      <w:r w:rsidR="0024759D">
        <w:rPr>
          <w:rFonts w:cs="David" w:hint="cs"/>
          <w:sz w:val="24"/>
          <w:szCs w:val="24"/>
          <w:rtl/>
        </w:rPr>
        <w:t xml:space="preserve">בריאותית / </w:t>
      </w:r>
      <w:r w:rsidR="00A27122">
        <w:rPr>
          <w:rFonts w:cs="David" w:hint="cs"/>
          <w:sz w:val="24"/>
          <w:szCs w:val="24"/>
          <w:rtl/>
        </w:rPr>
        <w:t>רפואית, סביבתית, תעסוקתית,</w:t>
      </w:r>
      <w:r w:rsidR="0074757F">
        <w:rPr>
          <w:rFonts w:cs="David" w:hint="cs"/>
          <w:sz w:val="24"/>
          <w:szCs w:val="24"/>
          <w:rtl/>
        </w:rPr>
        <w:t xml:space="preserve"> </w:t>
      </w:r>
      <w:r w:rsidR="00A27122">
        <w:rPr>
          <w:rFonts w:cs="David" w:hint="cs"/>
          <w:sz w:val="24"/>
          <w:szCs w:val="24"/>
          <w:rtl/>
        </w:rPr>
        <w:t xml:space="preserve">בנקאית וכו' </w:t>
      </w:r>
      <w:proofErr w:type="spellStart"/>
      <w:r w:rsidR="00A27122">
        <w:rPr>
          <w:rFonts w:cs="David" w:hint="cs"/>
          <w:sz w:val="24"/>
          <w:szCs w:val="24"/>
          <w:rtl/>
        </w:rPr>
        <w:t>הכל</w:t>
      </w:r>
      <w:proofErr w:type="spellEnd"/>
      <w:r w:rsidR="00A27122">
        <w:rPr>
          <w:rFonts w:cs="David" w:hint="cs"/>
          <w:sz w:val="24"/>
          <w:szCs w:val="24"/>
          <w:rtl/>
        </w:rPr>
        <w:t xml:space="preserve"> על גבו של הציבור. </w:t>
      </w:r>
    </w:p>
    <w:p w:rsidR="0063603C" w:rsidRDefault="0063603C" w:rsidP="00A27122">
      <w:pPr>
        <w:pStyle w:val="a3"/>
        <w:numPr>
          <w:ilvl w:val="0"/>
          <w:numId w:val="5"/>
        </w:numPr>
        <w:jc w:val="both"/>
        <w:rPr>
          <w:rFonts w:cs="David" w:hint="cs"/>
          <w:sz w:val="24"/>
          <w:szCs w:val="24"/>
        </w:rPr>
      </w:pPr>
      <w:r>
        <w:rPr>
          <w:rFonts w:cs="David" w:hint="cs"/>
          <w:b/>
          <w:bCs/>
          <w:sz w:val="24"/>
          <w:szCs w:val="24"/>
          <w:rtl/>
        </w:rPr>
        <w:t xml:space="preserve">קבוצות האינטרס </w:t>
      </w:r>
      <w:r>
        <w:rPr>
          <w:rFonts w:cs="David"/>
          <w:sz w:val="24"/>
          <w:szCs w:val="24"/>
          <w:rtl/>
        </w:rPr>
        <w:t>–</w:t>
      </w:r>
      <w:r>
        <w:rPr>
          <w:rFonts w:cs="David" w:hint="cs"/>
          <w:sz w:val="24"/>
          <w:szCs w:val="24"/>
          <w:rtl/>
        </w:rPr>
        <w:t xml:space="preserve"> </w:t>
      </w:r>
      <w:r w:rsidR="000032BB">
        <w:rPr>
          <w:rFonts w:cs="David" w:hint="cs"/>
          <w:sz w:val="24"/>
          <w:szCs w:val="24"/>
          <w:rtl/>
        </w:rPr>
        <w:t xml:space="preserve">חברות סלולר, חברות תרופות, יזמי נדל"ן, בנקים ומוסדות פיננסים, חסרות תקשורת וכו' . תלוי הקשר - הקבוצות </w:t>
      </w:r>
      <w:r>
        <w:rPr>
          <w:rFonts w:cs="David" w:hint="cs"/>
          <w:sz w:val="24"/>
          <w:szCs w:val="24"/>
          <w:rtl/>
        </w:rPr>
        <w:t xml:space="preserve">משתפות פעולה ובכך מקדמות את האינטרסים שלהם וממקסמות רווחים. </w:t>
      </w:r>
    </w:p>
    <w:p w:rsidR="000032BB" w:rsidRDefault="000032BB" w:rsidP="00A27122">
      <w:pPr>
        <w:pStyle w:val="a3"/>
        <w:numPr>
          <w:ilvl w:val="0"/>
          <w:numId w:val="5"/>
        </w:numPr>
        <w:jc w:val="both"/>
        <w:rPr>
          <w:rFonts w:cs="David" w:hint="cs"/>
          <w:sz w:val="24"/>
          <w:szCs w:val="24"/>
        </w:rPr>
      </w:pPr>
      <w:r>
        <w:rPr>
          <w:rFonts w:cs="David" w:hint="cs"/>
          <w:b/>
          <w:bCs/>
          <w:sz w:val="24"/>
          <w:szCs w:val="24"/>
          <w:rtl/>
        </w:rPr>
        <w:t xml:space="preserve">הציבור </w:t>
      </w:r>
      <w:r>
        <w:rPr>
          <w:rFonts w:cs="David"/>
          <w:sz w:val="24"/>
          <w:szCs w:val="24"/>
          <w:rtl/>
        </w:rPr>
        <w:t>–</w:t>
      </w:r>
      <w:r>
        <w:rPr>
          <w:rFonts w:cs="David" w:hint="cs"/>
          <w:sz w:val="24"/>
          <w:szCs w:val="24"/>
          <w:rtl/>
        </w:rPr>
        <w:t xml:space="preserve"> כל פרט בציבור הוא שחקן רציונלי, </w:t>
      </w:r>
      <w:r>
        <w:rPr>
          <w:rFonts w:cs="David"/>
          <w:sz w:val="24"/>
          <w:szCs w:val="24"/>
        </w:rPr>
        <w:t>free rider</w:t>
      </w:r>
      <w:r>
        <w:rPr>
          <w:rFonts w:cs="David" w:hint="cs"/>
          <w:sz w:val="24"/>
          <w:szCs w:val="24"/>
          <w:rtl/>
        </w:rPr>
        <w:t xml:space="preserve">. רוב האנשים הם בורים רציונליים ואינם מעמיקים בלימוד סוגיות ציבוריות. </w:t>
      </w:r>
      <w:r w:rsidR="00C619FB">
        <w:rPr>
          <w:rFonts w:cs="David" w:hint="cs"/>
          <w:sz w:val="24"/>
          <w:szCs w:val="24"/>
          <w:rtl/>
        </w:rPr>
        <w:t xml:space="preserve">בכך, נותן הציבור יד להמשך הגלובליזציה בתוצרתה הנוכחית, הפחתת רגולציה והתערבות, הגברת השימוש בהפרטות, צמצום חקיקה, הקטנת השירות הציבורי, הורדת מיסים </w:t>
      </w:r>
      <w:proofErr w:type="spellStart"/>
      <w:r w:rsidR="00C619FB">
        <w:rPr>
          <w:rFonts w:cs="David" w:hint="cs"/>
          <w:sz w:val="24"/>
          <w:szCs w:val="24"/>
          <w:rtl/>
        </w:rPr>
        <w:t>וכו</w:t>
      </w:r>
      <w:proofErr w:type="spellEnd"/>
      <w:r w:rsidR="00C619FB">
        <w:rPr>
          <w:rFonts w:cs="David" w:hint="cs"/>
          <w:sz w:val="24"/>
          <w:szCs w:val="24"/>
          <w:rtl/>
        </w:rPr>
        <w:t xml:space="preserve">'.  </w:t>
      </w:r>
    </w:p>
    <w:p w:rsidR="00C619FB" w:rsidRDefault="00C619FB" w:rsidP="00C619FB">
      <w:pPr>
        <w:jc w:val="both"/>
        <w:rPr>
          <w:rFonts w:cs="David" w:hint="cs"/>
          <w:sz w:val="24"/>
          <w:szCs w:val="24"/>
          <w:rtl/>
        </w:rPr>
      </w:pPr>
    </w:p>
    <w:p w:rsidR="00C619FB" w:rsidRPr="00C619FB" w:rsidRDefault="00C619FB" w:rsidP="00C619FB">
      <w:pPr>
        <w:jc w:val="both"/>
        <w:rPr>
          <w:rFonts w:cs="David" w:hint="cs"/>
          <w:sz w:val="24"/>
          <w:szCs w:val="24"/>
        </w:rPr>
      </w:pPr>
    </w:p>
    <w:p w:rsidR="00F444B5" w:rsidRDefault="00F444B5" w:rsidP="00F444B5">
      <w:pPr>
        <w:jc w:val="both"/>
        <w:rPr>
          <w:rFonts w:cs="David" w:hint="cs"/>
          <w:sz w:val="24"/>
          <w:szCs w:val="24"/>
          <w:rtl/>
        </w:rPr>
      </w:pPr>
    </w:p>
    <w:p w:rsidR="00F444B5" w:rsidRPr="00F444B5" w:rsidRDefault="00F444B5" w:rsidP="00F444B5">
      <w:pPr>
        <w:jc w:val="both"/>
        <w:rPr>
          <w:rFonts w:cs="David" w:hint="cs"/>
          <w:sz w:val="24"/>
          <w:szCs w:val="24"/>
          <w:rtl/>
        </w:rPr>
      </w:pPr>
    </w:p>
    <w:p w:rsidR="00E94591" w:rsidRPr="005A732E" w:rsidRDefault="00E94591" w:rsidP="005A732E">
      <w:pPr>
        <w:jc w:val="both"/>
        <w:rPr>
          <w:rFonts w:cs="David" w:hint="cs"/>
          <w:sz w:val="24"/>
          <w:szCs w:val="24"/>
        </w:rPr>
      </w:pPr>
    </w:p>
    <w:sectPr w:rsidR="00E94591" w:rsidRPr="005A732E" w:rsidSect="007206F8">
      <w:footerReference w:type="defaul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115" w:rsidRDefault="00D92115" w:rsidP="00BB5ECC">
      <w:pPr>
        <w:spacing w:after="0" w:line="240" w:lineRule="auto"/>
      </w:pPr>
      <w:r>
        <w:separator/>
      </w:r>
    </w:p>
  </w:endnote>
  <w:endnote w:type="continuationSeparator" w:id="0">
    <w:p w:rsidR="00D92115" w:rsidRDefault="00D92115" w:rsidP="00BB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7399648"/>
      <w:docPartObj>
        <w:docPartGallery w:val="Page Numbers (Bottom of Page)"/>
        <w:docPartUnique/>
      </w:docPartObj>
    </w:sdtPr>
    <w:sdtEndPr>
      <w:rPr>
        <w:cs/>
      </w:rPr>
    </w:sdtEndPr>
    <w:sdtContent>
      <w:p w:rsidR="007206F8" w:rsidRDefault="007206F8">
        <w:pPr>
          <w:pStyle w:val="aa"/>
          <w:jc w:val="center"/>
          <w:rPr>
            <w:cs/>
          </w:rPr>
        </w:pPr>
        <w:r w:rsidRPr="007206F8">
          <w:rPr>
            <w:rFonts w:cs="David"/>
            <w:sz w:val="24"/>
            <w:szCs w:val="24"/>
          </w:rPr>
          <w:fldChar w:fldCharType="begin"/>
        </w:r>
        <w:r w:rsidRPr="007206F8">
          <w:rPr>
            <w:rFonts w:cs="David"/>
            <w:sz w:val="24"/>
            <w:szCs w:val="24"/>
            <w:cs/>
          </w:rPr>
          <w:instrText>PAGE   \* MERGEFORMAT</w:instrText>
        </w:r>
        <w:r w:rsidRPr="007206F8">
          <w:rPr>
            <w:rFonts w:cs="David"/>
            <w:sz w:val="24"/>
            <w:szCs w:val="24"/>
          </w:rPr>
          <w:fldChar w:fldCharType="separate"/>
        </w:r>
        <w:r w:rsidR="002304A4" w:rsidRPr="002304A4">
          <w:rPr>
            <w:rFonts w:cs="David"/>
            <w:noProof/>
            <w:sz w:val="24"/>
            <w:szCs w:val="24"/>
            <w:rtl/>
            <w:lang w:val="he-IL"/>
          </w:rPr>
          <w:t>2</w:t>
        </w:r>
        <w:r w:rsidRPr="007206F8">
          <w:rPr>
            <w:rFonts w:cs="David"/>
            <w:sz w:val="24"/>
            <w:szCs w:val="24"/>
          </w:rPr>
          <w:fldChar w:fldCharType="end"/>
        </w:r>
      </w:p>
    </w:sdtContent>
  </w:sdt>
  <w:p w:rsidR="007206F8" w:rsidRDefault="007206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115" w:rsidRDefault="00D92115" w:rsidP="00BB5ECC">
      <w:pPr>
        <w:spacing w:after="0" w:line="240" w:lineRule="auto"/>
      </w:pPr>
      <w:r>
        <w:separator/>
      </w:r>
    </w:p>
  </w:footnote>
  <w:footnote w:type="continuationSeparator" w:id="0">
    <w:p w:rsidR="00D92115" w:rsidRDefault="00D92115" w:rsidP="00BB5ECC">
      <w:pPr>
        <w:spacing w:after="0" w:line="240" w:lineRule="auto"/>
      </w:pPr>
      <w:r>
        <w:continuationSeparator/>
      </w:r>
    </w:p>
  </w:footnote>
  <w:footnote w:id="1">
    <w:p w:rsidR="00BB5ECC" w:rsidRPr="00BB5ECC" w:rsidRDefault="00BB5ECC" w:rsidP="00BB5ECC">
      <w:pPr>
        <w:pStyle w:val="a5"/>
        <w:rPr>
          <w:rStyle w:val="a7"/>
          <w:rFonts w:cs="David" w:hint="cs"/>
          <w:sz w:val="24"/>
          <w:szCs w:val="24"/>
          <w:rtl/>
        </w:rPr>
      </w:pPr>
      <w:r w:rsidRPr="00BB5ECC">
        <w:rPr>
          <w:rStyle w:val="a7"/>
          <w:rFonts w:cs="David"/>
          <w:sz w:val="24"/>
          <w:szCs w:val="24"/>
        </w:rPr>
        <w:footnoteRef/>
      </w:r>
      <w:r w:rsidRPr="00BB5ECC">
        <w:rPr>
          <w:rStyle w:val="a7"/>
          <w:rFonts w:cs="David"/>
          <w:sz w:val="24"/>
          <w:szCs w:val="24"/>
          <w:rtl/>
        </w:rPr>
        <w:t xml:space="preserve"> </w:t>
      </w:r>
      <w:r w:rsidRPr="00BB5ECC">
        <w:rPr>
          <w:rFonts w:cs="David"/>
          <w:sz w:val="18"/>
          <w:szCs w:val="18"/>
          <w:rtl/>
        </w:rPr>
        <w:t>שלמה שרן ויעל שרן</w:t>
      </w:r>
      <w:r>
        <w:rPr>
          <w:rFonts w:cs="David" w:hint="cs"/>
          <w:sz w:val="18"/>
          <w:szCs w:val="18"/>
          <w:rtl/>
        </w:rPr>
        <w:t xml:space="preserve"> (1971)</w:t>
      </w:r>
      <w:r w:rsidRPr="00BB5ECC">
        <w:rPr>
          <w:rFonts w:cs="David" w:hint="cs"/>
          <w:sz w:val="18"/>
          <w:szCs w:val="18"/>
          <w:rtl/>
        </w:rPr>
        <w:t xml:space="preserve">, </w:t>
      </w:r>
      <w:r>
        <w:rPr>
          <w:rFonts w:cs="David"/>
          <w:sz w:val="18"/>
          <w:szCs w:val="18"/>
          <w:u w:val="single"/>
          <w:rtl/>
        </w:rPr>
        <w:t>ליקויי למידה ותיקונ</w:t>
      </w:r>
      <w:r>
        <w:rPr>
          <w:rFonts w:cs="David" w:hint="cs"/>
          <w:sz w:val="18"/>
          <w:szCs w:val="18"/>
          <w:u w:val="single"/>
          <w:rtl/>
        </w:rPr>
        <w:t>ם</w:t>
      </w:r>
      <w:r w:rsidRPr="00BB5ECC">
        <w:rPr>
          <w:rFonts w:cs="David" w:hint="cs"/>
          <w:sz w:val="18"/>
          <w:szCs w:val="18"/>
          <w:u w:val="single"/>
          <w:rtl/>
        </w:rPr>
        <w:t>,</w:t>
      </w:r>
      <w:r w:rsidRPr="00BB5ECC">
        <w:rPr>
          <w:rFonts w:cs="David" w:hint="cs"/>
          <w:sz w:val="18"/>
          <w:szCs w:val="18"/>
          <w:rtl/>
        </w:rPr>
        <w:t xml:space="preserve"> </w:t>
      </w:r>
      <w:r>
        <w:rPr>
          <w:rFonts w:cs="David" w:hint="cs"/>
          <w:sz w:val="18"/>
          <w:szCs w:val="18"/>
          <w:rtl/>
        </w:rPr>
        <w:t xml:space="preserve">עמ' 27, </w:t>
      </w:r>
      <w:r w:rsidRPr="00BB5ECC">
        <w:rPr>
          <w:rFonts w:cs="David"/>
          <w:sz w:val="18"/>
          <w:szCs w:val="18"/>
          <w:rtl/>
        </w:rPr>
        <w:t>רעננה</w:t>
      </w:r>
      <w:r>
        <w:rPr>
          <w:rFonts w:cs="David" w:hint="cs"/>
          <w:sz w:val="18"/>
          <w:szCs w:val="18"/>
          <w:rtl/>
        </w:rPr>
        <w:t>:</w:t>
      </w:r>
      <w:r w:rsidRPr="00BB5ECC">
        <w:rPr>
          <w:rFonts w:cs="David" w:hint="cs"/>
          <w:sz w:val="18"/>
          <w:szCs w:val="18"/>
          <w:rtl/>
        </w:rPr>
        <w:t xml:space="preserve"> </w:t>
      </w:r>
      <w:r w:rsidRPr="00BB5ECC">
        <w:rPr>
          <w:rFonts w:cs="David"/>
          <w:sz w:val="18"/>
          <w:szCs w:val="18"/>
          <w:rtl/>
        </w:rPr>
        <w:t>ספרית פועלים</w:t>
      </w:r>
      <w:r w:rsidRPr="00BB5ECC">
        <w:rPr>
          <w:rFonts w:cs="David"/>
          <w:sz w:val="18"/>
          <w:szCs w:val="18"/>
        </w:rPr>
        <w:t> </w:t>
      </w:r>
    </w:p>
  </w:footnote>
  <w:footnote w:id="2">
    <w:p w:rsidR="00BB5ECC" w:rsidRDefault="00BB5ECC">
      <w:pPr>
        <w:pStyle w:val="a5"/>
        <w:rPr>
          <w:rFonts w:hint="cs"/>
          <w:rtl/>
        </w:rPr>
      </w:pPr>
      <w:r>
        <w:rPr>
          <w:rStyle w:val="a7"/>
        </w:rPr>
        <w:footnoteRef/>
      </w:r>
      <w:r>
        <w:rPr>
          <w:rtl/>
        </w:rPr>
        <w:t xml:space="preserve"> </w:t>
      </w:r>
      <w:hyperlink r:id="rId1" w:anchor="cite_ref-17" w:history="1">
        <w:r>
          <w:rPr>
            <w:rStyle w:val="Hyperlink"/>
          </w:rPr>
          <w:t>https://en.wikipedia.org/wiki/Globalization#cite_ref-17</w:t>
        </w:r>
      </w:hyperlink>
    </w:p>
  </w:footnote>
  <w:footnote w:id="3">
    <w:p w:rsidR="00BB5ECC" w:rsidRPr="00BB5ECC" w:rsidRDefault="00BB5ECC" w:rsidP="00BB5ECC">
      <w:pPr>
        <w:pStyle w:val="a5"/>
        <w:rPr>
          <w:rFonts w:cs="David"/>
          <w:sz w:val="18"/>
          <w:szCs w:val="18"/>
        </w:rPr>
      </w:pPr>
      <w:r w:rsidRPr="00BB5ECC">
        <w:rPr>
          <w:rFonts w:cs="David"/>
          <w:sz w:val="18"/>
          <w:szCs w:val="18"/>
        </w:rPr>
        <w:footnoteRef/>
      </w:r>
      <w:r w:rsidRPr="00BB5ECC">
        <w:rPr>
          <w:rFonts w:cs="David"/>
          <w:sz w:val="18"/>
          <w:szCs w:val="18"/>
          <w:rtl/>
        </w:rPr>
        <w:t xml:space="preserve"> </w:t>
      </w:r>
      <w:r w:rsidRPr="00BB5ECC">
        <w:rPr>
          <w:rFonts w:cs="David" w:hint="cs"/>
          <w:sz w:val="18"/>
          <w:szCs w:val="18"/>
          <w:rtl/>
        </w:rPr>
        <w:t xml:space="preserve">נדב א. (2018), המרד נגד הגלובליזציה, עמ' 33, </w:t>
      </w:r>
      <w:r>
        <w:rPr>
          <w:rFonts w:cs="David" w:hint="cs"/>
          <w:sz w:val="18"/>
          <w:szCs w:val="18"/>
          <w:rtl/>
        </w:rPr>
        <w:t>ראשון לציון: משכל - ידיעות ספרים</w:t>
      </w:r>
    </w:p>
  </w:footnote>
  <w:footnote w:id="4">
    <w:p w:rsidR="00033F94" w:rsidRPr="00033F94" w:rsidRDefault="00033F94" w:rsidP="00892C62">
      <w:pPr>
        <w:pStyle w:val="a5"/>
        <w:rPr>
          <w:rStyle w:val="a7"/>
          <w:rFonts w:cs="David"/>
          <w:sz w:val="24"/>
          <w:szCs w:val="24"/>
        </w:rPr>
      </w:pPr>
      <w:r w:rsidRPr="00033F94">
        <w:rPr>
          <w:rStyle w:val="a7"/>
          <w:rFonts w:cs="David"/>
          <w:sz w:val="24"/>
          <w:szCs w:val="24"/>
        </w:rPr>
        <w:footnoteRef/>
      </w:r>
      <w:r w:rsidRPr="00033F94">
        <w:rPr>
          <w:rStyle w:val="a7"/>
          <w:rFonts w:cs="David"/>
          <w:sz w:val="24"/>
          <w:szCs w:val="24"/>
          <w:rtl/>
        </w:rPr>
        <w:t xml:space="preserve"> </w:t>
      </w:r>
      <w:r w:rsidRPr="00033F94">
        <w:rPr>
          <w:rStyle w:val="a7"/>
          <w:rFonts w:cs="David" w:hint="cs"/>
          <w:sz w:val="24"/>
          <w:szCs w:val="24"/>
          <w:rtl/>
        </w:rPr>
        <w:t xml:space="preserve">ראה </w:t>
      </w:r>
      <w:proofErr w:type="spellStart"/>
      <w:r w:rsidRPr="00033F94">
        <w:rPr>
          <w:rStyle w:val="a7"/>
          <w:rFonts w:cs="David" w:hint="cs"/>
          <w:sz w:val="24"/>
          <w:szCs w:val="24"/>
          <w:rtl/>
        </w:rPr>
        <w:t>ה"ש</w:t>
      </w:r>
      <w:proofErr w:type="spellEnd"/>
      <w:r w:rsidRPr="00033F94">
        <w:rPr>
          <w:rStyle w:val="a7"/>
          <w:rFonts w:cs="David" w:hint="cs"/>
          <w:sz w:val="24"/>
          <w:szCs w:val="24"/>
          <w:rtl/>
        </w:rPr>
        <w:t xml:space="preserve"> </w:t>
      </w:r>
      <w:r w:rsidR="00892C62">
        <w:rPr>
          <w:rStyle w:val="a7"/>
          <w:rFonts w:cs="David"/>
          <w:sz w:val="24"/>
          <w:szCs w:val="24"/>
          <w:rtl/>
        </w:rPr>
        <w:fldChar w:fldCharType="begin"/>
      </w:r>
      <w:r w:rsidR="00892C62">
        <w:rPr>
          <w:rStyle w:val="a7"/>
          <w:rFonts w:cs="David"/>
          <w:sz w:val="24"/>
          <w:szCs w:val="24"/>
          <w:rtl/>
        </w:rPr>
        <w:instrText xml:space="preserve"> </w:instrText>
      </w:r>
      <w:r w:rsidR="00892C62">
        <w:rPr>
          <w:rStyle w:val="a7"/>
          <w:rFonts w:cs="David" w:hint="cs"/>
          <w:sz w:val="24"/>
          <w:szCs w:val="24"/>
        </w:rPr>
        <w:instrText>NOTEREF</w:instrText>
      </w:r>
      <w:r w:rsidR="00892C62">
        <w:rPr>
          <w:rStyle w:val="a7"/>
          <w:rFonts w:cs="David" w:hint="cs"/>
          <w:sz w:val="24"/>
          <w:szCs w:val="24"/>
          <w:rtl/>
        </w:rPr>
        <w:instrText xml:space="preserve"> _</w:instrText>
      </w:r>
      <w:r w:rsidR="00892C62">
        <w:rPr>
          <w:rStyle w:val="a7"/>
          <w:rFonts w:cs="David" w:hint="cs"/>
          <w:sz w:val="24"/>
          <w:szCs w:val="24"/>
        </w:rPr>
        <w:instrText>Ref25624231 \h</w:instrText>
      </w:r>
      <w:r w:rsidR="00892C62">
        <w:rPr>
          <w:rStyle w:val="a7"/>
          <w:rFonts w:cs="David"/>
          <w:sz w:val="24"/>
          <w:szCs w:val="24"/>
          <w:rtl/>
        </w:rPr>
        <w:instrText xml:space="preserve"> </w:instrText>
      </w:r>
      <w:r w:rsidR="00892C62">
        <w:rPr>
          <w:rStyle w:val="a7"/>
          <w:rFonts w:cs="David"/>
          <w:sz w:val="24"/>
          <w:szCs w:val="24"/>
          <w:rtl/>
        </w:rPr>
      </w:r>
      <w:r w:rsidR="00892C62">
        <w:rPr>
          <w:rStyle w:val="a7"/>
          <w:rFonts w:cs="David"/>
          <w:sz w:val="24"/>
          <w:szCs w:val="24"/>
          <w:rtl/>
        </w:rPr>
        <w:fldChar w:fldCharType="separate"/>
      </w:r>
      <w:r w:rsidR="00892C62">
        <w:rPr>
          <w:rStyle w:val="a7"/>
          <w:rFonts w:cs="David"/>
          <w:sz w:val="24"/>
          <w:szCs w:val="24"/>
          <w:rtl/>
        </w:rPr>
        <w:t>1</w:t>
      </w:r>
      <w:r w:rsidR="00892C62">
        <w:rPr>
          <w:rStyle w:val="a7"/>
          <w:rFonts w:cs="David"/>
          <w:sz w:val="24"/>
          <w:szCs w:val="24"/>
          <w:rtl/>
        </w:rPr>
        <w:fldChar w:fldCharType="end"/>
      </w:r>
      <w:r w:rsidRPr="00033F94">
        <w:rPr>
          <w:rStyle w:val="a7"/>
          <w:rFonts w:cs="David" w:hint="cs"/>
          <w:sz w:val="24"/>
          <w:szCs w:val="24"/>
          <w:rtl/>
        </w:rPr>
        <w:t xml:space="preserve"> לעיל</w:t>
      </w:r>
    </w:p>
  </w:footnote>
  <w:footnote w:id="5">
    <w:p w:rsidR="00FC1E35" w:rsidRPr="00FC1E35" w:rsidRDefault="00FC1E35">
      <w:pPr>
        <w:pStyle w:val="a5"/>
        <w:rPr>
          <w:rFonts w:hint="cs"/>
          <w:rtl/>
        </w:rPr>
      </w:pPr>
      <w:r>
        <w:rPr>
          <w:rStyle w:val="a7"/>
        </w:rPr>
        <w:footnoteRef/>
      </w:r>
      <w:r>
        <w:rPr>
          <w:rtl/>
        </w:rPr>
        <w:t xml:space="preserve"> </w:t>
      </w:r>
      <w:hyperlink r:id="rId2" w:history="1">
        <w:r>
          <w:rPr>
            <w:rStyle w:val="Hyperlink"/>
          </w:rPr>
          <w:t>http://mafteakh.tau.ac.il/wp-content/uploads/2011/11/4-2011-04.pdf</w:t>
        </w:r>
      </w:hyperlink>
    </w:p>
  </w:footnote>
  <w:footnote w:id="6">
    <w:p w:rsidR="00892C62" w:rsidRPr="00BB5ECC" w:rsidRDefault="00892C62" w:rsidP="00892C62">
      <w:pPr>
        <w:pStyle w:val="a5"/>
        <w:rPr>
          <w:rFonts w:cs="David"/>
          <w:sz w:val="18"/>
          <w:szCs w:val="18"/>
        </w:rPr>
      </w:pPr>
      <w:r w:rsidRPr="00BB5ECC">
        <w:rPr>
          <w:rFonts w:cs="David"/>
          <w:sz w:val="18"/>
          <w:szCs w:val="18"/>
        </w:rPr>
        <w:footnoteRef/>
      </w:r>
      <w:r w:rsidRPr="00BB5ECC">
        <w:rPr>
          <w:rFonts w:cs="David"/>
          <w:sz w:val="18"/>
          <w:szCs w:val="18"/>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fldChar w:fldCharType="separate"/>
      </w:r>
      <w:r>
        <w:rPr>
          <w:rFonts w:cs="David"/>
          <w:sz w:val="18"/>
          <w:szCs w:val="18"/>
          <w:rtl/>
        </w:rPr>
        <w:t>3</w:t>
      </w:r>
      <w:r>
        <w:rPr>
          <w:rFonts w:cs="David"/>
          <w:sz w:val="18"/>
          <w:szCs w:val="18"/>
          <w:rtl/>
        </w:rPr>
        <w:fldChar w:fldCharType="end"/>
      </w:r>
      <w:r>
        <w:rPr>
          <w:rFonts w:cs="David" w:hint="cs"/>
          <w:sz w:val="18"/>
          <w:szCs w:val="18"/>
          <w:rtl/>
        </w:rPr>
        <w:t xml:space="preserve">, שם. </w:t>
      </w:r>
    </w:p>
  </w:footnote>
  <w:footnote w:id="7">
    <w:p w:rsidR="00140B0F" w:rsidRPr="00140B0F" w:rsidRDefault="00140B0F">
      <w:pPr>
        <w:pStyle w:val="a5"/>
        <w:rPr>
          <w:rFonts w:cs="David" w:hint="cs"/>
          <w:sz w:val="18"/>
          <w:szCs w:val="18"/>
          <w:rtl/>
        </w:rPr>
      </w:pPr>
      <w:r w:rsidRPr="00140B0F">
        <w:rPr>
          <w:rFonts w:cs="David"/>
          <w:sz w:val="18"/>
          <w:szCs w:val="18"/>
        </w:rPr>
        <w:footnoteRef/>
      </w:r>
      <w:r w:rsidRPr="00140B0F">
        <w:rPr>
          <w:rFonts w:cs="David"/>
          <w:sz w:val="18"/>
          <w:szCs w:val="18"/>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 35</w:t>
      </w:r>
      <w:r>
        <w:rPr>
          <w:rFonts w:cs="David" w:hint="cs"/>
          <w:sz w:val="18"/>
          <w:szCs w:val="18"/>
          <w:rtl/>
        </w:rPr>
        <w:t>.</w:t>
      </w:r>
    </w:p>
  </w:footnote>
  <w:footnote w:id="8">
    <w:p w:rsidR="00235EB0" w:rsidRPr="00140B0F" w:rsidRDefault="00235EB0" w:rsidP="000707B7">
      <w:pPr>
        <w:pStyle w:val="a5"/>
        <w:rPr>
          <w:rFonts w:cs="David" w:hint="cs"/>
          <w:sz w:val="18"/>
          <w:szCs w:val="18"/>
          <w:rtl/>
        </w:rPr>
      </w:pPr>
      <w:r>
        <w:rPr>
          <w:rStyle w:val="a7"/>
        </w:rPr>
        <w:footnoteRef/>
      </w:r>
      <w:r>
        <w:rPr>
          <w:rtl/>
        </w:rPr>
        <w:t xml:space="preserve"> </w:t>
      </w:r>
      <w:r w:rsidRPr="00140B0F">
        <w:rPr>
          <w:rFonts w:cs="David"/>
          <w:sz w:val="18"/>
          <w:szCs w:val="18"/>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xml:space="preserve">, בעמ' </w:t>
      </w:r>
      <w:r>
        <w:rPr>
          <w:rFonts w:cs="David" w:hint="cs"/>
          <w:sz w:val="18"/>
          <w:szCs w:val="18"/>
          <w:rtl/>
        </w:rPr>
        <w:t>3</w:t>
      </w:r>
      <w:r w:rsidR="00521077">
        <w:rPr>
          <w:rFonts w:cs="David" w:hint="cs"/>
          <w:sz w:val="18"/>
          <w:szCs w:val="18"/>
          <w:rtl/>
        </w:rPr>
        <w:t>7</w:t>
      </w:r>
      <w:r>
        <w:rPr>
          <w:rFonts w:cs="David" w:hint="cs"/>
          <w:sz w:val="18"/>
          <w:szCs w:val="18"/>
          <w:rtl/>
        </w:rPr>
        <w:t>.</w:t>
      </w:r>
    </w:p>
    <w:p w:rsidR="00235EB0" w:rsidRDefault="00235EB0">
      <w:pPr>
        <w:pStyle w:val="a5"/>
        <w:rPr>
          <w:rFonts w:hint="cs"/>
          <w:rtl/>
        </w:rPr>
      </w:pPr>
    </w:p>
  </w:footnote>
  <w:footnote w:id="9">
    <w:p w:rsidR="000707B7" w:rsidRDefault="000707B7" w:rsidP="000707B7">
      <w:pPr>
        <w:pStyle w:val="a5"/>
        <w:rPr>
          <w:rFonts w:hint="cs"/>
        </w:rPr>
      </w:pPr>
      <w:r>
        <w:rPr>
          <w:rStyle w:val="a7"/>
        </w:rPr>
        <w:footnoteRef/>
      </w:r>
      <w:r>
        <w:rPr>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w:t>
      </w:r>
      <w:r w:rsidRPr="000707B7">
        <w:rPr>
          <w:rFonts w:cs="David" w:hint="cs"/>
          <w:sz w:val="18"/>
          <w:szCs w:val="18"/>
          <w:rtl/>
        </w:rPr>
        <w:t xml:space="preserve"> 50</w:t>
      </w:r>
      <w:r>
        <w:rPr>
          <w:rFonts w:hint="cs"/>
          <w:rtl/>
        </w:rPr>
        <w:t>.</w:t>
      </w:r>
    </w:p>
  </w:footnote>
  <w:footnote w:id="10">
    <w:p w:rsidR="004D7A5C" w:rsidRDefault="004D7A5C" w:rsidP="00CD31C2">
      <w:pPr>
        <w:pStyle w:val="a5"/>
        <w:rPr>
          <w:rFonts w:hint="cs"/>
        </w:rPr>
      </w:pPr>
      <w:r>
        <w:rPr>
          <w:rStyle w:val="a7"/>
        </w:rPr>
        <w:footnoteRef/>
      </w:r>
      <w:r w:rsidR="009E1259">
        <w:rPr>
          <w:rFonts w:cs="David" w:hint="cs"/>
          <w:sz w:val="18"/>
          <w:szCs w:val="18"/>
          <w:rtl/>
        </w:rPr>
        <w:t>.</w:t>
      </w:r>
      <w:r w:rsidR="00CD31C2" w:rsidRPr="00CD31C2">
        <w:rPr>
          <w:rFonts w:cs="David" w:hint="cs"/>
          <w:sz w:val="18"/>
          <w:szCs w:val="18"/>
          <w:rtl/>
        </w:rPr>
        <w:t xml:space="preserve"> </w:t>
      </w:r>
      <w:r w:rsidR="00CD31C2">
        <w:rPr>
          <w:rFonts w:cs="David" w:hint="cs"/>
          <w:sz w:val="18"/>
          <w:szCs w:val="18"/>
          <w:rtl/>
        </w:rPr>
        <w:t xml:space="preserve">ראה </w:t>
      </w:r>
      <w:proofErr w:type="spellStart"/>
      <w:r w:rsidR="00CD31C2">
        <w:rPr>
          <w:rFonts w:cs="David" w:hint="cs"/>
          <w:sz w:val="18"/>
          <w:szCs w:val="18"/>
          <w:rtl/>
        </w:rPr>
        <w:t>ה"ש</w:t>
      </w:r>
      <w:proofErr w:type="spellEnd"/>
      <w:r w:rsidR="00CD31C2">
        <w:rPr>
          <w:rFonts w:cs="David" w:hint="cs"/>
          <w:sz w:val="18"/>
          <w:szCs w:val="18"/>
          <w:rtl/>
        </w:rPr>
        <w:t xml:space="preserve"> </w:t>
      </w:r>
      <w:r w:rsidR="00CD31C2">
        <w:rPr>
          <w:rFonts w:cs="David"/>
          <w:sz w:val="18"/>
          <w:szCs w:val="18"/>
          <w:rtl/>
        </w:rPr>
        <w:fldChar w:fldCharType="begin"/>
      </w:r>
      <w:r w:rsidR="00CD31C2">
        <w:rPr>
          <w:rFonts w:cs="David"/>
          <w:sz w:val="18"/>
          <w:szCs w:val="18"/>
          <w:rtl/>
        </w:rPr>
        <w:instrText xml:space="preserve"> </w:instrText>
      </w:r>
      <w:r w:rsidR="00CD31C2">
        <w:rPr>
          <w:rFonts w:cs="David"/>
          <w:sz w:val="18"/>
          <w:szCs w:val="18"/>
        </w:rPr>
        <w:instrText>NOTEREF</w:instrText>
      </w:r>
      <w:r w:rsidR="00CD31C2">
        <w:rPr>
          <w:rFonts w:cs="David"/>
          <w:sz w:val="18"/>
          <w:szCs w:val="18"/>
          <w:rtl/>
        </w:rPr>
        <w:instrText xml:space="preserve"> _</w:instrText>
      </w:r>
      <w:r w:rsidR="00CD31C2">
        <w:rPr>
          <w:rFonts w:cs="David"/>
          <w:sz w:val="18"/>
          <w:szCs w:val="18"/>
        </w:rPr>
        <w:instrText>Ref25624194 \h</w:instrText>
      </w:r>
      <w:r w:rsidR="00CD31C2">
        <w:rPr>
          <w:rFonts w:cs="David"/>
          <w:sz w:val="18"/>
          <w:szCs w:val="18"/>
          <w:rtl/>
        </w:rPr>
        <w:instrText xml:space="preserve"> </w:instrText>
      </w:r>
      <w:r w:rsidR="00CD31C2">
        <w:rPr>
          <w:rFonts w:cs="David"/>
          <w:sz w:val="18"/>
          <w:szCs w:val="18"/>
          <w:rtl/>
        </w:rPr>
      </w:r>
      <w:r w:rsidR="00CD31C2">
        <w:rPr>
          <w:rFonts w:cs="David"/>
          <w:sz w:val="18"/>
          <w:szCs w:val="18"/>
          <w:rtl/>
        </w:rPr>
        <w:instrText xml:space="preserve"> \* </w:instrText>
      </w:r>
      <w:r w:rsidR="00CD31C2">
        <w:rPr>
          <w:rFonts w:cs="David"/>
          <w:sz w:val="18"/>
          <w:szCs w:val="18"/>
        </w:rPr>
        <w:instrText>MERGEFORMAT</w:instrText>
      </w:r>
      <w:r w:rsidR="00CD31C2">
        <w:rPr>
          <w:rFonts w:cs="David"/>
          <w:sz w:val="18"/>
          <w:szCs w:val="18"/>
          <w:rtl/>
        </w:rPr>
        <w:instrText xml:space="preserve"> </w:instrText>
      </w:r>
      <w:r w:rsidR="00CD31C2">
        <w:rPr>
          <w:rFonts w:cs="David"/>
          <w:sz w:val="18"/>
          <w:szCs w:val="18"/>
          <w:rtl/>
        </w:rPr>
        <w:fldChar w:fldCharType="separate"/>
      </w:r>
      <w:r w:rsidR="00CD31C2">
        <w:rPr>
          <w:rFonts w:cs="David"/>
          <w:sz w:val="18"/>
          <w:szCs w:val="18"/>
          <w:rtl/>
        </w:rPr>
        <w:t>3</w:t>
      </w:r>
      <w:r w:rsidR="00CD31C2">
        <w:rPr>
          <w:rFonts w:cs="David"/>
          <w:sz w:val="18"/>
          <w:szCs w:val="18"/>
          <w:rtl/>
        </w:rPr>
        <w:fldChar w:fldCharType="end"/>
      </w:r>
      <w:r w:rsidR="00CD31C2" w:rsidRPr="00140B0F">
        <w:rPr>
          <w:rFonts w:cs="David" w:hint="cs"/>
          <w:sz w:val="18"/>
          <w:szCs w:val="18"/>
          <w:rtl/>
        </w:rPr>
        <w:t>, בעמ'</w:t>
      </w:r>
      <w:r w:rsidR="00CD31C2" w:rsidRPr="000707B7">
        <w:rPr>
          <w:rFonts w:cs="David" w:hint="cs"/>
          <w:sz w:val="18"/>
          <w:szCs w:val="18"/>
          <w:rtl/>
        </w:rPr>
        <w:t xml:space="preserve"> </w:t>
      </w:r>
      <w:r w:rsidR="00CD31C2">
        <w:rPr>
          <w:rFonts w:cs="David" w:hint="cs"/>
          <w:sz w:val="18"/>
          <w:szCs w:val="18"/>
          <w:rtl/>
        </w:rPr>
        <w:t>42</w:t>
      </w:r>
    </w:p>
  </w:footnote>
  <w:footnote w:id="11">
    <w:p w:rsidR="00DB5253" w:rsidRDefault="00DB5253" w:rsidP="00DB5253">
      <w:pPr>
        <w:pStyle w:val="a5"/>
        <w:rPr>
          <w:rFonts w:hint="cs"/>
        </w:rPr>
      </w:pPr>
      <w:r>
        <w:rPr>
          <w:rStyle w:val="a7"/>
        </w:rPr>
        <w:footnoteRef/>
      </w:r>
      <w:r>
        <w:rPr>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w:t>
      </w:r>
      <w:r w:rsidRPr="000707B7">
        <w:rPr>
          <w:rFonts w:cs="David" w:hint="cs"/>
          <w:sz w:val="18"/>
          <w:szCs w:val="18"/>
          <w:rtl/>
        </w:rPr>
        <w:t xml:space="preserve"> </w:t>
      </w:r>
      <w:r>
        <w:rPr>
          <w:rFonts w:cs="David" w:hint="cs"/>
          <w:sz w:val="18"/>
          <w:szCs w:val="18"/>
          <w:rtl/>
        </w:rPr>
        <w:t>77.</w:t>
      </w:r>
    </w:p>
  </w:footnote>
  <w:footnote w:id="12">
    <w:p w:rsidR="00CD31C2" w:rsidRDefault="00CD31C2" w:rsidP="00CD31C2">
      <w:pPr>
        <w:pStyle w:val="a5"/>
        <w:rPr>
          <w:rFonts w:hint="cs"/>
          <w:rtl/>
        </w:rPr>
      </w:pPr>
      <w:r>
        <w:rPr>
          <w:rStyle w:val="a7"/>
        </w:rPr>
        <w:footnoteRef/>
      </w:r>
      <w:r>
        <w:rPr>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w:t>
      </w:r>
      <w:r w:rsidRPr="000707B7">
        <w:rPr>
          <w:rFonts w:cs="David" w:hint="cs"/>
          <w:sz w:val="18"/>
          <w:szCs w:val="18"/>
          <w:rtl/>
        </w:rPr>
        <w:t xml:space="preserve"> </w:t>
      </w:r>
      <w:r>
        <w:rPr>
          <w:rFonts w:cs="David" w:hint="cs"/>
          <w:sz w:val="18"/>
          <w:szCs w:val="18"/>
          <w:rtl/>
        </w:rPr>
        <w:t>55-63.</w:t>
      </w:r>
    </w:p>
  </w:footnote>
  <w:footnote w:id="13">
    <w:p w:rsidR="007812D5" w:rsidRPr="007812D5" w:rsidRDefault="007812D5">
      <w:pPr>
        <w:pStyle w:val="a5"/>
        <w:rPr>
          <w:rStyle w:val="a7"/>
          <w:rFonts w:cs="David"/>
          <w:sz w:val="28"/>
          <w:szCs w:val="28"/>
          <w:rtl/>
        </w:rPr>
      </w:pPr>
      <w:r w:rsidRPr="007812D5">
        <w:rPr>
          <w:rStyle w:val="a7"/>
          <w:rFonts w:cs="David"/>
          <w:sz w:val="28"/>
          <w:szCs w:val="28"/>
        </w:rPr>
        <w:footnoteRef/>
      </w:r>
      <w:r w:rsidRPr="007812D5">
        <w:rPr>
          <w:rStyle w:val="a7"/>
          <w:rFonts w:cs="David"/>
          <w:sz w:val="28"/>
          <w:szCs w:val="28"/>
          <w:rtl/>
        </w:rPr>
        <w:t xml:space="preserve"> </w:t>
      </w:r>
      <w:r w:rsidRPr="007812D5">
        <w:rPr>
          <w:rStyle w:val="a7"/>
          <w:rFonts w:cs="David" w:hint="cs"/>
          <w:sz w:val="28"/>
          <w:szCs w:val="28"/>
          <w:rtl/>
        </w:rPr>
        <w:t xml:space="preserve">ראה </w:t>
      </w:r>
      <w:proofErr w:type="spellStart"/>
      <w:r w:rsidRPr="007812D5">
        <w:rPr>
          <w:rStyle w:val="a7"/>
          <w:rFonts w:cs="David" w:hint="cs"/>
          <w:sz w:val="28"/>
          <w:szCs w:val="28"/>
          <w:rtl/>
        </w:rPr>
        <w:t>ה"ש</w:t>
      </w:r>
      <w:proofErr w:type="spellEnd"/>
      <w:r w:rsidRPr="007812D5">
        <w:rPr>
          <w:rStyle w:val="a7"/>
          <w:rFonts w:cs="David" w:hint="cs"/>
          <w:sz w:val="28"/>
          <w:szCs w:val="28"/>
          <w:rtl/>
        </w:rPr>
        <w:t xml:space="preserve"> </w:t>
      </w:r>
      <w:r w:rsidRPr="007812D5">
        <w:rPr>
          <w:rStyle w:val="a7"/>
          <w:rFonts w:cs="David"/>
          <w:sz w:val="28"/>
          <w:szCs w:val="28"/>
          <w:rtl/>
        </w:rPr>
        <w:fldChar w:fldCharType="begin"/>
      </w:r>
      <w:r w:rsidRPr="007812D5">
        <w:rPr>
          <w:rStyle w:val="a7"/>
          <w:rFonts w:cs="David"/>
          <w:sz w:val="28"/>
          <w:szCs w:val="28"/>
          <w:rtl/>
        </w:rPr>
        <w:instrText xml:space="preserve"> </w:instrText>
      </w:r>
      <w:r w:rsidRPr="007812D5">
        <w:rPr>
          <w:rStyle w:val="a7"/>
          <w:rFonts w:cs="David" w:hint="cs"/>
          <w:sz w:val="28"/>
          <w:szCs w:val="28"/>
        </w:rPr>
        <w:instrText>NOTEREF</w:instrText>
      </w:r>
      <w:r w:rsidRPr="007812D5">
        <w:rPr>
          <w:rStyle w:val="a7"/>
          <w:rFonts w:cs="David" w:hint="cs"/>
          <w:sz w:val="28"/>
          <w:szCs w:val="28"/>
          <w:rtl/>
        </w:rPr>
        <w:instrText xml:space="preserve"> _</w:instrText>
      </w:r>
      <w:r w:rsidRPr="007812D5">
        <w:rPr>
          <w:rStyle w:val="a7"/>
          <w:rFonts w:cs="David" w:hint="cs"/>
          <w:sz w:val="28"/>
          <w:szCs w:val="28"/>
        </w:rPr>
        <w:instrText>Ref25637340 \h</w:instrText>
      </w:r>
      <w:r w:rsidRPr="007812D5">
        <w:rPr>
          <w:rStyle w:val="a7"/>
          <w:rFonts w:cs="David"/>
          <w:sz w:val="28"/>
          <w:szCs w:val="28"/>
          <w:rtl/>
        </w:rPr>
        <w:instrText xml:space="preserve"> </w:instrText>
      </w:r>
      <w:r w:rsidRPr="007812D5">
        <w:rPr>
          <w:rStyle w:val="a7"/>
          <w:rFonts w:cs="David"/>
          <w:sz w:val="28"/>
          <w:szCs w:val="28"/>
          <w:rtl/>
        </w:rPr>
      </w:r>
      <w:r w:rsidRPr="007812D5">
        <w:rPr>
          <w:rStyle w:val="a7"/>
          <w:rFonts w:cs="David"/>
          <w:sz w:val="28"/>
          <w:szCs w:val="28"/>
          <w:rtl/>
        </w:rPr>
        <w:instrText xml:space="preserve"> \* </w:instrText>
      </w:r>
      <w:r w:rsidRPr="007812D5">
        <w:rPr>
          <w:rStyle w:val="a7"/>
          <w:rFonts w:cs="David"/>
          <w:sz w:val="28"/>
          <w:szCs w:val="28"/>
        </w:rPr>
        <w:instrText>MERGEFORMAT</w:instrText>
      </w:r>
      <w:r w:rsidRPr="007812D5">
        <w:rPr>
          <w:rStyle w:val="a7"/>
          <w:rFonts w:cs="David"/>
          <w:sz w:val="28"/>
          <w:szCs w:val="28"/>
          <w:rtl/>
        </w:rPr>
        <w:instrText xml:space="preserve"> </w:instrText>
      </w:r>
      <w:r w:rsidRPr="007812D5">
        <w:rPr>
          <w:rStyle w:val="a7"/>
          <w:rFonts w:cs="David"/>
          <w:sz w:val="28"/>
          <w:szCs w:val="28"/>
          <w:rtl/>
        </w:rPr>
        <w:fldChar w:fldCharType="separate"/>
      </w:r>
      <w:r w:rsidRPr="007812D5">
        <w:rPr>
          <w:rStyle w:val="a7"/>
          <w:rFonts w:cs="David"/>
          <w:sz w:val="28"/>
          <w:szCs w:val="28"/>
          <w:rtl/>
        </w:rPr>
        <w:t>20</w:t>
      </w:r>
      <w:r w:rsidRPr="007812D5">
        <w:rPr>
          <w:rStyle w:val="a7"/>
          <w:rFonts w:cs="David"/>
          <w:sz w:val="28"/>
          <w:szCs w:val="28"/>
          <w:rtl/>
        </w:rPr>
        <w:fldChar w:fldCharType="end"/>
      </w:r>
      <w:r w:rsidRPr="007812D5">
        <w:rPr>
          <w:rStyle w:val="a7"/>
          <w:rFonts w:cs="David" w:hint="cs"/>
          <w:sz w:val="28"/>
          <w:szCs w:val="28"/>
          <w:rtl/>
        </w:rPr>
        <w:t xml:space="preserve"> להלן. </w:t>
      </w:r>
    </w:p>
  </w:footnote>
  <w:footnote w:id="14">
    <w:p w:rsidR="0076593E" w:rsidRDefault="0076593E" w:rsidP="0076593E">
      <w:pPr>
        <w:pStyle w:val="a5"/>
        <w:rPr>
          <w:rFonts w:hint="cs"/>
        </w:rPr>
      </w:pPr>
      <w:r>
        <w:rPr>
          <w:rStyle w:val="a7"/>
        </w:rPr>
        <w:footnoteRef/>
      </w:r>
      <w:r>
        <w:rPr>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w:t>
      </w:r>
      <w:r w:rsidRPr="000707B7">
        <w:rPr>
          <w:rFonts w:cs="David" w:hint="cs"/>
          <w:sz w:val="18"/>
          <w:szCs w:val="18"/>
          <w:rtl/>
        </w:rPr>
        <w:t xml:space="preserve"> </w:t>
      </w:r>
      <w:r>
        <w:rPr>
          <w:rFonts w:cs="David" w:hint="cs"/>
          <w:sz w:val="18"/>
          <w:szCs w:val="18"/>
          <w:rtl/>
        </w:rPr>
        <w:t>338</w:t>
      </w:r>
    </w:p>
    <w:p w:rsidR="0076593E" w:rsidRDefault="0076593E">
      <w:pPr>
        <w:pStyle w:val="a5"/>
        <w:rPr>
          <w:rFonts w:hint="cs"/>
          <w:rtl/>
        </w:rPr>
      </w:pPr>
    </w:p>
  </w:footnote>
  <w:footnote w:id="15">
    <w:p w:rsidR="006C567B" w:rsidRDefault="006C567B" w:rsidP="006C567B">
      <w:pPr>
        <w:pStyle w:val="a5"/>
        <w:rPr>
          <w:rFonts w:hint="cs"/>
        </w:rPr>
      </w:pPr>
      <w:r>
        <w:rPr>
          <w:rStyle w:val="a7"/>
        </w:rPr>
        <w:footnoteRef/>
      </w:r>
      <w:r>
        <w:rPr>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w:t>
      </w:r>
      <w:r w:rsidRPr="000707B7">
        <w:rPr>
          <w:rFonts w:cs="David" w:hint="cs"/>
          <w:sz w:val="18"/>
          <w:szCs w:val="18"/>
          <w:rtl/>
        </w:rPr>
        <w:t xml:space="preserve"> </w:t>
      </w:r>
      <w:r>
        <w:rPr>
          <w:rFonts w:cs="David" w:hint="cs"/>
          <w:sz w:val="18"/>
          <w:szCs w:val="18"/>
          <w:rtl/>
        </w:rPr>
        <w:t>339</w:t>
      </w:r>
    </w:p>
  </w:footnote>
  <w:footnote w:id="16">
    <w:p w:rsidR="00DC1A2E" w:rsidRDefault="00DC1A2E" w:rsidP="00DC1A2E">
      <w:pPr>
        <w:pStyle w:val="a5"/>
        <w:rPr>
          <w:rFonts w:hint="cs"/>
        </w:rPr>
      </w:pPr>
      <w:r>
        <w:rPr>
          <w:rStyle w:val="a7"/>
        </w:rPr>
        <w:footnoteRef/>
      </w:r>
      <w:r>
        <w:rPr>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w:t>
      </w:r>
      <w:r w:rsidRPr="000707B7">
        <w:rPr>
          <w:rFonts w:cs="David" w:hint="cs"/>
          <w:sz w:val="18"/>
          <w:szCs w:val="18"/>
          <w:rtl/>
        </w:rPr>
        <w:t xml:space="preserve"> </w:t>
      </w:r>
      <w:r>
        <w:rPr>
          <w:rFonts w:cs="David" w:hint="cs"/>
          <w:sz w:val="18"/>
          <w:szCs w:val="18"/>
          <w:rtl/>
        </w:rPr>
        <w:t>352</w:t>
      </w:r>
    </w:p>
  </w:footnote>
  <w:footnote w:id="17">
    <w:p w:rsidR="00E804AC" w:rsidRDefault="00E804AC" w:rsidP="00E804AC">
      <w:pPr>
        <w:pStyle w:val="a5"/>
        <w:rPr>
          <w:rFonts w:hint="cs"/>
        </w:rPr>
      </w:pPr>
      <w:r>
        <w:rPr>
          <w:rStyle w:val="a7"/>
        </w:rPr>
        <w:footnoteRef/>
      </w:r>
      <w:r>
        <w:rPr>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w:t>
      </w:r>
      <w:r w:rsidRPr="000707B7">
        <w:rPr>
          <w:rFonts w:cs="David" w:hint="cs"/>
          <w:sz w:val="18"/>
          <w:szCs w:val="18"/>
          <w:rtl/>
        </w:rPr>
        <w:t xml:space="preserve"> </w:t>
      </w:r>
      <w:r>
        <w:rPr>
          <w:rFonts w:cs="David" w:hint="cs"/>
          <w:sz w:val="18"/>
          <w:szCs w:val="18"/>
          <w:rtl/>
        </w:rPr>
        <w:t>320.</w:t>
      </w:r>
    </w:p>
  </w:footnote>
  <w:footnote w:id="18">
    <w:p w:rsidR="00E804AC" w:rsidRDefault="00E804AC" w:rsidP="00E804AC">
      <w:pPr>
        <w:pStyle w:val="a5"/>
        <w:rPr>
          <w:rFonts w:hint="cs"/>
        </w:rPr>
      </w:pPr>
      <w:r>
        <w:rPr>
          <w:rStyle w:val="a7"/>
        </w:rPr>
        <w:footnoteRef/>
      </w:r>
      <w:r>
        <w:rPr>
          <w:rtl/>
        </w:rPr>
        <w:t xml:space="preserve"> </w:t>
      </w:r>
      <w:r>
        <w:rPr>
          <w:rFonts w:cs="David" w:hint="cs"/>
          <w:sz w:val="18"/>
          <w:szCs w:val="18"/>
          <w:rtl/>
        </w:rPr>
        <w:t xml:space="preserve">ראה </w:t>
      </w:r>
      <w:proofErr w:type="spellStart"/>
      <w:r>
        <w:rPr>
          <w:rFonts w:cs="David" w:hint="cs"/>
          <w:sz w:val="18"/>
          <w:szCs w:val="18"/>
          <w:rtl/>
        </w:rPr>
        <w:t>ה"ש</w:t>
      </w:r>
      <w:proofErr w:type="spellEnd"/>
      <w:r>
        <w:rPr>
          <w:rFonts w:cs="David" w:hint="cs"/>
          <w:sz w:val="18"/>
          <w:szCs w:val="18"/>
          <w:rtl/>
        </w:rPr>
        <w:t xml:space="preserve"> </w:t>
      </w:r>
      <w:r>
        <w:rPr>
          <w:rFonts w:cs="David"/>
          <w:sz w:val="18"/>
          <w:szCs w:val="18"/>
          <w:rtl/>
        </w:rPr>
        <w:fldChar w:fldCharType="begin"/>
      </w:r>
      <w:r>
        <w:rPr>
          <w:rFonts w:cs="David"/>
          <w:sz w:val="18"/>
          <w:szCs w:val="18"/>
          <w:rtl/>
        </w:rPr>
        <w:instrText xml:space="preserve"> </w:instrText>
      </w:r>
      <w:r>
        <w:rPr>
          <w:rFonts w:cs="David"/>
          <w:sz w:val="18"/>
          <w:szCs w:val="18"/>
        </w:rPr>
        <w:instrText>NOTEREF</w:instrText>
      </w:r>
      <w:r>
        <w:rPr>
          <w:rFonts w:cs="David"/>
          <w:sz w:val="18"/>
          <w:szCs w:val="18"/>
          <w:rtl/>
        </w:rPr>
        <w:instrText xml:space="preserve"> _</w:instrText>
      </w:r>
      <w:r>
        <w:rPr>
          <w:rFonts w:cs="David"/>
          <w:sz w:val="18"/>
          <w:szCs w:val="18"/>
        </w:rPr>
        <w:instrText>Ref25624194 \h</w:instrText>
      </w:r>
      <w:r>
        <w:rPr>
          <w:rFonts w:cs="David"/>
          <w:sz w:val="18"/>
          <w:szCs w:val="18"/>
          <w:rtl/>
        </w:rPr>
        <w:instrText xml:space="preserve"> </w:instrText>
      </w:r>
      <w:r>
        <w:rPr>
          <w:rFonts w:cs="David"/>
          <w:sz w:val="18"/>
          <w:szCs w:val="18"/>
          <w:rtl/>
        </w:rPr>
      </w:r>
      <w:r>
        <w:rPr>
          <w:rFonts w:cs="David"/>
          <w:sz w:val="18"/>
          <w:szCs w:val="18"/>
          <w:rtl/>
        </w:rPr>
        <w:instrText xml:space="preserve"> \* </w:instrText>
      </w:r>
      <w:r>
        <w:rPr>
          <w:rFonts w:cs="David"/>
          <w:sz w:val="18"/>
          <w:szCs w:val="18"/>
        </w:rPr>
        <w:instrText>MERGEFORMAT</w:instrText>
      </w:r>
      <w:r>
        <w:rPr>
          <w:rFonts w:cs="David"/>
          <w:sz w:val="18"/>
          <w:szCs w:val="18"/>
          <w:rtl/>
        </w:rPr>
        <w:instrText xml:space="preserve"> </w:instrText>
      </w:r>
      <w:r>
        <w:rPr>
          <w:rFonts w:cs="David"/>
          <w:sz w:val="18"/>
          <w:szCs w:val="18"/>
          <w:rtl/>
        </w:rPr>
        <w:fldChar w:fldCharType="separate"/>
      </w:r>
      <w:r>
        <w:rPr>
          <w:rFonts w:cs="David"/>
          <w:sz w:val="18"/>
          <w:szCs w:val="18"/>
          <w:rtl/>
        </w:rPr>
        <w:t>3</w:t>
      </w:r>
      <w:r>
        <w:rPr>
          <w:rFonts w:cs="David"/>
          <w:sz w:val="18"/>
          <w:szCs w:val="18"/>
          <w:rtl/>
        </w:rPr>
        <w:fldChar w:fldCharType="end"/>
      </w:r>
      <w:r w:rsidRPr="00140B0F">
        <w:rPr>
          <w:rFonts w:cs="David" w:hint="cs"/>
          <w:sz w:val="18"/>
          <w:szCs w:val="18"/>
          <w:rtl/>
        </w:rPr>
        <w:t>, בעמ'</w:t>
      </w:r>
      <w:r w:rsidRPr="000707B7">
        <w:rPr>
          <w:rFonts w:cs="David" w:hint="cs"/>
          <w:sz w:val="18"/>
          <w:szCs w:val="18"/>
          <w:rtl/>
        </w:rPr>
        <w:t xml:space="preserve"> </w:t>
      </w:r>
      <w:r>
        <w:rPr>
          <w:rFonts w:cs="David" w:hint="cs"/>
          <w:sz w:val="18"/>
          <w:szCs w:val="18"/>
          <w:rtl/>
        </w:rPr>
        <w:t>334</w:t>
      </w:r>
    </w:p>
  </w:footnote>
  <w:footnote w:id="19">
    <w:p w:rsidR="00761241" w:rsidRPr="00761241" w:rsidRDefault="00761241">
      <w:pPr>
        <w:pStyle w:val="a5"/>
        <w:rPr>
          <w:rFonts w:cs="David" w:hint="cs"/>
          <w:rtl/>
        </w:rPr>
      </w:pPr>
      <w:r w:rsidRPr="00761241">
        <w:rPr>
          <w:rStyle w:val="a7"/>
          <w:rFonts w:cs="David"/>
          <w:sz w:val="28"/>
          <w:szCs w:val="28"/>
        </w:rPr>
        <w:footnoteRef/>
      </w:r>
      <w:r w:rsidRPr="00761241">
        <w:rPr>
          <w:rStyle w:val="a7"/>
          <w:rFonts w:cs="David"/>
          <w:sz w:val="28"/>
          <w:szCs w:val="28"/>
          <w:rtl/>
        </w:rPr>
        <w:t xml:space="preserve"> </w:t>
      </w:r>
      <w:r w:rsidRPr="00761241">
        <w:rPr>
          <w:rStyle w:val="a7"/>
          <w:rFonts w:cs="David" w:hint="cs"/>
          <w:sz w:val="28"/>
          <w:szCs w:val="28"/>
          <w:rtl/>
        </w:rPr>
        <w:t xml:space="preserve">משה בן עטר, פורסם 18.6.18 </w:t>
      </w:r>
      <w:hyperlink r:id="rId3" w:history="1">
        <w:r w:rsidRPr="00761241">
          <w:rPr>
            <w:rStyle w:val="a7"/>
            <w:rFonts w:cs="David"/>
            <w:sz w:val="28"/>
            <w:szCs w:val="28"/>
          </w:rPr>
          <w:t>https://www.haaretz.co.il/blogs/moshebatar/BLOG-1.6179472?utm_source=Web_Share&amp;utm_medium=Whatsapp&amp;utm_campaign=Sha</w:t>
        </w:r>
        <w:r w:rsidRPr="00761241">
          <w:rPr>
            <w:rStyle w:val="a7"/>
            <w:rFonts w:cs="David"/>
            <w:sz w:val="28"/>
            <w:szCs w:val="28"/>
          </w:rPr>
          <w:t>re</w:t>
        </w:r>
      </w:hyperlink>
    </w:p>
    <w:p w:rsidR="00761241" w:rsidRDefault="00761241">
      <w:pPr>
        <w:pStyle w:val="a5"/>
        <w:rPr>
          <w:rFonts w:hint="cs"/>
        </w:rPr>
      </w:pPr>
    </w:p>
  </w:footnote>
  <w:footnote w:id="20">
    <w:p w:rsidR="00761241" w:rsidRPr="00761241" w:rsidRDefault="00761241">
      <w:pPr>
        <w:pStyle w:val="a5"/>
        <w:rPr>
          <w:rStyle w:val="a7"/>
          <w:rFonts w:cs="David"/>
          <w:sz w:val="28"/>
          <w:szCs w:val="28"/>
        </w:rPr>
      </w:pPr>
      <w:r w:rsidRPr="00761241">
        <w:rPr>
          <w:rStyle w:val="a7"/>
          <w:rFonts w:cs="David"/>
          <w:sz w:val="28"/>
          <w:szCs w:val="28"/>
        </w:rPr>
        <w:footnoteRef/>
      </w:r>
      <w:r w:rsidRPr="00761241">
        <w:rPr>
          <w:rStyle w:val="a7"/>
          <w:rFonts w:cs="David"/>
          <w:sz w:val="28"/>
          <w:szCs w:val="28"/>
          <w:rtl/>
        </w:rPr>
        <w:t xml:space="preserve"> </w:t>
      </w:r>
      <w:r w:rsidRPr="00761241">
        <w:rPr>
          <w:rStyle w:val="a7"/>
          <w:rFonts w:cs="David" w:hint="cs"/>
          <w:sz w:val="28"/>
          <w:szCs w:val="28"/>
          <w:rtl/>
        </w:rPr>
        <w:t xml:space="preserve">דני </w:t>
      </w:r>
      <w:proofErr w:type="spellStart"/>
      <w:r w:rsidRPr="00761241">
        <w:rPr>
          <w:rStyle w:val="a7"/>
          <w:rFonts w:cs="David" w:hint="cs"/>
          <w:sz w:val="28"/>
          <w:szCs w:val="28"/>
          <w:rtl/>
        </w:rPr>
        <w:t>גוטווין</w:t>
      </w:r>
      <w:proofErr w:type="spellEnd"/>
      <w:r w:rsidRPr="00761241">
        <w:rPr>
          <w:rStyle w:val="a7"/>
          <w:rFonts w:cs="David" w:hint="cs"/>
          <w:sz w:val="28"/>
          <w:szCs w:val="28"/>
          <w:rtl/>
        </w:rPr>
        <w:t>, 25.7.2018</w:t>
      </w:r>
      <w:r>
        <w:rPr>
          <w:rFonts w:cs="David" w:hint="cs"/>
          <w:sz w:val="28"/>
          <w:szCs w:val="28"/>
          <w:rtl/>
        </w:rPr>
        <w:t xml:space="preserve"> </w:t>
      </w:r>
      <w:hyperlink r:id="rId4" w:history="1">
        <w:r>
          <w:rPr>
            <w:rStyle w:val="Hyperlink"/>
          </w:rPr>
          <w:t>https://www.haaretz.co.il/literature/study/.premium-REVIEW-1.6311533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A06"/>
    <w:multiLevelType w:val="hybridMultilevel"/>
    <w:tmpl w:val="84D68850"/>
    <w:lvl w:ilvl="0" w:tplc="04090001">
      <w:start w:val="1"/>
      <w:numFmt w:val="bullet"/>
      <w:lvlText w:val=""/>
      <w:lvlJc w:val="left"/>
      <w:pPr>
        <w:ind w:left="1355" w:hanging="360"/>
      </w:pPr>
      <w:rPr>
        <w:rFonts w:ascii="Symbol" w:hAnsi="Symbol" w:hint="default"/>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1">
    <w:nsid w:val="29491739"/>
    <w:multiLevelType w:val="hybridMultilevel"/>
    <w:tmpl w:val="C610E408"/>
    <w:lvl w:ilvl="0" w:tplc="E0E42AD0">
      <w:start w:val="1"/>
      <w:numFmt w:val="hebrew1"/>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nsid w:val="3EDB1789"/>
    <w:multiLevelType w:val="hybridMultilevel"/>
    <w:tmpl w:val="2A3467F0"/>
    <w:lvl w:ilvl="0" w:tplc="04090001">
      <w:start w:val="1"/>
      <w:numFmt w:val="bullet"/>
      <w:lvlText w:val=""/>
      <w:lvlJc w:val="left"/>
      <w:pPr>
        <w:ind w:left="1355" w:hanging="360"/>
      </w:pPr>
      <w:rPr>
        <w:rFonts w:ascii="Symbol" w:hAnsi="Symbol" w:hint="default"/>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3">
    <w:nsid w:val="56914925"/>
    <w:multiLevelType w:val="multilevel"/>
    <w:tmpl w:val="CCC2C5D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5774E6F"/>
    <w:multiLevelType w:val="hybridMultilevel"/>
    <w:tmpl w:val="72464CCC"/>
    <w:lvl w:ilvl="0" w:tplc="60841718">
      <w:start w:val="1"/>
      <w:numFmt w:val="hebrew1"/>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5C"/>
    <w:rsid w:val="000032BB"/>
    <w:rsid w:val="000035DD"/>
    <w:rsid w:val="00014D06"/>
    <w:rsid w:val="00033F94"/>
    <w:rsid w:val="0006479B"/>
    <w:rsid w:val="000707B7"/>
    <w:rsid w:val="000D3C24"/>
    <w:rsid w:val="00117F03"/>
    <w:rsid w:val="00140B0F"/>
    <w:rsid w:val="00160C01"/>
    <w:rsid w:val="001F0614"/>
    <w:rsid w:val="001F314A"/>
    <w:rsid w:val="0022640A"/>
    <w:rsid w:val="002304A4"/>
    <w:rsid w:val="002318C5"/>
    <w:rsid w:val="00233543"/>
    <w:rsid w:val="00235EB0"/>
    <w:rsid w:val="0024759D"/>
    <w:rsid w:val="002C0599"/>
    <w:rsid w:val="002C4865"/>
    <w:rsid w:val="002F4083"/>
    <w:rsid w:val="00331933"/>
    <w:rsid w:val="00385D51"/>
    <w:rsid w:val="00394EF7"/>
    <w:rsid w:val="00405023"/>
    <w:rsid w:val="00485CEF"/>
    <w:rsid w:val="00495740"/>
    <w:rsid w:val="004B3F7B"/>
    <w:rsid w:val="004C0B0D"/>
    <w:rsid w:val="004D3673"/>
    <w:rsid w:val="004D7A5C"/>
    <w:rsid w:val="00521077"/>
    <w:rsid w:val="00586FCA"/>
    <w:rsid w:val="00587903"/>
    <w:rsid w:val="005A732E"/>
    <w:rsid w:val="005C401A"/>
    <w:rsid w:val="00613E99"/>
    <w:rsid w:val="00620E19"/>
    <w:rsid w:val="0063603C"/>
    <w:rsid w:val="00640B04"/>
    <w:rsid w:val="00642359"/>
    <w:rsid w:val="00674009"/>
    <w:rsid w:val="006741E2"/>
    <w:rsid w:val="00683AE3"/>
    <w:rsid w:val="006C3DEE"/>
    <w:rsid w:val="006C5298"/>
    <w:rsid w:val="006C567B"/>
    <w:rsid w:val="007206F8"/>
    <w:rsid w:val="0074757F"/>
    <w:rsid w:val="00761241"/>
    <w:rsid w:val="0076593E"/>
    <w:rsid w:val="007812D5"/>
    <w:rsid w:val="007A105C"/>
    <w:rsid w:val="007C1EEE"/>
    <w:rsid w:val="007C70C5"/>
    <w:rsid w:val="007E28FC"/>
    <w:rsid w:val="007F17DA"/>
    <w:rsid w:val="00813905"/>
    <w:rsid w:val="008372A9"/>
    <w:rsid w:val="0086764E"/>
    <w:rsid w:val="0088414F"/>
    <w:rsid w:val="00891F59"/>
    <w:rsid w:val="00892C62"/>
    <w:rsid w:val="00985FA4"/>
    <w:rsid w:val="009A02C8"/>
    <w:rsid w:val="009E1259"/>
    <w:rsid w:val="00A27122"/>
    <w:rsid w:val="00A76370"/>
    <w:rsid w:val="00A77AE9"/>
    <w:rsid w:val="00A956D2"/>
    <w:rsid w:val="00B64354"/>
    <w:rsid w:val="00BB5ECC"/>
    <w:rsid w:val="00C159CC"/>
    <w:rsid w:val="00C619FB"/>
    <w:rsid w:val="00CA4F24"/>
    <w:rsid w:val="00CD21F6"/>
    <w:rsid w:val="00CD31C2"/>
    <w:rsid w:val="00D01FCF"/>
    <w:rsid w:val="00D64C81"/>
    <w:rsid w:val="00D92115"/>
    <w:rsid w:val="00DB5253"/>
    <w:rsid w:val="00DC1A2E"/>
    <w:rsid w:val="00E24320"/>
    <w:rsid w:val="00E35184"/>
    <w:rsid w:val="00E4175D"/>
    <w:rsid w:val="00E4464D"/>
    <w:rsid w:val="00E804AC"/>
    <w:rsid w:val="00E83EF7"/>
    <w:rsid w:val="00E931A0"/>
    <w:rsid w:val="00E94591"/>
    <w:rsid w:val="00F444B5"/>
    <w:rsid w:val="00F57BE5"/>
    <w:rsid w:val="00F7753E"/>
    <w:rsid w:val="00F803E1"/>
    <w:rsid w:val="00FC1E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F7B"/>
    <w:pPr>
      <w:ind w:left="720"/>
      <w:contextualSpacing/>
    </w:pPr>
  </w:style>
  <w:style w:type="paragraph" w:styleId="NormalWeb">
    <w:name w:val="Normal (Web)"/>
    <w:basedOn w:val="a"/>
    <w:uiPriority w:val="99"/>
    <w:semiHidden/>
    <w:unhideWhenUsed/>
    <w:rsid w:val="00BB5E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5ECC"/>
    <w:rPr>
      <w:b/>
      <w:bCs/>
    </w:rPr>
  </w:style>
  <w:style w:type="paragraph" w:styleId="a5">
    <w:name w:val="footnote text"/>
    <w:basedOn w:val="a"/>
    <w:link w:val="a6"/>
    <w:uiPriority w:val="99"/>
    <w:semiHidden/>
    <w:unhideWhenUsed/>
    <w:rsid w:val="00BB5ECC"/>
    <w:pPr>
      <w:spacing w:after="0" w:line="240" w:lineRule="auto"/>
    </w:pPr>
    <w:rPr>
      <w:sz w:val="20"/>
      <w:szCs w:val="20"/>
    </w:rPr>
  </w:style>
  <w:style w:type="character" w:customStyle="1" w:styleId="a6">
    <w:name w:val="טקסט הערת שוליים תו"/>
    <w:basedOn w:val="a0"/>
    <w:link w:val="a5"/>
    <w:uiPriority w:val="99"/>
    <w:semiHidden/>
    <w:rsid w:val="00BB5ECC"/>
    <w:rPr>
      <w:sz w:val="20"/>
      <w:szCs w:val="20"/>
    </w:rPr>
  </w:style>
  <w:style w:type="character" w:styleId="a7">
    <w:name w:val="footnote reference"/>
    <w:basedOn w:val="a0"/>
    <w:uiPriority w:val="99"/>
    <w:semiHidden/>
    <w:unhideWhenUsed/>
    <w:rsid w:val="00BB5ECC"/>
    <w:rPr>
      <w:vertAlign w:val="superscript"/>
    </w:rPr>
  </w:style>
  <w:style w:type="character" w:styleId="Hyperlink">
    <w:name w:val="Hyperlink"/>
    <w:basedOn w:val="a0"/>
    <w:uiPriority w:val="99"/>
    <w:semiHidden/>
    <w:unhideWhenUsed/>
    <w:rsid w:val="00BB5ECC"/>
    <w:rPr>
      <w:color w:val="0000FF"/>
      <w:u w:val="single"/>
    </w:rPr>
  </w:style>
  <w:style w:type="paragraph" w:styleId="a8">
    <w:name w:val="header"/>
    <w:basedOn w:val="a"/>
    <w:link w:val="a9"/>
    <w:uiPriority w:val="99"/>
    <w:unhideWhenUsed/>
    <w:rsid w:val="007206F8"/>
    <w:pPr>
      <w:tabs>
        <w:tab w:val="center" w:pos="4153"/>
        <w:tab w:val="right" w:pos="8306"/>
      </w:tabs>
      <w:spacing w:after="0" w:line="240" w:lineRule="auto"/>
    </w:pPr>
  </w:style>
  <w:style w:type="character" w:customStyle="1" w:styleId="a9">
    <w:name w:val="כותרת עליונה תו"/>
    <w:basedOn w:val="a0"/>
    <w:link w:val="a8"/>
    <w:uiPriority w:val="99"/>
    <w:rsid w:val="007206F8"/>
  </w:style>
  <w:style w:type="paragraph" w:styleId="aa">
    <w:name w:val="footer"/>
    <w:basedOn w:val="a"/>
    <w:link w:val="ab"/>
    <w:uiPriority w:val="99"/>
    <w:unhideWhenUsed/>
    <w:rsid w:val="007206F8"/>
    <w:pPr>
      <w:tabs>
        <w:tab w:val="center" w:pos="4153"/>
        <w:tab w:val="right" w:pos="8306"/>
      </w:tabs>
      <w:spacing w:after="0" w:line="240" w:lineRule="auto"/>
    </w:pPr>
  </w:style>
  <w:style w:type="character" w:customStyle="1" w:styleId="ab">
    <w:name w:val="כותרת תחתונה תו"/>
    <w:basedOn w:val="a0"/>
    <w:link w:val="aa"/>
    <w:uiPriority w:val="99"/>
    <w:rsid w:val="007206F8"/>
  </w:style>
  <w:style w:type="character" w:styleId="ac">
    <w:name w:val="annotation reference"/>
    <w:basedOn w:val="a0"/>
    <w:uiPriority w:val="99"/>
    <w:semiHidden/>
    <w:unhideWhenUsed/>
    <w:rsid w:val="007812D5"/>
    <w:rPr>
      <w:sz w:val="16"/>
      <w:szCs w:val="16"/>
    </w:rPr>
  </w:style>
  <w:style w:type="paragraph" w:styleId="ad">
    <w:name w:val="annotation text"/>
    <w:basedOn w:val="a"/>
    <w:link w:val="ae"/>
    <w:uiPriority w:val="99"/>
    <w:semiHidden/>
    <w:unhideWhenUsed/>
    <w:rsid w:val="007812D5"/>
    <w:pPr>
      <w:spacing w:line="240" w:lineRule="auto"/>
    </w:pPr>
    <w:rPr>
      <w:sz w:val="20"/>
      <w:szCs w:val="20"/>
    </w:rPr>
  </w:style>
  <w:style w:type="character" w:customStyle="1" w:styleId="ae">
    <w:name w:val="טקסט הערה תו"/>
    <w:basedOn w:val="a0"/>
    <w:link w:val="ad"/>
    <w:uiPriority w:val="99"/>
    <w:semiHidden/>
    <w:rsid w:val="007812D5"/>
    <w:rPr>
      <w:sz w:val="20"/>
      <w:szCs w:val="20"/>
    </w:rPr>
  </w:style>
  <w:style w:type="paragraph" w:styleId="af">
    <w:name w:val="annotation subject"/>
    <w:basedOn w:val="ad"/>
    <w:next w:val="ad"/>
    <w:link w:val="af0"/>
    <w:uiPriority w:val="99"/>
    <w:semiHidden/>
    <w:unhideWhenUsed/>
    <w:rsid w:val="007812D5"/>
    <w:rPr>
      <w:b/>
      <w:bCs/>
    </w:rPr>
  </w:style>
  <w:style w:type="character" w:customStyle="1" w:styleId="af0">
    <w:name w:val="נושא הערה תו"/>
    <w:basedOn w:val="ae"/>
    <w:link w:val="af"/>
    <w:uiPriority w:val="99"/>
    <w:semiHidden/>
    <w:rsid w:val="007812D5"/>
    <w:rPr>
      <w:b/>
      <w:bCs/>
      <w:sz w:val="20"/>
      <w:szCs w:val="20"/>
    </w:rPr>
  </w:style>
  <w:style w:type="paragraph" w:styleId="af1">
    <w:name w:val="Balloon Text"/>
    <w:basedOn w:val="a"/>
    <w:link w:val="af2"/>
    <w:uiPriority w:val="99"/>
    <w:semiHidden/>
    <w:unhideWhenUsed/>
    <w:rsid w:val="007812D5"/>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7812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F7B"/>
    <w:pPr>
      <w:ind w:left="720"/>
      <w:contextualSpacing/>
    </w:pPr>
  </w:style>
  <w:style w:type="paragraph" w:styleId="NormalWeb">
    <w:name w:val="Normal (Web)"/>
    <w:basedOn w:val="a"/>
    <w:uiPriority w:val="99"/>
    <w:semiHidden/>
    <w:unhideWhenUsed/>
    <w:rsid w:val="00BB5E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B5ECC"/>
    <w:rPr>
      <w:b/>
      <w:bCs/>
    </w:rPr>
  </w:style>
  <w:style w:type="paragraph" w:styleId="a5">
    <w:name w:val="footnote text"/>
    <w:basedOn w:val="a"/>
    <w:link w:val="a6"/>
    <w:uiPriority w:val="99"/>
    <w:semiHidden/>
    <w:unhideWhenUsed/>
    <w:rsid w:val="00BB5ECC"/>
    <w:pPr>
      <w:spacing w:after="0" w:line="240" w:lineRule="auto"/>
    </w:pPr>
    <w:rPr>
      <w:sz w:val="20"/>
      <w:szCs w:val="20"/>
    </w:rPr>
  </w:style>
  <w:style w:type="character" w:customStyle="1" w:styleId="a6">
    <w:name w:val="טקסט הערת שוליים תו"/>
    <w:basedOn w:val="a0"/>
    <w:link w:val="a5"/>
    <w:uiPriority w:val="99"/>
    <w:semiHidden/>
    <w:rsid w:val="00BB5ECC"/>
    <w:rPr>
      <w:sz w:val="20"/>
      <w:szCs w:val="20"/>
    </w:rPr>
  </w:style>
  <w:style w:type="character" w:styleId="a7">
    <w:name w:val="footnote reference"/>
    <w:basedOn w:val="a0"/>
    <w:uiPriority w:val="99"/>
    <w:semiHidden/>
    <w:unhideWhenUsed/>
    <w:rsid w:val="00BB5ECC"/>
    <w:rPr>
      <w:vertAlign w:val="superscript"/>
    </w:rPr>
  </w:style>
  <w:style w:type="character" w:styleId="Hyperlink">
    <w:name w:val="Hyperlink"/>
    <w:basedOn w:val="a0"/>
    <w:uiPriority w:val="99"/>
    <w:semiHidden/>
    <w:unhideWhenUsed/>
    <w:rsid w:val="00BB5ECC"/>
    <w:rPr>
      <w:color w:val="0000FF"/>
      <w:u w:val="single"/>
    </w:rPr>
  </w:style>
  <w:style w:type="paragraph" w:styleId="a8">
    <w:name w:val="header"/>
    <w:basedOn w:val="a"/>
    <w:link w:val="a9"/>
    <w:uiPriority w:val="99"/>
    <w:unhideWhenUsed/>
    <w:rsid w:val="007206F8"/>
    <w:pPr>
      <w:tabs>
        <w:tab w:val="center" w:pos="4153"/>
        <w:tab w:val="right" w:pos="8306"/>
      </w:tabs>
      <w:spacing w:after="0" w:line="240" w:lineRule="auto"/>
    </w:pPr>
  </w:style>
  <w:style w:type="character" w:customStyle="1" w:styleId="a9">
    <w:name w:val="כותרת עליונה תו"/>
    <w:basedOn w:val="a0"/>
    <w:link w:val="a8"/>
    <w:uiPriority w:val="99"/>
    <w:rsid w:val="007206F8"/>
  </w:style>
  <w:style w:type="paragraph" w:styleId="aa">
    <w:name w:val="footer"/>
    <w:basedOn w:val="a"/>
    <w:link w:val="ab"/>
    <w:uiPriority w:val="99"/>
    <w:unhideWhenUsed/>
    <w:rsid w:val="007206F8"/>
    <w:pPr>
      <w:tabs>
        <w:tab w:val="center" w:pos="4153"/>
        <w:tab w:val="right" w:pos="8306"/>
      </w:tabs>
      <w:spacing w:after="0" w:line="240" w:lineRule="auto"/>
    </w:pPr>
  </w:style>
  <w:style w:type="character" w:customStyle="1" w:styleId="ab">
    <w:name w:val="כותרת תחתונה תו"/>
    <w:basedOn w:val="a0"/>
    <w:link w:val="aa"/>
    <w:uiPriority w:val="99"/>
    <w:rsid w:val="007206F8"/>
  </w:style>
  <w:style w:type="character" w:styleId="ac">
    <w:name w:val="annotation reference"/>
    <w:basedOn w:val="a0"/>
    <w:uiPriority w:val="99"/>
    <w:semiHidden/>
    <w:unhideWhenUsed/>
    <w:rsid w:val="007812D5"/>
    <w:rPr>
      <w:sz w:val="16"/>
      <w:szCs w:val="16"/>
    </w:rPr>
  </w:style>
  <w:style w:type="paragraph" w:styleId="ad">
    <w:name w:val="annotation text"/>
    <w:basedOn w:val="a"/>
    <w:link w:val="ae"/>
    <w:uiPriority w:val="99"/>
    <w:semiHidden/>
    <w:unhideWhenUsed/>
    <w:rsid w:val="007812D5"/>
    <w:pPr>
      <w:spacing w:line="240" w:lineRule="auto"/>
    </w:pPr>
    <w:rPr>
      <w:sz w:val="20"/>
      <w:szCs w:val="20"/>
    </w:rPr>
  </w:style>
  <w:style w:type="character" w:customStyle="1" w:styleId="ae">
    <w:name w:val="טקסט הערה תו"/>
    <w:basedOn w:val="a0"/>
    <w:link w:val="ad"/>
    <w:uiPriority w:val="99"/>
    <w:semiHidden/>
    <w:rsid w:val="007812D5"/>
    <w:rPr>
      <w:sz w:val="20"/>
      <w:szCs w:val="20"/>
    </w:rPr>
  </w:style>
  <w:style w:type="paragraph" w:styleId="af">
    <w:name w:val="annotation subject"/>
    <w:basedOn w:val="ad"/>
    <w:next w:val="ad"/>
    <w:link w:val="af0"/>
    <w:uiPriority w:val="99"/>
    <w:semiHidden/>
    <w:unhideWhenUsed/>
    <w:rsid w:val="007812D5"/>
    <w:rPr>
      <w:b/>
      <w:bCs/>
    </w:rPr>
  </w:style>
  <w:style w:type="character" w:customStyle="1" w:styleId="af0">
    <w:name w:val="נושא הערה תו"/>
    <w:basedOn w:val="ae"/>
    <w:link w:val="af"/>
    <w:uiPriority w:val="99"/>
    <w:semiHidden/>
    <w:rsid w:val="007812D5"/>
    <w:rPr>
      <w:b/>
      <w:bCs/>
      <w:sz w:val="20"/>
      <w:szCs w:val="20"/>
    </w:rPr>
  </w:style>
  <w:style w:type="paragraph" w:styleId="af1">
    <w:name w:val="Balloon Text"/>
    <w:basedOn w:val="a"/>
    <w:link w:val="af2"/>
    <w:uiPriority w:val="99"/>
    <w:semiHidden/>
    <w:unhideWhenUsed/>
    <w:rsid w:val="007812D5"/>
    <w:pPr>
      <w:spacing w:after="0" w:line="240" w:lineRule="auto"/>
    </w:pPr>
    <w:rPr>
      <w:rFonts w:ascii="Tahoma" w:hAnsi="Tahoma" w:cs="Tahoma"/>
      <w:sz w:val="16"/>
      <w:szCs w:val="16"/>
    </w:rPr>
  </w:style>
  <w:style w:type="character" w:customStyle="1" w:styleId="af2">
    <w:name w:val="טקסט בלונים תו"/>
    <w:basedOn w:val="a0"/>
    <w:link w:val="af1"/>
    <w:uiPriority w:val="99"/>
    <w:semiHidden/>
    <w:rsid w:val="00781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he.wikipedia.org/wiki/%D7%A7%D7%A4%D7%99%D7%98%D7%9C%D7%99%D7%96%D7%9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aaretz.co.il/blogs/moshebatar/BLOG-1.6179472?utm_source=Web_Share&amp;utm_medium=Whatsapp&amp;utm_campaign=Share" TargetMode="External"/><Relationship Id="rId2" Type="http://schemas.openxmlformats.org/officeDocument/2006/relationships/hyperlink" Target="http://mafteakh.tau.ac.il/wp-content/uploads/2011/11/4-2011-04.pdf" TargetMode="External"/><Relationship Id="rId1" Type="http://schemas.openxmlformats.org/officeDocument/2006/relationships/hyperlink" Target="https://en.wikipedia.org/wiki/Globalization" TargetMode="External"/><Relationship Id="rId4" Type="http://schemas.openxmlformats.org/officeDocument/2006/relationships/hyperlink" Target="https://www.haaretz.co.il/literature/study/.premium-REVIEW-1.631153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FDA4-D8BC-4BA8-90EF-203D0B39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Pages>
  <Words>2046</Words>
  <Characters>10230</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dcterms:created xsi:type="dcterms:W3CDTF">2019-11-25T20:04:00Z</dcterms:created>
  <dcterms:modified xsi:type="dcterms:W3CDTF">2019-11-26T06:41:00Z</dcterms:modified>
</cp:coreProperties>
</file>