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9C5" w:rsidRDefault="00D009C5" w:rsidP="00D009C5">
      <w:pPr>
        <w:jc w:val="center"/>
        <w:rPr>
          <w:sz w:val="144"/>
          <w:szCs w:val="144"/>
          <w:rtl/>
        </w:rPr>
      </w:pPr>
      <w:r>
        <w:rPr>
          <w:noProof/>
          <w:sz w:val="144"/>
          <w:szCs w:val="144"/>
        </w:rPr>
        <w:drawing>
          <wp:inline distT="0" distB="0" distL="0" distR="0">
            <wp:extent cx="1943100" cy="2352675"/>
            <wp:effectExtent l="0" t="0" r="0" b="9525"/>
            <wp:docPr id="2" name="תמונה 2" descr="C:\Users\אטיה\AppData\Local\Microsoft\Windows\INetCache\Content.MSO\887FD4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אטיה\AppData\Local\Microsoft\Windows\INetCache\Content.MSO\887FD45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352675"/>
                    </a:xfrm>
                    <a:prstGeom prst="rect">
                      <a:avLst/>
                    </a:prstGeom>
                    <a:noFill/>
                    <a:ln>
                      <a:noFill/>
                    </a:ln>
                  </pic:spPr>
                </pic:pic>
              </a:graphicData>
            </a:graphic>
          </wp:inline>
        </w:drawing>
      </w:r>
    </w:p>
    <w:p w:rsidR="00895CC6" w:rsidRPr="00D009C5" w:rsidRDefault="00D009C5" w:rsidP="00D009C5">
      <w:pPr>
        <w:jc w:val="center"/>
        <w:rPr>
          <w:sz w:val="56"/>
          <w:szCs w:val="56"/>
          <w:rtl/>
        </w:rPr>
      </w:pPr>
      <w:r w:rsidRPr="00D009C5">
        <w:rPr>
          <w:rFonts w:hint="cs"/>
          <w:sz w:val="56"/>
          <w:szCs w:val="56"/>
          <w:rtl/>
        </w:rPr>
        <w:t>מכללה לביטחון לאומי</w:t>
      </w:r>
    </w:p>
    <w:p w:rsidR="00D009C5" w:rsidRDefault="00D009C5" w:rsidP="00D009C5">
      <w:pPr>
        <w:jc w:val="center"/>
        <w:rPr>
          <w:sz w:val="56"/>
          <w:szCs w:val="56"/>
          <w:rtl/>
        </w:rPr>
      </w:pPr>
    </w:p>
    <w:p w:rsidR="00722125" w:rsidRDefault="004B5A27" w:rsidP="00722125">
      <w:pPr>
        <w:jc w:val="center"/>
        <w:rPr>
          <w:b/>
          <w:bCs/>
          <w:sz w:val="56"/>
          <w:szCs w:val="56"/>
          <w:rtl/>
        </w:rPr>
      </w:pPr>
      <w:r>
        <w:rPr>
          <w:rFonts w:hint="cs"/>
          <w:b/>
          <w:bCs/>
          <w:sz w:val="56"/>
          <w:szCs w:val="56"/>
          <w:rtl/>
        </w:rPr>
        <w:t>עבודת גמר</w:t>
      </w:r>
      <w:r w:rsidR="00722125">
        <w:rPr>
          <w:rFonts w:hint="cs"/>
          <w:b/>
          <w:bCs/>
          <w:sz w:val="56"/>
          <w:szCs w:val="56"/>
          <w:rtl/>
        </w:rPr>
        <w:t xml:space="preserve"> בקורס גישות ואסכולות</w:t>
      </w:r>
    </w:p>
    <w:p w:rsidR="00722125" w:rsidRPr="00D009C5" w:rsidRDefault="00722125" w:rsidP="00D009C5">
      <w:pPr>
        <w:jc w:val="center"/>
        <w:rPr>
          <w:b/>
          <w:bCs/>
          <w:sz w:val="56"/>
          <w:szCs w:val="56"/>
          <w:rtl/>
        </w:rPr>
      </w:pPr>
      <w:r>
        <w:rPr>
          <w:rFonts w:hint="cs"/>
          <w:b/>
          <w:bCs/>
          <w:sz w:val="56"/>
          <w:szCs w:val="56"/>
          <w:rtl/>
        </w:rPr>
        <w:t>"המרד נגד הגלובליזציה"</w:t>
      </w:r>
    </w:p>
    <w:p w:rsidR="00D009C5" w:rsidRDefault="00D009C5" w:rsidP="00D009C5">
      <w:pPr>
        <w:jc w:val="center"/>
        <w:rPr>
          <w:sz w:val="144"/>
          <w:szCs w:val="144"/>
          <w:rtl/>
        </w:rPr>
      </w:pPr>
    </w:p>
    <w:p w:rsidR="00D009C5" w:rsidRPr="00D009C5" w:rsidRDefault="00D009C5" w:rsidP="00D009C5">
      <w:pPr>
        <w:jc w:val="center"/>
        <w:rPr>
          <w:sz w:val="36"/>
          <w:szCs w:val="36"/>
          <w:rtl/>
        </w:rPr>
      </w:pPr>
      <w:r w:rsidRPr="00D009C5">
        <w:rPr>
          <w:rFonts w:hint="cs"/>
          <w:sz w:val="36"/>
          <w:szCs w:val="36"/>
          <w:rtl/>
        </w:rPr>
        <w:t>מחזור מ"ז</w:t>
      </w:r>
    </w:p>
    <w:p w:rsidR="00D009C5" w:rsidRDefault="004B5A27" w:rsidP="00D009C5">
      <w:pPr>
        <w:jc w:val="center"/>
        <w:rPr>
          <w:sz w:val="36"/>
          <w:szCs w:val="36"/>
          <w:rtl/>
        </w:rPr>
      </w:pPr>
      <w:r>
        <w:rPr>
          <w:rFonts w:hint="cs"/>
          <w:sz w:val="36"/>
          <w:szCs w:val="36"/>
          <w:rtl/>
        </w:rPr>
        <w:t>אביעד אטיה</w:t>
      </w:r>
    </w:p>
    <w:p w:rsidR="004B5A27" w:rsidRDefault="004B5A27" w:rsidP="00D009C5">
      <w:pPr>
        <w:jc w:val="center"/>
        <w:rPr>
          <w:sz w:val="36"/>
          <w:szCs w:val="36"/>
          <w:rtl/>
        </w:rPr>
      </w:pPr>
      <w:r>
        <w:rPr>
          <w:rFonts w:hint="cs"/>
          <w:sz w:val="36"/>
          <w:szCs w:val="36"/>
          <w:rtl/>
        </w:rPr>
        <w:t>036071108</w:t>
      </w:r>
    </w:p>
    <w:p w:rsidR="00D009C5" w:rsidRDefault="00D168D8" w:rsidP="00D009C5">
      <w:pPr>
        <w:jc w:val="center"/>
        <w:rPr>
          <w:rFonts w:hint="cs"/>
          <w:sz w:val="36"/>
          <w:szCs w:val="36"/>
          <w:rtl/>
        </w:rPr>
      </w:pPr>
      <w:r>
        <w:rPr>
          <w:rFonts w:hint="cs"/>
          <w:sz w:val="36"/>
          <w:szCs w:val="36"/>
          <w:rtl/>
        </w:rPr>
        <w:t>24/11/2019</w:t>
      </w:r>
      <w:bookmarkStart w:id="0" w:name="_GoBack"/>
      <w:bookmarkEnd w:id="0"/>
    </w:p>
    <w:p w:rsidR="00D009C5" w:rsidRDefault="00D009C5" w:rsidP="00D009C5">
      <w:pPr>
        <w:jc w:val="center"/>
        <w:rPr>
          <w:sz w:val="36"/>
          <w:szCs w:val="36"/>
          <w:rtl/>
        </w:rPr>
      </w:pPr>
    </w:p>
    <w:p w:rsidR="004B5A27" w:rsidRDefault="004B5A27">
      <w:pPr>
        <w:pStyle w:val="TOC3"/>
        <w:ind w:left="446"/>
        <w:rPr>
          <w:cs w:val="0"/>
        </w:rPr>
      </w:pPr>
    </w:p>
    <w:p w:rsidR="004B5A27" w:rsidRDefault="004B5A27">
      <w:pPr>
        <w:pStyle w:val="TOC3"/>
        <w:ind w:left="446"/>
        <w:rPr>
          <w:cs w:val="0"/>
        </w:rPr>
      </w:pPr>
    </w:p>
    <w:p w:rsidR="004B5A27" w:rsidRDefault="004B5A27">
      <w:pPr>
        <w:pStyle w:val="TOC3"/>
        <w:ind w:left="446"/>
        <w:rPr>
          <w:cs w:val="0"/>
        </w:rPr>
      </w:pPr>
    </w:p>
    <w:p w:rsidR="004B5A27" w:rsidRDefault="004B5A27">
      <w:pPr>
        <w:pStyle w:val="TOC3"/>
        <w:ind w:left="446"/>
        <w:rPr>
          <w:cs w:val="0"/>
        </w:rPr>
      </w:pPr>
    </w:p>
    <w:p w:rsidR="004B5A27" w:rsidRDefault="004B5A27">
      <w:pPr>
        <w:pStyle w:val="TOC3"/>
        <w:ind w:left="446"/>
        <w:rPr>
          <w:cs w:val="0"/>
        </w:rPr>
      </w:pPr>
    </w:p>
    <w:p w:rsidR="00962871" w:rsidRDefault="00962871" w:rsidP="00962871">
      <w:pPr>
        <w:pStyle w:val="1"/>
        <w:rPr>
          <w:rtl/>
        </w:rPr>
      </w:pPr>
      <w:r>
        <w:rPr>
          <w:rFonts w:hint="cs"/>
          <w:rtl/>
        </w:rPr>
        <w:lastRenderedPageBreak/>
        <w:t>פתיחה</w:t>
      </w:r>
    </w:p>
    <w:p w:rsidR="00962871" w:rsidRDefault="00962871" w:rsidP="00962871">
      <w:pPr>
        <w:spacing w:line="360" w:lineRule="auto"/>
        <w:jc w:val="both"/>
        <w:rPr>
          <w:rFonts w:ascii="David" w:hAnsi="David" w:cs="David"/>
          <w:sz w:val="28"/>
          <w:szCs w:val="28"/>
          <w:rtl/>
        </w:rPr>
      </w:pPr>
      <w:r>
        <w:rPr>
          <w:rFonts w:ascii="David" w:hAnsi="David" w:cs="David" w:hint="cs"/>
          <w:sz w:val="28"/>
          <w:szCs w:val="28"/>
          <w:rtl/>
        </w:rPr>
        <w:t xml:space="preserve">עבודה זו </w:t>
      </w:r>
      <w:r>
        <w:rPr>
          <w:rFonts w:ascii="David" w:hAnsi="David" w:cs="David" w:hint="cs"/>
          <w:sz w:val="28"/>
          <w:szCs w:val="28"/>
          <w:rtl/>
        </w:rPr>
        <w:t>עוסקת בספר "המרד נגד הגלובליזציה" כמקרה מבחן דרכו אדון במושג הגלובליזציה, ניתוח פרדיגמות, הצגת ביקורת והצעה חלופית להתבוננות בתופעות שהוצגו בספר.</w:t>
      </w:r>
    </w:p>
    <w:p w:rsidR="00962871" w:rsidRDefault="00962871" w:rsidP="00962871">
      <w:pPr>
        <w:spacing w:line="360" w:lineRule="auto"/>
        <w:jc w:val="both"/>
        <w:rPr>
          <w:rFonts w:ascii="David" w:hAnsi="David" w:cs="David"/>
          <w:sz w:val="28"/>
          <w:szCs w:val="28"/>
          <w:rtl/>
        </w:rPr>
      </w:pPr>
      <w:r>
        <w:rPr>
          <w:rFonts w:ascii="David" w:hAnsi="David" w:cs="David" w:hint="cs"/>
          <w:sz w:val="28"/>
          <w:szCs w:val="28"/>
          <w:rtl/>
        </w:rPr>
        <w:t>המתודה בנויה מארבע פרקים ממוקדים לשאלות שניתנו ופרק סיכום. כל פרק יכיל הצגה תיאורטית לנושא הרלוונטית, הבאת דוגמאות והצגת עמדת הכותב. העבודה נשענת על מקורות אקדמאיים המפורטים כנדרש ועל חומר לימודי כפי שהועבר בקורס האמור.</w:t>
      </w:r>
    </w:p>
    <w:p w:rsidR="00722125" w:rsidRDefault="00722125" w:rsidP="00722125">
      <w:pPr>
        <w:pStyle w:val="1"/>
        <w:jc w:val="both"/>
        <w:rPr>
          <w:rtl/>
        </w:rPr>
      </w:pPr>
      <w:r>
        <w:rPr>
          <w:rFonts w:hint="cs"/>
          <w:rtl/>
        </w:rPr>
        <w:t>גלובליזציה</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דיון מעמיק וממוקד חייב לה</w:t>
      </w:r>
      <w:r w:rsidR="00962871">
        <w:rPr>
          <w:rFonts w:ascii="David" w:hAnsi="David" w:cs="David" w:hint="cs"/>
          <w:sz w:val="28"/>
          <w:szCs w:val="28"/>
          <w:rtl/>
        </w:rPr>
        <w:t>י</w:t>
      </w:r>
      <w:r>
        <w:rPr>
          <w:rFonts w:ascii="David" w:hAnsi="David" w:cs="David" w:hint="cs"/>
          <w:sz w:val="28"/>
          <w:szCs w:val="28"/>
          <w:rtl/>
        </w:rPr>
        <w:t xml:space="preserve">פתח בהגדרות יסוד למושגים המרכזיים. ללא פירוש והסבר מפורט לא ניתן לייצר קרקע זהה לניהול הדיון סביב המושג ותופעותיו. על פניו, המילה גלובליזציה הינה מילה מהותית בחיינו ונדמה לנו שכולנו יודעים מה המשמעות. עם זאת, עיון בספרות האקדמאית מגלה שהפרשנות למושג ולתופעותיו הינה רחבה מאוד  </w:t>
      </w:r>
      <w:sdt>
        <w:sdtPr>
          <w:rPr>
            <w:rFonts w:ascii="David" w:hAnsi="David" w:cs="David" w:hint="cs"/>
            <w:sz w:val="28"/>
            <w:szCs w:val="28"/>
            <w:rtl/>
          </w:rPr>
          <w:id w:val="2029901207"/>
          <w:citation/>
        </w:sdtPr>
        <w:sdtEndPr/>
        <w:sdtContent>
          <w:r>
            <w:rPr>
              <w:rFonts w:ascii="David" w:hAnsi="David" w:cs="David"/>
              <w:sz w:val="28"/>
              <w:szCs w:val="28"/>
              <w:rtl/>
            </w:rPr>
            <w:fldChar w:fldCharType="begin"/>
          </w:r>
          <w:r>
            <w:rPr>
              <w:rFonts w:ascii="David" w:hAnsi="David" w:cs="David"/>
              <w:sz w:val="28"/>
              <w:szCs w:val="28"/>
            </w:rPr>
            <w:instrText xml:space="preserve">CITATION McG07 \p 29 \l 1033 </w:instrText>
          </w:r>
          <w:r>
            <w:rPr>
              <w:rFonts w:ascii="David" w:hAnsi="David" w:cs="David"/>
              <w:sz w:val="28"/>
              <w:szCs w:val="28"/>
              <w:rtl/>
            </w:rPr>
            <w:fldChar w:fldCharType="separate"/>
          </w:r>
          <w:r w:rsidR="00D168D8" w:rsidRPr="00D168D8">
            <w:rPr>
              <w:rFonts w:ascii="David" w:hAnsi="David" w:cs="David"/>
              <w:noProof/>
              <w:sz w:val="28"/>
              <w:szCs w:val="28"/>
            </w:rPr>
            <w:t>(McGrew, 2007, p. 29)</w:t>
          </w:r>
          <w:r>
            <w:rPr>
              <w:rFonts w:ascii="David" w:hAnsi="David" w:cs="David"/>
              <w:sz w:val="28"/>
              <w:szCs w:val="28"/>
              <w:rtl/>
            </w:rPr>
            <w:fldChar w:fldCharType="end"/>
          </w:r>
        </w:sdtContent>
      </w:sdt>
      <w:r>
        <w:rPr>
          <w:rFonts w:ascii="David" w:hAnsi="David" w:cs="David" w:hint="cs"/>
          <w:sz w:val="28"/>
          <w:szCs w:val="28"/>
          <w:rtl/>
        </w:rPr>
        <w:t xml:space="preserve">. </w:t>
      </w:r>
    </w:p>
    <w:p w:rsidR="00722125" w:rsidRPr="00BC6220"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בסקירה ההיסטורית של </w:t>
      </w:r>
      <w:r>
        <w:rPr>
          <w:rFonts w:ascii="David" w:hAnsi="David" w:cs="David" w:hint="cs"/>
          <w:sz w:val="28"/>
          <w:szCs w:val="28"/>
        </w:rPr>
        <w:t>S</w:t>
      </w:r>
      <w:r>
        <w:rPr>
          <w:rFonts w:ascii="David" w:hAnsi="David" w:cs="David"/>
          <w:sz w:val="28"/>
          <w:szCs w:val="28"/>
        </w:rPr>
        <w:t>cholte</w:t>
      </w:r>
      <w:r>
        <w:rPr>
          <w:rFonts w:ascii="David" w:hAnsi="David" w:cs="David" w:hint="cs"/>
          <w:sz w:val="28"/>
          <w:szCs w:val="28"/>
          <w:rtl/>
        </w:rPr>
        <w:t xml:space="preserve"> (2005, 50-1) למילה הוא עוקב אחר התפתחותה של המילה </w:t>
      </w:r>
      <w:r>
        <w:rPr>
          <w:rFonts w:ascii="David" w:hAnsi="David" w:cs="David"/>
          <w:sz w:val="28"/>
          <w:szCs w:val="28"/>
        </w:rPr>
        <w:t xml:space="preserve">Globalization </w:t>
      </w:r>
      <w:r>
        <w:rPr>
          <w:rFonts w:ascii="David" w:hAnsi="David" w:cs="David" w:hint="cs"/>
          <w:sz w:val="28"/>
          <w:szCs w:val="28"/>
          <w:rtl/>
        </w:rPr>
        <w:t xml:space="preserve">. מקורו של המרכיב הבסיסי במילה הנגזר מהמילה </w:t>
      </w:r>
      <w:proofErr w:type="spellStart"/>
      <w:r w:rsidRPr="00AC08BD">
        <w:rPr>
          <w:rFonts w:ascii="David" w:hAnsi="David" w:cs="David"/>
          <w:i/>
          <w:iCs/>
          <w:sz w:val="28"/>
          <w:szCs w:val="28"/>
        </w:rPr>
        <w:t>globus</w:t>
      </w:r>
      <w:proofErr w:type="spellEnd"/>
      <w:r w:rsidRPr="00AC08BD">
        <w:rPr>
          <w:rFonts w:ascii="David" w:hAnsi="David" w:cs="David"/>
          <w:i/>
          <w:iCs/>
          <w:sz w:val="28"/>
          <w:szCs w:val="28"/>
        </w:rPr>
        <w:t xml:space="preserve"> </w:t>
      </w:r>
      <w:r>
        <w:rPr>
          <w:rFonts w:ascii="David" w:hAnsi="David" w:cs="David" w:hint="cs"/>
          <w:sz w:val="28"/>
          <w:szCs w:val="28"/>
          <w:rtl/>
        </w:rPr>
        <w:t xml:space="preserve"> בלטינית המתאר את העולם. שם התואר "</w:t>
      </w:r>
      <w:r>
        <w:rPr>
          <w:rFonts w:ascii="David" w:hAnsi="David" w:cs="David" w:hint="cs"/>
          <w:sz w:val="28"/>
          <w:szCs w:val="28"/>
        </w:rPr>
        <w:t>G</w:t>
      </w:r>
      <w:r>
        <w:rPr>
          <w:rFonts w:ascii="David" w:hAnsi="David" w:cs="David"/>
          <w:sz w:val="28"/>
          <w:szCs w:val="28"/>
        </w:rPr>
        <w:t>lobal</w:t>
      </w:r>
      <w:r>
        <w:rPr>
          <w:rFonts w:ascii="David" w:hAnsi="David" w:cs="David" w:hint="cs"/>
          <w:sz w:val="28"/>
          <w:szCs w:val="28"/>
          <w:rtl/>
        </w:rPr>
        <w:t>" מקורו מהמאה ה17 והוא מתאר תופעה בהיקף עולמי. הפועל "</w:t>
      </w:r>
      <w:r>
        <w:rPr>
          <w:rFonts w:ascii="David" w:hAnsi="David" w:cs="David"/>
          <w:sz w:val="28"/>
          <w:szCs w:val="28"/>
        </w:rPr>
        <w:t>Globalize</w:t>
      </w:r>
      <w:r>
        <w:rPr>
          <w:rFonts w:ascii="David" w:hAnsi="David" w:cs="David" w:hint="cs"/>
          <w:sz w:val="28"/>
          <w:szCs w:val="28"/>
          <w:rtl/>
        </w:rPr>
        <w:t xml:space="preserve">" מגיע ב1940 יחד עם המושג </w:t>
      </w:r>
      <w:r>
        <w:rPr>
          <w:rFonts w:ascii="David" w:hAnsi="David" w:cs="David"/>
          <w:sz w:val="28"/>
          <w:szCs w:val="28"/>
        </w:rPr>
        <w:t xml:space="preserve"> Globalism</w:t>
      </w:r>
      <w:r>
        <w:rPr>
          <w:rFonts w:ascii="David" w:hAnsi="David" w:cs="David" w:hint="cs"/>
          <w:sz w:val="28"/>
          <w:szCs w:val="28"/>
        </w:rPr>
        <w:t xml:space="preserve"> </w:t>
      </w:r>
      <w:sdt>
        <w:sdtPr>
          <w:rPr>
            <w:rFonts w:ascii="David" w:hAnsi="David" w:cs="David" w:hint="cs"/>
            <w:sz w:val="28"/>
            <w:szCs w:val="28"/>
            <w:rtl/>
          </w:rPr>
          <w:id w:val="-1767995567"/>
          <w:citation/>
        </w:sdtPr>
        <w:sdtEnd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w:instrText>
          </w:r>
          <w:r>
            <w:rPr>
              <w:rFonts w:ascii="David" w:hAnsi="David" w:cs="David" w:hint="cs"/>
              <w:sz w:val="28"/>
              <w:szCs w:val="28"/>
            </w:rPr>
            <w:instrText>Sch05 \l 1037</w:instrText>
          </w:r>
          <w:r>
            <w:rPr>
              <w:rFonts w:ascii="David" w:hAnsi="David" w:cs="David"/>
              <w:sz w:val="28"/>
              <w:szCs w:val="28"/>
              <w:rtl/>
            </w:rPr>
            <w:instrText xml:space="preserve"> </w:instrText>
          </w:r>
          <w:r>
            <w:rPr>
              <w:rFonts w:ascii="David" w:hAnsi="David" w:cs="David"/>
              <w:sz w:val="28"/>
              <w:szCs w:val="28"/>
              <w:rtl/>
            </w:rPr>
            <w:fldChar w:fldCharType="separate"/>
          </w:r>
          <w:r w:rsidR="00D168D8" w:rsidRPr="00D168D8">
            <w:rPr>
              <w:rFonts w:ascii="David" w:hAnsi="David" w:cs="David"/>
              <w:noProof/>
              <w:sz w:val="28"/>
              <w:szCs w:val="28"/>
            </w:rPr>
            <w:t>(Scholte, 2005)</w:t>
          </w:r>
          <w:r>
            <w:rPr>
              <w:rFonts w:ascii="David" w:hAnsi="David" w:cs="David"/>
              <w:sz w:val="28"/>
              <w:szCs w:val="28"/>
              <w:rtl/>
            </w:rPr>
            <w:fldChar w:fldCharType="end"/>
          </w:r>
        </w:sdtContent>
      </w:sdt>
      <w:r>
        <w:rPr>
          <w:rFonts w:ascii="David" w:hAnsi="David" w:cs="David" w:hint="cs"/>
          <w:sz w:val="28"/>
          <w:szCs w:val="28"/>
          <w:rtl/>
        </w:rPr>
        <w:t xml:space="preserve">. השימוש הראשון במילה </w:t>
      </w:r>
      <w:r>
        <w:rPr>
          <w:rFonts w:ascii="David" w:hAnsi="David" w:cs="David" w:hint="cs"/>
          <w:sz w:val="28"/>
          <w:szCs w:val="28"/>
        </w:rPr>
        <w:t>G</w:t>
      </w:r>
      <w:r>
        <w:rPr>
          <w:rFonts w:ascii="David" w:hAnsi="David" w:cs="David"/>
          <w:sz w:val="28"/>
          <w:szCs w:val="28"/>
        </w:rPr>
        <w:t>lobalization</w:t>
      </w:r>
      <w:r>
        <w:rPr>
          <w:rFonts w:ascii="David" w:hAnsi="David" w:cs="David" w:hint="cs"/>
          <w:sz w:val="28"/>
          <w:szCs w:val="28"/>
          <w:rtl/>
        </w:rPr>
        <w:t xml:space="preserve"> נעשה בשנת 1962 במאמר בשם "</w:t>
      </w:r>
      <w:r>
        <w:rPr>
          <w:rFonts w:ascii="David" w:hAnsi="David" w:cs="David"/>
          <w:sz w:val="28"/>
          <w:szCs w:val="28"/>
        </w:rPr>
        <w:t>The US eyes Greater Europe</w:t>
      </w:r>
      <w:r>
        <w:rPr>
          <w:rFonts w:ascii="David" w:hAnsi="David" w:cs="David" w:hint="cs"/>
          <w:sz w:val="28"/>
          <w:szCs w:val="28"/>
          <w:rtl/>
        </w:rPr>
        <w:t xml:space="preserve">" </w:t>
      </w:r>
      <w:sdt>
        <w:sdtPr>
          <w:rPr>
            <w:rFonts w:ascii="David" w:hAnsi="David" w:cs="David" w:hint="cs"/>
            <w:sz w:val="28"/>
            <w:szCs w:val="28"/>
            <w:rtl/>
          </w:rPr>
          <w:id w:val="685169047"/>
          <w:citation/>
        </w:sdtPr>
        <w:sdtEndPr/>
        <w:sdtContent>
          <w:r>
            <w:rPr>
              <w:rFonts w:ascii="David" w:hAnsi="David" w:cs="David"/>
              <w:sz w:val="28"/>
              <w:szCs w:val="28"/>
              <w:rtl/>
            </w:rPr>
            <w:fldChar w:fldCharType="begin"/>
          </w:r>
          <w:r>
            <w:rPr>
              <w:rFonts w:ascii="David" w:hAnsi="David" w:cs="David"/>
              <w:sz w:val="28"/>
              <w:szCs w:val="28"/>
            </w:rPr>
            <w:instrText xml:space="preserve">CITATION Van05 \p 877 \l 1033 </w:instrText>
          </w:r>
          <w:r>
            <w:rPr>
              <w:rFonts w:ascii="David" w:hAnsi="David" w:cs="David"/>
              <w:sz w:val="28"/>
              <w:szCs w:val="28"/>
              <w:rtl/>
            </w:rPr>
            <w:fldChar w:fldCharType="separate"/>
          </w:r>
          <w:r w:rsidR="00D168D8" w:rsidRPr="00D168D8">
            <w:rPr>
              <w:rFonts w:ascii="David" w:hAnsi="David" w:cs="David"/>
              <w:noProof/>
              <w:sz w:val="28"/>
              <w:szCs w:val="28"/>
            </w:rPr>
            <w:t>(Van Der Bly, 2005, p. 877)</w:t>
          </w:r>
          <w:r>
            <w:rPr>
              <w:rFonts w:ascii="David" w:hAnsi="David" w:cs="David"/>
              <w:sz w:val="28"/>
              <w:szCs w:val="28"/>
              <w:rtl/>
            </w:rPr>
            <w:fldChar w:fldCharType="end"/>
          </w:r>
        </w:sdtContent>
      </w:sdt>
      <w:r>
        <w:rPr>
          <w:rFonts w:ascii="David" w:hAnsi="David" w:cs="David" w:hint="cs"/>
          <w:sz w:val="28"/>
          <w:szCs w:val="28"/>
          <w:rtl/>
        </w:rPr>
        <w:t xml:space="preserve">. על פי החוקרים המילה </w:t>
      </w:r>
      <w:r w:rsidRPr="00AC08BD">
        <w:rPr>
          <w:rFonts w:ascii="David" w:hAnsi="David" w:cs="David" w:hint="cs"/>
          <w:b/>
          <w:bCs/>
          <w:sz w:val="28"/>
          <w:szCs w:val="28"/>
          <w:rtl/>
        </w:rPr>
        <w:t xml:space="preserve">גלובליזציה מתארת במובן הבסיסי ביותר שלה </w:t>
      </w:r>
      <w:r w:rsidRPr="00AC08BD">
        <w:rPr>
          <w:rFonts w:ascii="David" w:hAnsi="David" w:cs="David" w:hint="cs"/>
          <w:b/>
          <w:bCs/>
          <w:i/>
          <w:iCs/>
          <w:sz w:val="28"/>
          <w:szCs w:val="28"/>
          <w:rtl/>
        </w:rPr>
        <w:t>תופעה עולמית</w:t>
      </w:r>
      <w:r>
        <w:rPr>
          <w:rFonts w:ascii="David" w:hAnsi="David" w:cs="David" w:hint="cs"/>
          <w:i/>
          <w:iCs/>
          <w:sz w:val="28"/>
          <w:szCs w:val="28"/>
          <w:rtl/>
        </w:rPr>
        <w:t xml:space="preserve"> </w:t>
      </w:r>
      <w:sdt>
        <w:sdtPr>
          <w:rPr>
            <w:rFonts w:ascii="David" w:hAnsi="David" w:cs="David" w:hint="cs"/>
            <w:i/>
            <w:iCs/>
            <w:sz w:val="28"/>
            <w:szCs w:val="28"/>
            <w:rtl/>
          </w:rPr>
          <w:id w:val="-781491609"/>
          <w:citation/>
        </w:sdtPr>
        <w:sdtEndPr/>
        <w:sdtContent>
          <w:r>
            <w:rPr>
              <w:rFonts w:ascii="David" w:hAnsi="David" w:cs="David"/>
              <w:i/>
              <w:iCs/>
              <w:sz w:val="28"/>
              <w:szCs w:val="28"/>
              <w:rtl/>
            </w:rPr>
            <w:fldChar w:fldCharType="begin"/>
          </w:r>
          <w:r>
            <w:rPr>
              <w:rFonts w:ascii="David" w:hAnsi="David" w:cs="David"/>
              <w:i/>
              <w:iCs/>
              <w:sz w:val="28"/>
              <w:szCs w:val="28"/>
            </w:rPr>
            <w:instrText xml:space="preserve">CITATION Sch05 \p 51 \l 1037 </w:instrText>
          </w:r>
          <w:r>
            <w:rPr>
              <w:rFonts w:ascii="David" w:hAnsi="David" w:cs="David"/>
              <w:i/>
              <w:iCs/>
              <w:sz w:val="28"/>
              <w:szCs w:val="28"/>
              <w:rtl/>
            </w:rPr>
            <w:fldChar w:fldCharType="separate"/>
          </w:r>
          <w:r w:rsidR="00D168D8" w:rsidRPr="00D168D8">
            <w:rPr>
              <w:rFonts w:ascii="David" w:hAnsi="David" w:cs="David"/>
              <w:noProof/>
              <w:sz w:val="28"/>
              <w:szCs w:val="28"/>
            </w:rPr>
            <w:t>(Scholte, 2005, p. 51)</w:t>
          </w:r>
          <w:r>
            <w:rPr>
              <w:rFonts w:ascii="David" w:hAnsi="David" w:cs="David"/>
              <w:i/>
              <w:iCs/>
              <w:sz w:val="28"/>
              <w:szCs w:val="28"/>
              <w:rtl/>
            </w:rPr>
            <w:fldChar w:fldCharType="end"/>
          </w:r>
        </w:sdtContent>
      </w:sdt>
      <w:r>
        <w:rPr>
          <w:rFonts w:ascii="David" w:hAnsi="David" w:cs="David" w:hint="cs"/>
          <w:sz w:val="28"/>
          <w:szCs w:val="28"/>
          <w:rtl/>
        </w:rPr>
        <w:t xml:space="preserve">. ההקשרים הפוליטיים הרחבים במושג זה החלו רק בסוף שנות ה80 סביב נפילת החומה בברלין וביתר שאת אחרי קריסת הגוש הקומוניסטי בתחילת שנות ה90 </w:t>
      </w:r>
      <w:sdt>
        <w:sdtPr>
          <w:rPr>
            <w:rFonts w:ascii="David" w:hAnsi="David" w:cs="David" w:hint="cs"/>
            <w:sz w:val="28"/>
            <w:szCs w:val="28"/>
            <w:rtl/>
          </w:rPr>
          <w:id w:val="-241723891"/>
          <w:citation/>
        </w:sdtPr>
        <w:sdtEndPr/>
        <w:sdtContent>
          <w:r>
            <w:rPr>
              <w:rFonts w:ascii="David" w:hAnsi="David" w:cs="David"/>
              <w:sz w:val="28"/>
              <w:szCs w:val="28"/>
              <w:rtl/>
            </w:rPr>
            <w:fldChar w:fldCharType="begin"/>
          </w:r>
          <w:r>
            <w:rPr>
              <w:rFonts w:ascii="David" w:hAnsi="David" w:cs="David"/>
              <w:sz w:val="28"/>
              <w:szCs w:val="28"/>
            </w:rPr>
            <w:instrText xml:space="preserve">CITATION Rob07 \p 55 \l 1037 </w:instrText>
          </w:r>
          <w:r>
            <w:rPr>
              <w:rFonts w:ascii="David" w:hAnsi="David" w:cs="David"/>
              <w:sz w:val="28"/>
              <w:szCs w:val="28"/>
              <w:rtl/>
            </w:rPr>
            <w:fldChar w:fldCharType="separate"/>
          </w:r>
          <w:r w:rsidR="00D168D8" w:rsidRPr="00D168D8">
            <w:rPr>
              <w:rFonts w:ascii="David" w:hAnsi="David" w:cs="David" w:hint="cs"/>
              <w:noProof/>
              <w:sz w:val="28"/>
              <w:szCs w:val="28"/>
              <w:rtl/>
            </w:rPr>
            <w:t>(</w:t>
          </w:r>
          <w:r w:rsidR="00D168D8" w:rsidRPr="00D168D8">
            <w:rPr>
              <w:rFonts w:ascii="David" w:hAnsi="David" w:cs="David" w:hint="cs"/>
              <w:noProof/>
              <w:sz w:val="28"/>
              <w:szCs w:val="28"/>
            </w:rPr>
            <w:t>Robertson</w:t>
          </w:r>
          <w:r w:rsidR="00D168D8" w:rsidRPr="00D168D8">
            <w:rPr>
              <w:rFonts w:ascii="David" w:hAnsi="David" w:cs="David" w:hint="cs"/>
              <w:noProof/>
              <w:sz w:val="28"/>
              <w:szCs w:val="28"/>
              <w:rtl/>
            </w:rPr>
            <w:t xml:space="preserve"> &amp; </w:t>
          </w:r>
          <w:r w:rsidR="00D168D8" w:rsidRPr="00D168D8">
            <w:rPr>
              <w:rFonts w:ascii="David" w:hAnsi="David" w:cs="David" w:hint="cs"/>
              <w:noProof/>
              <w:sz w:val="28"/>
              <w:szCs w:val="28"/>
            </w:rPr>
            <w:t>White, 2007</w:t>
          </w:r>
          <w:r w:rsidR="00D168D8" w:rsidRPr="00D168D8">
            <w:rPr>
              <w:rFonts w:ascii="David" w:hAnsi="David" w:cs="David" w:hint="cs"/>
              <w:noProof/>
              <w:sz w:val="28"/>
              <w:szCs w:val="28"/>
              <w:rtl/>
            </w:rPr>
            <w:t>, עמ' 55)</w:t>
          </w:r>
          <w:r>
            <w:rPr>
              <w:rFonts w:ascii="David" w:hAnsi="David" w:cs="David"/>
              <w:sz w:val="28"/>
              <w:szCs w:val="28"/>
              <w:rtl/>
            </w:rPr>
            <w:fldChar w:fldCharType="end"/>
          </w:r>
        </w:sdtContent>
      </w:sdt>
      <w:r>
        <w:rPr>
          <w:rFonts w:ascii="David" w:hAnsi="David" w:cs="David" w:hint="cs"/>
          <w:sz w:val="28"/>
          <w:szCs w:val="28"/>
          <w:rtl/>
        </w:rPr>
        <w:t>.</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הקושי לייצר הסכמה סביב המושג אינו מקרי. מעבר לעובדה שמדובר במושג מורכב הרי שהמשגה מעניקה כוח ומשמעות למילה. בעצם ההמשגה אנו יוצרים מציאות ומבטלים אחרת</w:t>
      </w:r>
      <w:r w:rsidR="00A9328B">
        <w:rPr>
          <w:rFonts w:ascii="David" w:hAnsi="David" w:cs="David" w:hint="cs"/>
          <w:sz w:val="28"/>
          <w:szCs w:val="28"/>
          <w:rtl/>
        </w:rPr>
        <w:t>.</w:t>
      </w:r>
      <w:r>
        <w:rPr>
          <w:rFonts w:ascii="David" w:hAnsi="David" w:cs="David" w:hint="cs"/>
          <w:sz w:val="28"/>
          <w:szCs w:val="28"/>
          <w:rtl/>
        </w:rPr>
        <w:t xml:space="preserve"> </w:t>
      </w:r>
      <w:r>
        <w:rPr>
          <w:rFonts w:ascii="David" w:hAnsi="David" w:cs="David"/>
          <w:sz w:val="28"/>
          <w:szCs w:val="28"/>
        </w:rPr>
        <w:t>Scholte</w:t>
      </w:r>
      <w:r>
        <w:rPr>
          <w:rFonts w:ascii="David" w:hAnsi="David" w:cs="David" w:hint="cs"/>
          <w:sz w:val="28"/>
          <w:szCs w:val="28"/>
          <w:rtl/>
        </w:rPr>
        <w:t xml:space="preserve"> (2005, 16-18) מקבץ את ההגדרות השונות תחת מספר משפחות של נרטיבים מרכזיים. ביניהם ניתן למצוא את: (א) בינלאומיות </w:t>
      </w:r>
      <w:r>
        <w:rPr>
          <w:rFonts w:ascii="David" w:hAnsi="David" w:cs="David"/>
          <w:sz w:val="28"/>
          <w:szCs w:val="28"/>
          <w:rtl/>
        </w:rPr>
        <w:t>–</w:t>
      </w:r>
      <w:r>
        <w:rPr>
          <w:rFonts w:ascii="David" w:hAnsi="David" w:cs="David" w:hint="cs"/>
          <w:sz w:val="28"/>
          <w:szCs w:val="28"/>
          <w:rtl/>
        </w:rPr>
        <w:t xml:space="preserve"> התרחבות הזיקות והקשרים בין מדינות (ב) שחרור </w:t>
      </w:r>
      <w:r>
        <w:rPr>
          <w:rFonts w:ascii="David" w:hAnsi="David" w:cs="David"/>
          <w:sz w:val="28"/>
          <w:szCs w:val="28"/>
          <w:rtl/>
        </w:rPr>
        <w:t>–</w:t>
      </w:r>
      <w:r>
        <w:rPr>
          <w:rFonts w:ascii="David" w:hAnsi="David" w:cs="David" w:hint="cs"/>
          <w:sz w:val="28"/>
          <w:szCs w:val="28"/>
          <w:rtl/>
        </w:rPr>
        <w:t xml:space="preserve"> הקטנת המגבלות שמדינה מייצרת לאדם ולחברה (ג) חברה אוניברסלית </w:t>
      </w:r>
      <w:r>
        <w:rPr>
          <w:rFonts w:ascii="David" w:hAnsi="David" w:cs="David"/>
          <w:sz w:val="28"/>
          <w:szCs w:val="28"/>
          <w:rtl/>
        </w:rPr>
        <w:t>–</w:t>
      </w:r>
      <w:r>
        <w:rPr>
          <w:rFonts w:ascii="David" w:hAnsi="David" w:cs="David" w:hint="cs"/>
          <w:sz w:val="28"/>
          <w:szCs w:val="28"/>
          <w:rtl/>
        </w:rPr>
        <w:t xml:space="preserve"> הקטנת הפערים בין האנשים והתרבויות לכדי "כפר </w:t>
      </w:r>
      <w:r>
        <w:rPr>
          <w:rFonts w:ascii="David" w:hAnsi="David" w:cs="David" w:hint="cs"/>
          <w:sz w:val="28"/>
          <w:szCs w:val="28"/>
          <w:rtl/>
        </w:rPr>
        <w:lastRenderedPageBreak/>
        <w:t xml:space="preserve">גלובלי" (ד) מערביות/אמריקניזציה </w:t>
      </w:r>
      <w:r>
        <w:rPr>
          <w:rFonts w:ascii="David" w:hAnsi="David" w:cs="David"/>
          <w:sz w:val="28"/>
          <w:szCs w:val="28"/>
          <w:rtl/>
        </w:rPr>
        <w:t>–</w:t>
      </w:r>
      <w:r>
        <w:rPr>
          <w:rFonts w:ascii="David" w:hAnsi="David" w:cs="David" w:hint="cs"/>
          <w:sz w:val="28"/>
          <w:szCs w:val="28"/>
          <w:rtl/>
        </w:rPr>
        <w:t xml:space="preserve"> תופעה שבה עולם המושגים המערבי-אמריקאי מתפשט וכובש את העולם.</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ההמשגה שאני רואה לנכון להשתמש בה הובא לידי ביטוי במאמרם של </w:t>
      </w:r>
      <w:r>
        <w:rPr>
          <w:rFonts w:ascii="David" w:hAnsi="David" w:cs="David" w:hint="cs"/>
          <w:sz w:val="28"/>
          <w:szCs w:val="28"/>
        </w:rPr>
        <w:t>H</w:t>
      </w:r>
      <w:r>
        <w:rPr>
          <w:rFonts w:ascii="David" w:hAnsi="David" w:cs="David"/>
          <w:sz w:val="28"/>
          <w:szCs w:val="28"/>
        </w:rPr>
        <w:t>eld</w:t>
      </w:r>
      <w:r>
        <w:rPr>
          <w:rFonts w:ascii="David" w:hAnsi="David" w:cs="David" w:hint="cs"/>
          <w:sz w:val="28"/>
          <w:szCs w:val="28"/>
        </w:rPr>
        <w:t xml:space="preserve"> </w:t>
      </w:r>
      <w:r>
        <w:rPr>
          <w:rFonts w:ascii="David" w:hAnsi="David" w:cs="David"/>
          <w:sz w:val="28"/>
          <w:szCs w:val="28"/>
        </w:rPr>
        <w:t xml:space="preserve"> </w:t>
      </w:r>
      <w:r>
        <w:rPr>
          <w:rFonts w:ascii="David" w:hAnsi="David" w:cs="David" w:hint="cs"/>
          <w:sz w:val="28"/>
          <w:szCs w:val="28"/>
          <w:rtl/>
        </w:rPr>
        <w:t>וחבריו בשנת 1999. את הניתוח שלהם למושג ניתן לתאר כך: תהליך של שיתוף פעולה בינלאומי ורב-ממדי, שבבסיסו מאפשר תנועה של סחורות, שירותים, מידע, תרבות ואנשים בין מדינות. התהליך מונע, מואץ ומתרחב על ידי טכנולוגיה. התוצאה הינה חיבוריות וקישוריות גבוהה בין אנשים, חברות ומדינות.</w:t>
      </w:r>
      <w:r w:rsidRPr="00455AAF">
        <w:rPr>
          <w:rFonts w:ascii="David" w:hAnsi="David" w:cs="David" w:hint="cs"/>
          <w:sz w:val="28"/>
          <w:szCs w:val="28"/>
          <w:rtl/>
        </w:rPr>
        <w:t xml:space="preserve"> </w:t>
      </w:r>
      <w:r>
        <w:rPr>
          <w:rFonts w:ascii="David" w:hAnsi="David" w:cs="David" w:hint="cs"/>
          <w:sz w:val="28"/>
          <w:szCs w:val="28"/>
          <w:rtl/>
        </w:rPr>
        <w:t xml:space="preserve">כל אילו מובילים לכך שכמעט אין תופעות בעלות השפעה מקומית בלבד, </w:t>
      </w:r>
      <w:r w:rsidRPr="00455AAF">
        <w:rPr>
          <w:rFonts w:ascii="David" w:hAnsi="David" w:cs="David" w:hint="cs"/>
          <w:b/>
          <w:bCs/>
          <w:sz w:val="28"/>
          <w:szCs w:val="28"/>
          <w:rtl/>
        </w:rPr>
        <w:t xml:space="preserve">לכל אירוע יש גלי הדף משמעותיים ברמה </w:t>
      </w:r>
      <w:r>
        <w:rPr>
          <w:rFonts w:ascii="David" w:hAnsi="David" w:cs="David" w:hint="cs"/>
          <w:b/>
          <w:bCs/>
          <w:sz w:val="28"/>
          <w:szCs w:val="28"/>
          <w:rtl/>
        </w:rPr>
        <w:t>העולמית</w:t>
      </w:r>
      <w:r>
        <w:rPr>
          <w:rFonts w:ascii="David" w:hAnsi="David" w:cs="David" w:hint="cs"/>
          <w:sz w:val="28"/>
          <w:szCs w:val="28"/>
          <w:rtl/>
        </w:rPr>
        <w:t xml:space="preserve"> </w:t>
      </w:r>
      <w:sdt>
        <w:sdtPr>
          <w:rPr>
            <w:rFonts w:ascii="David" w:hAnsi="David" w:cs="David"/>
            <w:sz w:val="28"/>
            <w:szCs w:val="28"/>
            <w:rtl/>
          </w:rPr>
          <w:id w:val="-1534102634"/>
          <w:citation/>
        </w:sdtPr>
        <w:sdtEndPr/>
        <w:sdtContent>
          <w:r>
            <w:rPr>
              <w:rFonts w:ascii="David" w:hAnsi="David" w:cs="David"/>
              <w:sz w:val="28"/>
              <w:szCs w:val="28"/>
              <w:rtl/>
            </w:rPr>
            <w:fldChar w:fldCharType="begin"/>
          </w:r>
          <w:r>
            <w:rPr>
              <w:rFonts w:ascii="David" w:hAnsi="David" w:cs="David"/>
              <w:noProof/>
              <w:sz w:val="28"/>
              <w:szCs w:val="28"/>
            </w:rPr>
            <w:instrText>CITATION Hel991 \p 483-484 \l 1037</w:instrText>
          </w:r>
          <w:r>
            <w:rPr>
              <w:rFonts w:ascii="David" w:hAnsi="David" w:cs="David"/>
              <w:noProof/>
              <w:sz w:val="28"/>
              <w:szCs w:val="28"/>
              <w:rtl/>
            </w:rPr>
            <w:instrText xml:space="preserve"> </w:instrText>
          </w:r>
          <w:r>
            <w:rPr>
              <w:rFonts w:ascii="David" w:hAnsi="David" w:cs="David"/>
              <w:sz w:val="28"/>
              <w:szCs w:val="28"/>
              <w:rtl/>
            </w:rPr>
            <w:fldChar w:fldCharType="separate"/>
          </w:r>
          <w:r w:rsidR="00D168D8" w:rsidRPr="00D168D8">
            <w:rPr>
              <w:rFonts w:ascii="David" w:hAnsi="David" w:cs="David" w:hint="cs"/>
              <w:noProof/>
              <w:sz w:val="28"/>
              <w:szCs w:val="28"/>
              <w:rtl/>
            </w:rPr>
            <w:t>(</w:t>
          </w:r>
          <w:r w:rsidR="00D168D8" w:rsidRPr="00D168D8">
            <w:rPr>
              <w:rFonts w:ascii="David" w:hAnsi="David" w:cs="David" w:hint="cs"/>
              <w:noProof/>
              <w:sz w:val="28"/>
              <w:szCs w:val="28"/>
            </w:rPr>
            <w:t>Held, McGrew, Goldblatt</w:t>
          </w:r>
          <w:r w:rsidR="00D168D8" w:rsidRPr="00D168D8">
            <w:rPr>
              <w:rFonts w:ascii="David" w:hAnsi="David" w:cs="David" w:hint="cs"/>
              <w:noProof/>
              <w:sz w:val="28"/>
              <w:szCs w:val="28"/>
              <w:rtl/>
            </w:rPr>
            <w:t xml:space="preserve">, &amp; </w:t>
          </w:r>
          <w:r w:rsidR="00D168D8" w:rsidRPr="00D168D8">
            <w:rPr>
              <w:rFonts w:ascii="David" w:hAnsi="David" w:cs="David" w:hint="cs"/>
              <w:noProof/>
              <w:sz w:val="28"/>
              <w:szCs w:val="28"/>
            </w:rPr>
            <w:t>Perraton, 1999</w:t>
          </w:r>
          <w:r w:rsidR="00D168D8" w:rsidRPr="00D168D8">
            <w:rPr>
              <w:rFonts w:ascii="David" w:hAnsi="David" w:cs="David" w:hint="cs"/>
              <w:noProof/>
              <w:sz w:val="28"/>
              <w:szCs w:val="28"/>
              <w:rtl/>
            </w:rPr>
            <w:t>, עמ' 483-484)</w:t>
          </w:r>
          <w:r>
            <w:rPr>
              <w:rFonts w:ascii="David" w:hAnsi="David" w:cs="David"/>
              <w:sz w:val="28"/>
              <w:szCs w:val="28"/>
              <w:rtl/>
            </w:rPr>
            <w:fldChar w:fldCharType="end"/>
          </w:r>
        </w:sdtContent>
      </w:sdt>
      <w:r>
        <w:rPr>
          <w:rFonts w:ascii="David" w:hAnsi="David" w:cs="David" w:hint="cs"/>
          <w:sz w:val="28"/>
          <w:szCs w:val="28"/>
          <w:rtl/>
        </w:rPr>
        <w:t>.</w:t>
      </w:r>
    </w:p>
    <w:p w:rsidR="00722125" w:rsidRDefault="00722125" w:rsidP="00722125">
      <w:pPr>
        <w:pStyle w:val="1"/>
        <w:rPr>
          <w:rtl/>
        </w:rPr>
      </w:pPr>
      <w:r>
        <w:rPr>
          <w:rFonts w:hint="cs"/>
          <w:rtl/>
        </w:rPr>
        <w:t>דיון בספר "המרד נגד הגלובליזציה"</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מטרת פרק זה הינה לדון בפרדיגמה המוצגת בספרו של נדב איל. ה</w:t>
      </w:r>
      <w:r w:rsidR="00A9328B">
        <w:rPr>
          <w:rFonts w:ascii="David" w:hAnsi="David" w:cs="David" w:hint="cs"/>
          <w:sz w:val="28"/>
          <w:szCs w:val="28"/>
          <w:rtl/>
        </w:rPr>
        <w:t xml:space="preserve">פרק מורכב משני חלקים </w:t>
      </w:r>
      <w:r w:rsidR="00A9328B">
        <w:rPr>
          <w:rFonts w:ascii="David" w:hAnsi="David" w:cs="David"/>
          <w:sz w:val="28"/>
          <w:szCs w:val="28"/>
          <w:rtl/>
        </w:rPr>
        <w:t>–</w:t>
      </w:r>
      <w:r w:rsidR="00A9328B">
        <w:rPr>
          <w:rFonts w:ascii="David" w:hAnsi="David" w:cs="David" w:hint="cs"/>
          <w:sz w:val="28"/>
          <w:szCs w:val="28"/>
          <w:rtl/>
        </w:rPr>
        <w:t xml:space="preserve"> (1) תיאור הספר והאופן בו מושג הגלובליזציה מגיע לכדי ביטוי (2) תיאור הסבר והוכחה לשימוש בפרדיגמת הפלורליזם בספר.</w:t>
      </w:r>
    </w:p>
    <w:p w:rsidR="00722125" w:rsidRPr="005A67E3" w:rsidRDefault="00722125" w:rsidP="00722125">
      <w:pPr>
        <w:spacing w:line="360" w:lineRule="auto"/>
        <w:jc w:val="both"/>
        <w:rPr>
          <w:rFonts w:ascii="David" w:hAnsi="David" w:cs="David"/>
          <w:b/>
          <w:bCs/>
          <w:sz w:val="28"/>
          <w:szCs w:val="28"/>
          <w:u w:val="single"/>
          <w:rtl/>
        </w:rPr>
      </w:pPr>
      <w:r w:rsidRPr="005A67E3">
        <w:rPr>
          <w:rFonts w:ascii="David" w:hAnsi="David" w:cs="David" w:hint="cs"/>
          <w:b/>
          <w:bCs/>
          <w:sz w:val="28"/>
          <w:szCs w:val="28"/>
          <w:u w:val="single"/>
          <w:rtl/>
        </w:rPr>
        <w:t>תיאור הספר</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כפתיחה אני חושב שנכון לעמוד על כך שלא מדובר בספרות אקדמית אלא בספר המבוסס על מספר כתבות טלוויזיוניות שביצע נדב כפרשן מדיני (במרכזן "</w:t>
      </w:r>
      <w:proofErr w:type="spellStart"/>
      <w:r>
        <w:rPr>
          <w:rFonts w:ascii="David" w:hAnsi="David" w:cs="David" w:hint="cs"/>
          <w:sz w:val="28"/>
          <w:szCs w:val="28"/>
          <w:rtl/>
        </w:rPr>
        <w:t>טראמפלנד</w:t>
      </w:r>
      <w:proofErr w:type="spellEnd"/>
      <w:r>
        <w:rPr>
          <w:rFonts w:ascii="David" w:hAnsi="David" w:cs="David" w:hint="cs"/>
          <w:sz w:val="28"/>
          <w:szCs w:val="28"/>
          <w:rtl/>
        </w:rPr>
        <w:t xml:space="preserve">" מ2016). לצד הכתבות הללו משלב נדב נתונים מתוך מחקרים אך זה אינו החלק הארי בתיאור או במסקנות. </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אבחנה זו חשובה מאחר וכעיתונאי נדב נדרש לעניין את הצופה יותר מאשר להגיע לאמת אקדמאית. מכאן שבחירת המקרים המתוארים הינה בחירה המושפעת גם מהצורך לקבל אחוזי צפייה גבוהים. באופן די מעניין נדב מסכם את הפרק הראשון בדוגמא על הגלובליזציה - חיבור בין אנשים המצליח לייצר ידיעה תקשורתית נדירה וחשובה בין מדינות. עם זאת כשהוא מפרש עבור הקורא את האופן בו משתקפת הגלובליזציה בדוגמא הוא מציין שהיא מהווה </w:t>
      </w:r>
      <w:r w:rsidRPr="00794A32">
        <w:rPr>
          <w:rFonts w:ascii="David" w:hAnsi="David" w:cs="David" w:hint="cs"/>
          <w:sz w:val="28"/>
          <w:szCs w:val="28"/>
          <w:rtl/>
        </w:rPr>
        <w:t>גם  ואולי בעיקר</w:t>
      </w:r>
      <w:r>
        <w:rPr>
          <w:rFonts w:ascii="David" w:hAnsi="David" w:cs="David" w:hint="cs"/>
          <w:i/>
          <w:iCs/>
          <w:sz w:val="28"/>
          <w:szCs w:val="28"/>
          <w:rtl/>
        </w:rPr>
        <w:t xml:space="preserve"> </w:t>
      </w:r>
      <w:r w:rsidRPr="002C41DD">
        <w:rPr>
          <w:rFonts w:ascii="David" w:hAnsi="David" w:cs="David" w:hint="cs"/>
          <w:i/>
          <w:iCs/>
          <w:sz w:val="28"/>
          <w:szCs w:val="28"/>
          <w:rtl/>
        </w:rPr>
        <w:t xml:space="preserve">"... אינטרס קפיטליסטי </w:t>
      </w:r>
      <w:r w:rsidRPr="002C41DD">
        <w:rPr>
          <w:rFonts w:ascii="David" w:hAnsi="David" w:cs="David"/>
          <w:i/>
          <w:iCs/>
          <w:sz w:val="28"/>
          <w:szCs w:val="28"/>
          <w:rtl/>
        </w:rPr>
        <w:t>–</w:t>
      </w:r>
      <w:r w:rsidRPr="002C41DD">
        <w:rPr>
          <w:rFonts w:ascii="David" w:hAnsi="David" w:cs="David" w:hint="cs"/>
          <w:i/>
          <w:iCs/>
          <w:sz w:val="28"/>
          <w:szCs w:val="28"/>
          <w:rtl/>
        </w:rPr>
        <w:t xml:space="preserve"> במקרה הזה, הצורך להביא כותרת חדשותית כדי למכור עיתונים."</w:t>
      </w:r>
      <w:r>
        <w:rPr>
          <w:rFonts w:ascii="David" w:hAnsi="David" w:cs="David" w:hint="cs"/>
          <w:sz w:val="28"/>
          <w:szCs w:val="28"/>
          <w:rtl/>
        </w:rPr>
        <w:t xml:space="preserve"> (עמ' 32). כלומר גם על משלח ידו הוא מעביר ביקורת ומשאיר את הקורא לתהות על האמת המובאת בתקשורת (ואולי גם בספר זה) שכן בסוף הכול סובב סביב שורת הרווח.</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מבט בתוכן העניינים מלמד אותנו שהספר בנוי משמונה חלקים המציגים תיאור מציאות למספר שאלות מרכזיות שונות : מה הצדדים האפלים של הגלובליזציה? מי </w:t>
      </w:r>
      <w:r>
        <w:rPr>
          <w:rFonts w:ascii="David" w:hAnsi="David" w:cs="David" w:hint="cs"/>
          <w:sz w:val="28"/>
          <w:szCs w:val="28"/>
          <w:rtl/>
        </w:rPr>
        <w:lastRenderedPageBreak/>
        <w:t xml:space="preserve">משלם את מחיר הקפיטליזם הגלובלי? מהם תנועות הנגד שהולידה או העצימה הגלובליזציה? מהם השלכות הגלובליזציה על המוסד המשפחתי ולאן קצב הילודה ההולך ופוחת מוביל אותנו? כיצד תופעת הפליטות נראית בעידן הגלובלי? והשאלה שעוטפת את הספר היא כיצד ומדוע נבחר </w:t>
      </w:r>
      <w:proofErr w:type="spellStart"/>
      <w:r>
        <w:rPr>
          <w:rFonts w:ascii="David" w:hAnsi="David" w:cs="David" w:hint="cs"/>
          <w:sz w:val="28"/>
          <w:szCs w:val="28"/>
          <w:rtl/>
        </w:rPr>
        <w:t>טראמפ</w:t>
      </w:r>
      <w:proofErr w:type="spellEnd"/>
      <w:r>
        <w:rPr>
          <w:rFonts w:ascii="David" w:hAnsi="David" w:cs="David" w:hint="cs"/>
          <w:sz w:val="28"/>
          <w:szCs w:val="28"/>
          <w:rtl/>
        </w:rPr>
        <w:t xml:space="preserve">?  החלק התשיעי והאחרון של הספר מנסה להציג מספר עקרונות לפתרון הבעיה. </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ככלל, הקריאה בספר זורמת וכתובה באופן תיאורי וציורי ברור. למרות שבחלקים השונים נדב מנסה לשלב נקודות בהם הגלובליזציה היטיבה עם האדם. הרי ברובו של הספר עוסק בצדדיה המדכדכים של הגלובליזציה. נדב מנסה לאפיין את ספרו כשונה מהספרות הקיימת כיום בעולם בציינו בפתח דבר ש: </w:t>
      </w:r>
      <w:r w:rsidRPr="008D2F3D">
        <w:rPr>
          <w:rFonts w:ascii="David" w:hAnsi="David" w:cs="David" w:hint="cs"/>
          <w:i/>
          <w:iCs/>
          <w:sz w:val="28"/>
          <w:szCs w:val="28"/>
          <w:rtl/>
        </w:rPr>
        <w:t>"ספרים שנכתבו על גלובליזציה נקראים לעיתים כנבואות של חשיבה חיובית...אך זה שלפניכם עוסק גם באכזבה ממנה, באפלה של התהליך הנוכחי"</w:t>
      </w:r>
      <w:r>
        <w:rPr>
          <w:rFonts w:ascii="David" w:hAnsi="David" w:cs="David" w:hint="cs"/>
          <w:i/>
          <w:iCs/>
          <w:sz w:val="28"/>
          <w:szCs w:val="28"/>
          <w:rtl/>
        </w:rPr>
        <w:t xml:space="preserve"> </w:t>
      </w:r>
      <w:r w:rsidRPr="008D2F3D">
        <w:rPr>
          <w:rFonts w:ascii="David" w:hAnsi="David" w:cs="David" w:hint="cs"/>
          <w:sz w:val="28"/>
          <w:szCs w:val="28"/>
          <w:rtl/>
        </w:rPr>
        <w:t>(עמ' 21).</w:t>
      </w:r>
      <w:r>
        <w:rPr>
          <w:rFonts w:ascii="David" w:hAnsi="David" w:cs="David" w:hint="cs"/>
          <w:sz w:val="28"/>
          <w:szCs w:val="28"/>
          <w:rtl/>
        </w:rPr>
        <w:t xml:space="preserve"> </w:t>
      </w:r>
      <w:r w:rsidR="00A9328B">
        <w:rPr>
          <w:rFonts w:ascii="David" w:hAnsi="David" w:cs="David" w:hint="cs"/>
          <w:sz w:val="28"/>
          <w:szCs w:val="28"/>
          <w:rtl/>
        </w:rPr>
        <w:t>בניגוד לכתיבה הקולחת הרי</w:t>
      </w:r>
      <w:r>
        <w:rPr>
          <w:rFonts w:ascii="David" w:hAnsi="David" w:cs="David" w:hint="cs"/>
          <w:sz w:val="28"/>
          <w:szCs w:val="28"/>
          <w:rtl/>
        </w:rPr>
        <w:t xml:space="preserve"> </w:t>
      </w:r>
      <w:r w:rsidR="00A9328B">
        <w:rPr>
          <w:rFonts w:ascii="David" w:hAnsi="David" w:cs="David" w:hint="cs"/>
          <w:sz w:val="28"/>
          <w:szCs w:val="28"/>
          <w:rtl/>
        </w:rPr>
        <w:t>ש</w:t>
      </w:r>
      <w:r>
        <w:rPr>
          <w:rFonts w:ascii="David" w:hAnsi="David" w:cs="David" w:hint="cs"/>
          <w:sz w:val="28"/>
          <w:szCs w:val="28"/>
          <w:rtl/>
        </w:rPr>
        <w:t>בין החלקים השונים בספר אין ארגון וסידור ברור. גם פרק הסיכום אינו פרק סיכום קלאסי אלא סגירה אמורפית.</w:t>
      </w:r>
    </w:p>
    <w:p w:rsidR="00722125" w:rsidRPr="008646D9" w:rsidRDefault="00722125" w:rsidP="00722125">
      <w:pPr>
        <w:spacing w:line="360" w:lineRule="auto"/>
        <w:jc w:val="both"/>
        <w:rPr>
          <w:rFonts w:ascii="David" w:hAnsi="David" w:cs="David"/>
          <w:b/>
          <w:bCs/>
          <w:sz w:val="28"/>
          <w:szCs w:val="28"/>
          <w:u w:val="single"/>
          <w:rtl/>
        </w:rPr>
      </w:pPr>
      <w:r w:rsidRPr="008646D9">
        <w:rPr>
          <w:rFonts w:ascii="David" w:hAnsi="David" w:cs="David" w:hint="cs"/>
          <w:b/>
          <w:bCs/>
          <w:sz w:val="28"/>
          <w:szCs w:val="28"/>
          <w:rtl/>
        </w:rPr>
        <w:t xml:space="preserve">מושג הגלובליזציה - </w:t>
      </w:r>
      <w:r>
        <w:rPr>
          <w:rFonts w:ascii="David" w:hAnsi="David" w:cs="David" w:hint="cs"/>
          <w:sz w:val="28"/>
          <w:szCs w:val="28"/>
          <w:rtl/>
        </w:rPr>
        <w:t xml:space="preserve">הסופר מציג בתחילת הספר שהוא מאמץ את הגדרתו של </w:t>
      </w:r>
      <w:r>
        <w:rPr>
          <w:rFonts w:ascii="David" w:hAnsi="David" w:cs="David" w:hint="cs"/>
          <w:sz w:val="28"/>
          <w:szCs w:val="28"/>
        </w:rPr>
        <w:t>H</w:t>
      </w:r>
      <w:r>
        <w:rPr>
          <w:rFonts w:ascii="David" w:hAnsi="David" w:cs="David"/>
          <w:sz w:val="28"/>
          <w:szCs w:val="28"/>
        </w:rPr>
        <w:t>eld</w:t>
      </w:r>
      <w:r>
        <w:rPr>
          <w:rFonts w:ascii="David" w:hAnsi="David" w:cs="David" w:hint="cs"/>
          <w:sz w:val="28"/>
          <w:szCs w:val="28"/>
          <w:rtl/>
        </w:rPr>
        <w:t xml:space="preserve"> למושג גלובליזציה :</w:t>
      </w:r>
      <w:r w:rsidRPr="0010333F">
        <w:rPr>
          <w:rFonts w:ascii="David" w:hAnsi="David" w:cs="David" w:hint="cs"/>
          <w:i/>
          <w:iCs/>
          <w:sz w:val="28"/>
          <w:szCs w:val="28"/>
          <w:rtl/>
        </w:rPr>
        <w:t xml:space="preserve">"הרחבה, האצה והעמקה של קשרי גומלין ויחסים חברתיים בין מדינות, תרבויות ואינדיבידואלים" </w:t>
      </w:r>
      <w:r>
        <w:rPr>
          <w:rFonts w:ascii="David" w:hAnsi="David" w:cs="David" w:hint="cs"/>
          <w:sz w:val="28"/>
          <w:szCs w:val="28"/>
          <w:rtl/>
        </w:rPr>
        <w:t>(עמ' 33). בהמשך הפרק מחדד נדב שבראייתו גלובליזציה הינה : "</w:t>
      </w:r>
      <w:r w:rsidRPr="00D208A6">
        <w:rPr>
          <w:rFonts w:ascii="David" w:hAnsi="David" w:cs="David" w:hint="cs"/>
          <w:i/>
          <w:iCs/>
          <w:sz w:val="28"/>
          <w:szCs w:val="28"/>
          <w:rtl/>
        </w:rPr>
        <w:t>יצירה פוליטית-כלכלית</w:t>
      </w:r>
      <w:r>
        <w:rPr>
          <w:rFonts w:ascii="David" w:hAnsi="David" w:cs="David" w:hint="cs"/>
          <w:sz w:val="28"/>
          <w:szCs w:val="28"/>
          <w:rtl/>
        </w:rPr>
        <w:t xml:space="preserve">" (עמ' 42). ביטוי נוסף לחידוד חשוב זה ניתן בהרצאה במסגרת </w:t>
      </w:r>
      <w:proofErr w:type="spellStart"/>
      <w:r>
        <w:rPr>
          <w:rFonts w:ascii="David" w:hAnsi="David" w:cs="David" w:hint="cs"/>
          <w:sz w:val="28"/>
          <w:szCs w:val="28"/>
          <w:rtl/>
        </w:rPr>
        <w:t>מב"ל</w:t>
      </w:r>
      <w:proofErr w:type="spellEnd"/>
      <w:r>
        <w:rPr>
          <w:rFonts w:ascii="David" w:hAnsi="David" w:cs="David" w:hint="cs"/>
          <w:sz w:val="28"/>
          <w:szCs w:val="28"/>
          <w:rtl/>
        </w:rPr>
        <w:t xml:space="preserve"> שם ציין נדב ש"</w:t>
      </w:r>
      <w:r w:rsidRPr="00D208A6">
        <w:rPr>
          <w:rFonts w:ascii="David" w:hAnsi="David" w:cs="David" w:hint="cs"/>
          <w:i/>
          <w:iCs/>
          <w:sz w:val="28"/>
          <w:szCs w:val="28"/>
          <w:rtl/>
        </w:rPr>
        <w:t>גלובליזציה הינה פרויקט פוליטי שמטרתו להביא לניצחון המערב דרך כלכלה והסדרים...הכוח הכלכלי ובבסיסו היעילות הינו האלמנט המוביל את העולם לאורך ההיסטוריה ואת הגלובליזציה כיום</w:t>
      </w:r>
      <w:r>
        <w:rPr>
          <w:rFonts w:ascii="David" w:hAnsi="David" w:cs="David" w:hint="cs"/>
          <w:sz w:val="28"/>
          <w:szCs w:val="28"/>
          <w:rtl/>
        </w:rPr>
        <w:t xml:space="preserve">".  אם כך, </w:t>
      </w:r>
      <w:r w:rsidRPr="00D208A6">
        <w:rPr>
          <w:rFonts w:ascii="David" w:hAnsi="David" w:cs="David" w:hint="cs"/>
          <w:b/>
          <w:bCs/>
          <w:sz w:val="28"/>
          <w:szCs w:val="28"/>
          <w:rtl/>
        </w:rPr>
        <w:t>נדב ממשיג את הגלובליזציה כתפיסה רב ממדית של קשרי גומלין אשר בבסיס</w:t>
      </w:r>
      <w:r>
        <w:rPr>
          <w:rFonts w:ascii="David" w:hAnsi="David" w:cs="David" w:hint="cs"/>
          <w:b/>
          <w:bCs/>
          <w:sz w:val="28"/>
          <w:szCs w:val="28"/>
          <w:rtl/>
        </w:rPr>
        <w:t>ם</w:t>
      </w:r>
      <w:r w:rsidRPr="00D208A6">
        <w:rPr>
          <w:rFonts w:ascii="David" w:hAnsi="David" w:cs="David" w:hint="cs"/>
          <w:b/>
          <w:bCs/>
          <w:sz w:val="28"/>
          <w:szCs w:val="28"/>
          <w:rtl/>
        </w:rPr>
        <w:t xml:space="preserve"> </w:t>
      </w:r>
      <w:r>
        <w:rPr>
          <w:rFonts w:ascii="David" w:hAnsi="David" w:cs="David" w:hint="cs"/>
          <w:b/>
          <w:bCs/>
          <w:sz w:val="28"/>
          <w:szCs w:val="28"/>
          <w:rtl/>
        </w:rPr>
        <w:t>הכלכלה</w:t>
      </w:r>
      <w:r w:rsidRPr="00D208A6">
        <w:rPr>
          <w:rFonts w:ascii="David" w:hAnsi="David" w:cs="David" w:hint="cs"/>
          <w:b/>
          <w:bCs/>
          <w:sz w:val="28"/>
          <w:szCs w:val="28"/>
          <w:rtl/>
        </w:rPr>
        <w:t xml:space="preserve"> הקפיטליסטי</w:t>
      </w:r>
      <w:r>
        <w:rPr>
          <w:rFonts w:ascii="David" w:hAnsi="David" w:cs="David" w:hint="cs"/>
          <w:b/>
          <w:bCs/>
          <w:sz w:val="28"/>
          <w:szCs w:val="28"/>
          <w:rtl/>
        </w:rPr>
        <w:t>ת</w:t>
      </w:r>
      <w:r w:rsidRPr="00D208A6">
        <w:rPr>
          <w:rFonts w:ascii="David" w:hAnsi="David" w:cs="David" w:hint="cs"/>
          <w:b/>
          <w:bCs/>
          <w:sz w:val="28"/>
          <w:szCs w:val="28"/>
          <w:rtl/>
        </w:rPr>
        <w:t xml:space="preserve"> המערבי</w:t>
      </w:r>
      <w:r>
        <w:rPr>
          <w:rFonts w:ascii="David" w:hAnsi="David" w:cs="David" w:hint="cs"/>
          <w:b/>
          <w:bCs/>
          <w:sz w:val="28"/>
          <w:szCs w:val="28"/>
          <w:rtl/>
        </w:rPr>
        <w:t>ת מהווה מנוע מרכזי</w:t>
      </w:r>
      <w:r>
        <w:rPr>
          <w:rFonts w:ascii="David" w:hAnsi="David" w:cs="David" w:hint="cs"/>
          <w:sz w:val="28"/>
          <w:szCs w:val="28"/>
          <w:rtl/>
        </w:rPr>
        <w:t>.</w:t>
      </w:r>
    </w:p>
    <w:p w:rsidR="00722125" w:rsidRPr="008646D9" w:rsidRDefault="00722125" w:rsidP="00722125">
      <w:pPr>
        <w:spacing w:line="360" w:lineRule="auto"/>
        <w:jc w:val="both"/>
        <w:rPr>
          <w:rFonts w:ascii="David" w:hAnsi="David" w:cs="David"/>
          <w:b/>
          <w:bCs/>
          <w:sz w:val="28"/>
          <w:szCs w:val="28"/>
          <w:u w:val="single"/>
          <w:rtl/>
        </w:rPr>
      </w:pPr>
      <w:r w:rsidRPr="008646D9">
        <w:rPr>
          <w:rFonts w:ascii="David" w:hAnsi="David" w:cs="David" w:hint="cs"/>
          <w:b/>
          <w:bCs/>
          <w:sz w:val="28"/>
          <w:szCs w:val="28"/>
          <w:rtl/>
        </w:rPr>
        <w:t xml:space="preserve">ניתוח הפרדיגמה- </w:t>
      </w:r>
      <w:r>
        <w:rPr>
          <w:rFonts w:ascii="David" w:hAnsi="David" w:cs="David" w:hint="cs"/>
          <w:sz w:val="28"/>
          <w:szCs w:val="28"/>
          <w:rtl/>
        </w:rPr>
        <w:t xml:space="preserve">על מנת להבין את הבחירה ואת אופן הניתוח של תופעות הגלובליזציה שעושה נדב איל, עלינו להבין מה הפרדיגמה בה הוא אוחז.  הכותב לא מתאר בספר באופן ישיר את המסגרת הפרדיגמטית והתיאורטית באמצעות הוא בוחן את העולם. </w:t>
      </w:r>
    </w:p>
    <w:p w:rsidR="00722125" w:rsidRDefault="00722125" w:rsidP="00722125">
      <w:pPr>
        <w:spacing w:line="360" w:lineRule="auto"/>
        <w:jc w:val="both"/>
        <w:rPr>
          <w:rFonts w:ascii="David" w:hAnsi="David" w:cs="David"/>
          <w:b/>
          <w:bCs/>
          <w:sz w:val="28"/>
          <w:szCs w:val="28"/>
          <w:rtl/>
        </w:rPr>
      </w:pPr>
      <w:r>
        <w:rPr>
          <w:rFonts w:ascii="David" w:hAnsi="David" w:cs="David" w:hint="cs"/>
          <w:sz w:val="28"/>
          <w:szCs w:val="28"/>
          <w:rtl/>
        </w:rPr>
        <w:t xml:space="preserve">טענתי בפרק זה הינה שהפרדיגמה בה תוקף משתמש איל בספר הינה </w:t>
      </w:r>
      <w:r w:rsidRPr="00B95877">
        <w:rPr>
          <w:rFonts w:ascii="David" w:hAnsi="David" w:cs="David" w:hint="cs"/>
          <w:b/>
          <w:bCs/>
          <w:sz w:val="28"/>
          <w:szCs w:val="28"/>
          <w:rtl/>
        </w:rPr>
        <w:t>הפרדיגמה הפלורליסטית</w:t>
      </w:r>
      <w:r>
        <w:rPr>
          <w:rFonts w:ascii="David" w:hAnsi="David" w:cs="David" w:hint="cs"/>
          <w:sz w:val="28"/>
          <w:szCs w:val="28"/>
          <w:rtl/>
        </w:rPr>
        <w:t xml:space="preserve">. בפסקאות הבאות אציג את עיקרי </w:t>
      </w:r>
      <w:proofErr w:type="spellStart"/>
      <w:r>
        <w:rPr>
          <w:rFonts w:ascii="David" w:hAnsi="David" w:cs="David" w:hint="cs"/>
          <w:sz w:val="28"/>
          <w:szCs w:val="28"/>
          <w:rtl/>
        </w:rPr>
        <w:t>הפרידגמה</w:t>
      </w:r>
      <w:proofErr w:type="spellEnd"/>
      <w:r>
        <w:rPr>
          <w:rFonts w:ascii="David" w:hAnsi="David" w:cs="David" w:hint="cs"/>
          <w:sz w:val="28"/>
          <w:szCs w:val="28"/>
          <w:rtl/>
        </w:rPr>
        <w:t xml:space="preserve"> והאופן בו באים לידי ביטוי במהלך הספר. </w:t>
      </w:r>
    </w:p>
    <w:p w:rsidR="00722125" w:rsidRDefault="00722125" w:rsidP="00722125">
      <w:pPr>
        <w:spacing w:line="360" w:lineRule="auto"/>
        <w:jc w:val="both"/>
        <w:rPr>
          <w:rFonts w:ascii="David" w:hAnsi="David" w:cs="David"/>
          <w:sz w:val="28"/>
          <w:szCs w:val="28"/>
          <w:rtl/>
        </w:rPr>
      </w:pPr>
      <w:r>
        <w:rPr>
          <w:rFonts w:ascii="David" w:hAnsi="David" w:cs="David" w:hint="cs"/>
          <w:b/>
          <w:bCs/>
          <w:sz w:val="28"/>
          <w:szCs w:val="28"/>
          <w:rtl/>
        </w:rPr>
        <w:t>פלורליזם</w:t>
      </w:r>
      <w:r w:rsidRPr="006A5747">
        <w:rPr>
          <w:rFonts w:ascii="David" w:hAnsi="David" w:cs="David" w:hint="cs"/>
          <w:b/>
          <w:bCs/>
          <w:sz w:val="28"/>
          <w:szCs w:val="28"/>
          <w:rtl/>
        </w:rPr>
        <w:t xml:space="preserve"> </w:t>
      </w:r>
      <w:r w:rsidR="00A9328B">
        <w:rPr>
          <w:rFonts w:ascii="David" w:hAnsi="David" w:cs="David"/>
          <w:sz w:val="28"/>
          <w:szCs w:val="28"/>
          <w:rtl/>
        </w:rPr>
        <w:t>–</w:t>
      </w:r>
      <w:r>
        <w:rPr>
          <w:rFonts w:ascii="David" w:hAnsi="David" w:cs="David" w:hint="cs"/>
          <w:sz w:val="28"/>
          <w:szCs w:val="28"/>
          <w:rtl/>
        </w:rPr>
        <w:t xml:space="preserve"> </w:t>
      </w:r>
      <w:r w:rsidR="00A9328B">
        <w:rPr>
          <w:rFonts w:ascii="David" w:hAnsi="David" w:cs="David" w:hint="cs"/>
          <w:sz w:val="28"/>
          <w:szCs w:val="28"/>
          <w:rtl/>
        </w:rPr>
        <w:t>טענתה המרכזית של הגישה היא</w:t>
      </w:r>
      <w:r>
        <w:rPr>
          <w:rFonts w:ascii="David" w:hAnsi="David" w:cs="David" w:hint="cs"/>
          <w:sz w:val="28"/>
          <w:szCs w:val="28"/>
          <w:rtl/>
        </w:rPr>
        <w:t xml:space="preserve"> שהכוח אינו מרוכז בידי קבוצה אחת אלא מפוזר לקבוצות שונות</w:t>
      </w:r>
      <w:r w:rsidR="00A9328B">
        <w:rPr>
          <w:rFonts w:ascii="David" w:hAnsi="David" w:cs="David" w:hint="cs"/>
          <w:sz w:val="28"/>
          <w:szCs w:val="28"/>
          <w:rtl/>
        </w:rPr>
        <w:t xml:space="preserve"> בעלות אינטרסים שונים</w:t>
      </w:r>
      <w:r>
        <w:rPr>
          <w:rFonts w:ascii="David" w:hAnsi="David" w:cs="David" w:hint="cs"/>
          <w:sz w:val="28"/>
          <w:szCs w:val="28"/>
          <w:rtl/>
        </w:rPr>
        <w:t xml:space="preserve">. על מנת להבין את </w:t>
      </w:r>
      <w:r w:rsidR="00A9328B">
        <w:rPr>
          <w:rFonts w:ascii="David" w:hAnsi="David" w:cs="David" w:hint="cs"/>
          <w:sz w:val="28"/>
          <w:szCs w:val="28"/>
          <w:rtl/>
        </w:rPr>
        <w:t>הפרדיגמה</w:t>
      </w:r>
      <w:r>
        <w:rPr>
          <w:rFonts w:ascii="David" w:hAnsi="David" w:cs="David" w:hint="cs"/>
          <w:sz w:val="28"/>
          <w:szCs w:val="28"/>
          <w:rtl/>
        </w:rPr>
        <w:t xml:space="preserve"> נתחיל בהסתכלות היסטורית על התפתחות</w:t>
      </w:r>
      <w:r w:rsidR="00A9328B">
        <w:rPr>
          <w:rFonts w:ascii="David" w:hAnsi="David" w:cs="David" w:hint="cs"/>
          <w:sz w:val="28"/>
          <w:szCs w:val="28"/>
          <w:rtl/>
        </w:rPr>
        <w:t>ה</w:t>
      </w:r>
      <w:r>
        <w:rPr>
          <w:rFonts w:ascii="David" w:hAnsi="David" w:cs="David" w:hint="cs"/>
          <w:sz w:val="28"/>
          <w:szCs w:val="28"/>
          <w:rtl/>
        </w:rPr>
        <w:t xml:space="preserve">. ניצני הפלורליזם נעוצים כבר בימים </w:t>
      </w:r>
      <w:r>
        <w:rPr>
          <w:rFonts w:ascii="David" w:hAnsi="David" w:cs="David" w:hint="cs"/>
          <w:sz w:val="28"/>
          <w:szCs w:val="28"/>
          <w:rtl/>
        </w:rPr>
        <w:lastRenderedPageBreak/>
        <w:t>של טרום מלחמת העולם הראשונה. היא מתפתחת כאמירה ביקורתית לגישה המרקסיסטית והאליטיסטית. בבסיס</w:t>
      </w:r>
      <w:r w:rsidR="00A9328B">
        <w:rPr>
          <w:rFonts w:ascii="David" w:hAnsi="David" w:cs="David" w:hint="cs"/>
          <w:sz w:val="28"/>
          <w:szCs w:val="28"/>
          <w:rtl/>
        </w:rPr>
        <w:t>ה</w:t>
      </w:r>
      <w:r>
        <w:rPr>
          <w:rFonts w:ascii="David" w:hAnsi="David" w:cs="David" w:hint="cs"/>
          <w:sz w:val="28"/>
          <w:szCs w:val="28"/>
          <w:rtl/>
        </w:rPr>
        <w:t xml:space="preserve"> עומדת המחשבה שגישה הרואה בקבוצה מצומצמת כשולטת הינה גישה פשטנית. עם זאת הגישה אינה מגובשת דיה בשנים הללו ורק עם </w:t>
      </w:r>
      <w:r w:rsidR="00A9328B">
        <w:rPr>
          <w:rFonts w:ascii="David" w:hAnsi="David" w:cs="David" w:hint="cs"/>
          <w:sz w:val="28"/>
          <w:szCs w:val="28"/>
          <w:rtl/>
        </w:rPr>
        <w:t xml:space="preserve">השתלבותם של חוקרי המדינה בעיצוב המדיניות במזמן </w:t>
      </w:r>
      <w:proofErr w:type="spellStart"/>
      <w:r w:rsidR="00A9328B">
        <w:rPr>
          <w:rFonts w:ascii="David" w:hAnsi="David" w:cs="David" w:hint="cs"/>
          <w:sz w:val="28"/>
          <w:szCs w:val="28"/>
          <w:rtl/>
        </w:rPr>
        <w:t>מלחה"ע</w:t>
      </w:r>
      <w:proofErr w:type="spellEnd"/>
      <w:r w:rsidR="00A9328B">
        <w:rPr>
          <w:rFonts w:ascii="David" w:hAnsi="David" w:cs="David" w:hint="cs"/>
          <w:sz w:val="28"/>
          <w:szCs w:val="28"/>
          <w:rtl/>
        </w:rPr>
        <w:t xml:space="preserve"> הראשונה ו</w:t>
      </w:r>
      <w:r>
        <w:rPr>
          <w:rFonts w:ascii="David" w:hAnsi="David" w:cs="David" w:hint="cs"/>
          <w:sz w:val="28"/>
          <w:szCs w:val="28"/>
          <w:rtl/>
        </w:rPr>
        <w:t>עליית קרנה של ארה"ב כמודל לחיקוי אחרי מלחמת העולם השנייה</w:t>
      </w:r>
      <w:r w:rsidR="00A9328B">
        <w:rPr>
          <w:rFonts w:ascii="David" w:hAnsi="David" w:cs="David" w:hint="cs"/>
          <w:sz w:val="28"/>
          <w:szCs w:val="28"/>
          <w:rtl/>
        </w:rPr>
        <w:t>.</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נהוג להגדיר את ההסדרה האקדמית של הגישה בפרסום מחקרו של </w:t>
      </w:r>
      <w:r>
        <w:rPr>
          <w:rFonts w:ascii="David" w:hAnsi="David" w:cs="David" w:hint="cs"/>
          <w:sz w:val="28"/>
          <w:szCs w:val="28"/>
        </w:rPr>
        <w:t>D</w:t>
      </w:r>
      <w:r>
        <w:rPr>
          <w:rFonts w:ascii="David" w:hAnsi="David" w:cs="David"/>
          <w:sz w:val="28"/>
          <w:szCs w:val="28"/>
        </w:rPr>
        <w:t>ahl</w:t>
      </w:r>
      <w:r>
        <w:rPr>
          <w:rFonts w:ascii="David" w:hAnsi="David" w:cs="David" w:hint="cs"/>
          <w:sz w:val="28"/>
          <w:szCs w:val="28"/>
          <w:rtl/>
        </w:rPr>
        <w:t xml:space="preserve"> בשם </w:t>
      </w:r>
      <w:r>
        <w:rPr>
          <w:rFonts w:ascii="David" w:hAnsi="David" w:cs="David"/>
          <w:sz w:val="28"/>
          <w:szCs w:val="28"/>
        </w:rPr>
        <w:t>"Who governs?"</w:t>
      </w:r>
      <w:r>
        <w:rPr>
          <w:rFonts w:ascii="David" w:hAnsi="David" w:cs="David" w:hint="cs"/>
          <w:sz w:val="28"/>
          <w:szCs w:val="28"/>
          <w:rtl/>
        </w:rPr>
        <w:t xml:space="preserve">.במחקר זה מניח </w:t>
      </w:r>
      <w:r>
        <w:rPr>
          <w:rFonts w:ascii="David" w:hAnsi="David" w:cs="David"/>
          <w:sz w:val="28"/>
          <w:szCs w:val="28"/>
        </w:rPr>
        <w:t>Dahl</w:t>
      </w:r>
      <w:r>
        <w:rPr>
          <w:rFonts w:ascii="David" w:hAnsi="David" w:cs="David" w:hint="cs"/>
          <w:sz w:val="28"/>
          <w:szCs w:val="28"/>
          <w:rtl/>
        </w:rPr>
        <w:t xml:space="preserve"> את עיקרי התפיסה המגולמים בארבע הנחות יסוד: (א) </w:t>
      </w:r>
      <w:r w:rsidRPr="00486AA5">
        <w:rPr>
          <w:rFonts w:ascii="David" w:hAnsi="David" w:cs="David" w:hint="cs"/>
          <w:b/>
          <w:bCs/>
          <w:sz w:val="28"/>
          <w:szCs w:val="28"/>
          <w:rtl/>
        </w:rPr>
        <w:t xml:space="preserve">כוח הינו אלמנט </w:t>
      </w:r>
      <w:r>
        <w:rPr>
          <w:rFonts w:ascii="David" w:hAnsi="David" w:cs="David" w:hint="cs"/>
          <w:b/>
          <w:bCs/>
          <w:sz w:val="28"/>
          <w:szCs w:val="28"/>
          <w:rtl/>
        </w:rPr>
        <w:t xml:space="preserve">מהותי ונסיבתי - </w:t>
      </w:r>
      <w:r>
        <w:rPr>
          <w:rFonts w:ascii="David" w:hAnsi="David" w:cs="David" w:hint="cs"/>
          <w:sz w:val="28"/>
          <w:szCs w:val="28"/>
          <w:rtl/>
        </w:rPr>
        <w:t xml:space="preserve">המושג כוח הינו היכולת של שחקן א' לגרום לשחקן ב' לבצע פעולות המתאימות לרצונותיו של שחקן א'. (ב) התהליך הפוליטי הינו אירוע מתפתח לאורך זמן. </w:t>
      </w:r>
      <w:r w:rsidRPr="00486AA5">
        <w:rPr>
          <w:rFonts w:ascii="David" w:hAnsi="David" w:cs="David" w:hint="cs"/>
          <w:b/>
          <w:bCs/>
          <w:sz w:val="28"/>
          <w:szCs w:val="28"/>
          <w:rtl/>
        </w:rPr>
        <w:t>התהליך מורכב משחקנים הפועלים בהתאם לאינטרסים שלהם ובתגובה לאינטרסים הסובבים אותם</w:t>
      </w:r>
      <w:r>
        <w:rPr>
          <w:rFonts w:ascii="David" w:hAnsi="David" w:cs="David" w:hint="cs"/>
          <w:sz w:val="28"/>
          <w:szCs w:val="28"/>
          <w:rtl/>
        </w:rPr>
        <w:t xml:space="preserve">. הבנה שלמה של תהליך תהיה על ידי חקירה לאורך זמן של מוקדי הכוח, האינטרסים של הקבוצות והאופן בו הם מייצרים </w:t>
      </w:r>
      <w:r w:rsidR="00A9328B">
        <w:rPr>
          <w:rFonts w:ascii="David" w:hAnsi="David" w:cs="David" w:hint="cs"/>
          <w:sz w:val="28"/>
          <w:szCs w:val="28"/>
          <w:rtl/>
        </w:rPr>
        <w:t>אינטראקציו</w:t>
      </w:r>
      <w:r w:rsidR="00A9328B">
        <w:rPr>
          <w:rFonts w:ascii="David" w:hAnsi="David" w:cs="David" w:hint="eastAsia"/>
          <w:sz w:val="28"/>
          <w:szCs w:val="28"/>
          <w:rtl/>
        </w:rPr>
        <w:t>ת</w:t>
      </w:r>
      <w:r>
        <w:rPr>
          <w:rFonts w:ascii="David" w:hAnsi="David" w:cs="David" w:hint="cs"/>
          <w:sz w:val="28"/>
          <w:szCs w:val="28"/>
          <w:rtl/>
        </w:rPr>
        <w:t xml:space="preserve">. (ג) בניגוד לגישה המרקסיסטית ולגישת האליטות, הרי </w:t>
      </w:r>
      <w:r w:rsidRPr="00486AA5">
        <w:rPr>
          <w:rFonts w:ascii="David" w:hAnsi="David" w:cs="David" w:hint="cs"/>
          <w:b/>
          <w:bCs/>
          <w:sz w:val="28"/>
          <w:szCs w:val="28"/>
          <w:rtl/>
        </w:rPr>
        <w:t>שמוקדי הכוח מפוזרים</w:t>
      </w:r>
      <w:r>
        <w:rPr>
          <w:rFonts w:ascii="David" w:hAnsi="David" w:cs="David" w:hint="cs"/>
          <w:sz w:val="28"/>
          <w:szCs w:val="28"/>
          <w:rtl/>
        </w:rPr>
        <w:t xml:space="preserve"> בין קבוצות שונות ובעוצמות שונות ומשתנות (ד) </w:t>
      </w:r>
      <w:r w:rsidRPr="00486AA5">
        <w:rPr>
          <w:rFonts w:ascii="David" w:hAnsi="David" w:cs="David" w:hint="cs"/>
          <w:b/>
          <w:bCs/>
          <w:sz w:val="28"/>
          <w:szCs w:val="28"/>
          <w:rtl/>
        </w:rPr>
        <w:t>כל שחקן מונע מאינטרס סובייקטיבי.</w:t>
      </w:r>
      <w:r>
        <w:rPr>
          <w:rFonts w:ascii="David" w:hAnsi="David" w:cs="David" w:hint="cs"/>
          <w:sz w:val="28"/>
          <w:szCs w:val="28"/>
          <w:rtl/>
        </w:rPr>
        <w:t xml:space="preserve"> הבנה של האינטרס חייבת להיות מתוך ניתוח של השחקן והסביבה בה הוא חי. יחידים מתארגנים בקבוצות סביב האינטרסים איתם הם מזדהים</w:t>
      </w:r>
      <w:sdt>
        <w:sdtPr>
          <w:rPr>
            <w:rFonts w:ascii="David" w:hAnsi="David" w:cs="David"/>
            <w:sz w:val="28"/>
            <w:szCs w:val="28"/>
            <w:rtl/>
          </w:rPr>
          <w:id w:val="3947263"/>
          <w:citation/>
        </w:sdtPr>
        <w:sdtEndPr/>
        <w:sdtContent>
          <w:r>
            <w:rPr>
              <w:rFonts w:ascii="David" w:hAnsi="David" w:cs="David"/>
              <w:sz w:val="28"/>
              <w:szCs w:val="28"/>
              <w:rtl/>
            </w:rPr>
            <w:fldChar w:fldCharType="begin"/>
          </w:r>
          <w:r>
            <w:rPr>
              <w:rFonts w:ascii="David" w:hAnsi="David" w:cs="David"/>
              <w:sz w:val="28"/>
              <w:szCs w:val="28"/>
            </w:rPr>
            <w:instrText>CITATION McF07 \p 45-49 \l 1037</w:instrText>
          </w:r>
          <w:r>
            <w:rPr>
              <w:rFonts w:ascii="David" w:hAnsi="David" w:cs="David"/>
              <w:sz w:val="28"/>
              <w:szCs w:val="28"/>
              <w:rtl/>
            </w:rPr>
            <w:instrText xml:space="preserve"> </w:instrText>
          </w:r>
          <w:r>
            <w:rPr>
              <w:rFonts w:ascii="David" w:hAnsi="David" w:cs="David"/>
              <w:sz w:val="28"/>
              <w:szCs w:val="28"/>
              <w:rtl/>
            </w:rPr>
            <w:fldChar w:fldCharType="separate"/>
          </w:r>
          <w:r w:rsidR="00D168D8">
            <w:rPr>
              <w:rFonts w:ascii="David" w:hAnsi="David" w:cs="David"/>
              <w:noProof/>
              <w:sz w:val="28"/>
              <w:szCs w:val="28"/>
              <w:rtl/>
            </w:rPr>
            <w:t xml:space="preserve"> </w:t>
          </w:r>
          <w:r w:rsidR="00D168D8" w:rsidRPr="00D168D8">
            <w:rPr>
              <w:rFonts w:ascii="David" w:hAnsi="David" w:cs="David" w:hint="cs"/>
              <w:noProof/>
              <w:sz w:val="28"/>
              <w:szCs w:val="28"/>
              <w:rtl/>
            </w:rPr>
            <w:t>(</w:t>
          </w:r>
          <w:r w:rsidR="00D168D8" w:rsidRPr="00D168D8">
            <w:rPr>
              <w:rFonts w:ascii="David" w:hAnsi="David" w:cs="David" w:hint="cs"/>
              <w:noProof/>
              <w:sz w:val="28"/>
              <w:szCs w:val="28"/>
            </w:rPr>
            <w:t>McFarland, 2007</w:t>
          </w:r>
          <w:r w:rsidR="00D168D8" w:rsidRPr="00D168D8">
            <w:rPr>
              <w:rFonts w:ascii="David" w:hAnsi="David" w:cs="David" w:hint="cs"/>
              <w:noProof/>
              <w:sz w:val="28"/>
              <w:szCs w:val="28"/>
              <w:rtl/>
            </w:rPr>
            <w:t>, עמ' 45-49)</w:t>
          </w:r>
          <w:r>
            <w:rPr>
              <w:rFonts w:ascii="David" w:hAnsi="David" w:cs="David"/>
              <w:sz w:val="28"/>
              <w:szCs w:val="28"/>
              <w:rtl/>
            </w:rPr>
            <w:fldChar w:fldCharType="end"/>
          </w:r>
        </w:sdtContent>
      </w:sdt>
      <w:r>
        <w:rPr>
          <w:rFonts w:ascii="David" w:hAnsi="David" w:cs="David" w:hint="cs"/>
          <w:sz w:val="28"/>
          <w:szCs w:val="28"/>
          <w:rtl/>
        </w:rPr>
        <w:t>.</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Pr>
        <w:t>M</w:t>
      </w:r>
      <w:r>
        <w:rPr>
          <w:rFonts w:ascii="David" w:hAnsi="David" w:cs="David"/>
          <w:sz w:val="28"/>
          <w:szCs w:val="28"/>
        </w:rPr>
        <w:t>cFarland</w:t>
      </w:r>
      <w:r>
        <w:rPr>
          <w:rFonts w:ascii="David" w:hAnsi="David" w:cs="David" w:hint="cs"/>
          <w:sz w:val="28"/>
          <w:szCs w:val="28"/>
          <w:rtl/>
        </w:rPr>
        <w:t xml:space="preserve"> (2007) מציין בעבודתו את אופן העבודה הרצוי לחוקר הפלורליסט. עבודת מחקר צריכה להיות מבוסס</w:t>
      </w:r>
      <w:r w:rsidR="00A9328B">
        <w:rPr>
          <w:rFonts w:ascii="David" w:hAnsi="David" w:cs="David" w:hint="cs"/>
          <w:sz w:val="28"/>
          <w:szCs w:val="28"/>
          <w:rtl/>
        </w:rPr>
        <w:t>ת</w:t>
      </w:r>
      <w:r>
        <w:rPr>
          <w:rFonts w:ascii="David" w:hAnsi="David" w:cs="David" w:hint="cs"/>
          <w:sz w:val="28"/>
          <w:szCs w:val="28"/>
          <w:rtl/>
        </w:rPr>
        <w:t xml:space="preserve"> על בחינה של מקרי-בוחן. אופן הבחינה יכלול הסתכלות היסטורית של רצף אירועים, ראיונות עם השחקנים, הבנת האינטרסים, ומעבר על עיתונים ודו"חות. מומלץ לחוקר להיות נוכח בנקודות מפתח משמעותיות היסטורית</w:t>
      </w:r>
      <w:r w:rsidR="00117F60">
        <w:rPr>
          <w:rFonts w:ascii="David" w:hAnsi="David" w:cs="David" w:hint="cs"/>
          <w:sz w:val="28"/>
          <w:szCs w:val="28"/>
          <w:rtl/>
        </w:rPr>
        <w:t>. אופן הכתיבה הרצוי הוא</w:t>
      </w:r>
      <w:r>
        <w:rPr>
          <w:rFonts w:ascii="David" w:hAnsi="David" w:cs="David" w:hint="cs"/>
          <w:sz w:val="28"/>
          <w:szCs w:val="28"/>
          <w:rtl/>
        </w:rPr>
        <w:t>"</w:t>
      </w:r>
      <w:r w:rsidRPr="001B560E">
        <w:rPr>
          <w:rFonts w:ascii="David" w:hAnsi="David" w:cs="David"/>
          <w:i/>
          <w:iCs/>
          <w:sz w:val="28"/>
          <w:szCs w:val="28"/>
        </w:rPr>
        <w:t xml:space="preserve">good writing and readability </w:t>
      </w:r>
      <w:r>
        <w:rPr>
          <w:rFonts w:ascii="David" w:hAnsi="David" w:cs="David" w:hint="cs"/>
          <w:sz w:val="28"/>
          <w:szCs w:val="28"/>
          <w:rtl/>
        </w:rPr>
        <w:t xml:space="preserve">" (עמ' 50). </w:t>
      </w:r>
    </w:p>
    <w:p w:rsidR="00722125" w:rsidRDefault="00117F60" w:rsidP="00117F60">
      <w:pPr>
        <w:spacing w:line="360" w:lineRule="auto"/>
        <w:jc w:val="both"/>
        <w:rPr>
          <w:rFonts w:ascii="David" w:hAnsi="David" w:cs="David"/>
          <w:sz w:val="28"/>
          <w:szCs w:val="28"/>
        </w:rPr>
      </w:pPr>
      <w:r>
        <w:rPr>
          <w:rFonts w:ascii="David" w:hAnsi="David" w:cs="David" w:hint="cs"/>
          <w:sz w:val="28"/>
          <w:szCs w:val="28"/>
          <w:rtl/>
        </w:rPr>
        <w:t>בהמשך הפרק אציג כיצד האלמנטים המרכזיים בגישה מגיעים לכדי ביטוי בספר ב</w:t>
      </w:r>
      <w:r w:rsidR="00722125">
        <w:rPr>
          <w:rFonts w:ascii="David" w:hAnsi="David" w:cs="David" w:hint="cs"/>
          <w:sz w:val="28"/>
          <w:szCs w:val="28"/>
          <w:rtl/>
        </w:rPr>
        <w:t>שלושת  החתכים הבאים: (1) הסתכלות על התופעות המוצגות במבט על (2) הצגת החלק "</w:t>
      </w:r>
      <w:proofErr w:type="spellStart"/>
      <w:r w:rsidR="00722125">
        <w:rPr>
          <w:rFonts w:ascii="David" w:hAnsi="David" w:cs="David" w:hint="cs"/>
          <w:sz w:val="28"/>
          <w:szCs w:val="28"/>
          <w:rtl/>
        </w:rPr>
        <w:t>טראמפלנד</w:t>
      </w:r>
      <w:proofErr w:type="spellEnd"/>
      <w:r w:rsidR="00722125">
        <w:rPr>
          <w:rFonts w:ascii="David" w:hAnsi="David" w:cs="David" w:hint="cs"/>
          <w:sz w:val="28"/>
          <w:szCs w:val="28"/>
          <w:rtl/>
        </w:rPr>
        <w:t>" כמקרה מבחן לפרדיגמה  (3) פרק המענה והפתרונות.</w:t>
      </w:r>
    </w:p>
    <w:p w:rsidR="00722125" w:rsidRDefault="00722125" w:rsidP="00722125">
      <w:pPr>
        <w:spacing w:line="360" w:lineRule="auto"/>
        <w:jc w:val="both"/>
        <w:rPr>
          <w:rFonts w:ascii="David" w:hAnsi="David" w:cs="David"/>
          <w:sz w:val="28"/>
          <w:szCs w:val="28"/>
          <w:rtl/>
        </w:rPr>
      </w:pPr>
      <w:r w:rsidRPr="0046402C">
        <w:rPr>
          <w:rFonts w:ascii="David" w:hAnsi="David" w:cs="David" w:hint="cs"/>
          <w:b/>
          <w:bCs/>
          <w:sz w:val="28"/>
          <w:szCs w:val="28"/>
          <w:rtl/>
        </w:rPr>
        <w:t>מבנה הספר ומתודת הכתיבה</w:t>
      </w:r>
      <w:r>
        <w:rPr>
          <w:rFonts w:ascii="David" w:hAnsi="David" w:cs="David" w:hint="cs"/>
          <w:sz w:val="28"/>
          <w:szCs w:val="28"/>
          <w:rtl/>
        </w:rPr>
        <w:t xml:space="preserve"> : הספר בנוי כאמור משמונה חלקים המתארים תופעות שונות ומחלק סיכום. כל חלק בנוי מפרקים המתארים מספר מקרי מבחן, הצגה היסטורית שמתארת את התפתחות הנושא המוצג בדרך כלל מנקודת מבט של כוח כלכלי והיווצרות מוקדי כוח נגדיים. כלומר מאפייני </w:t>
      </w:r>
      <w:r w:rsidR="00117F60">
        <w:rPr>
          <w:rFonts w:ascii="David" w:hAnsi="David" w:cs="David" w:hint="cs"/>
          <w:sz w:val="28"/>
          <w:szCs w:val="28"/>
          <w:rtl/>
        </w:rPr>
        <w:t xml:space="preserve">העל של </w:t>
      </w:r>
      <w:r>
        <w:rPr>
          <w:rFonts w:ascii="David" w:hAnsi="David" w:cs="David" w:hint="cs"/>
          <w:sz w:val="28"/>
          <w:szCs w:val="28"/>
          <w:rtl/>
        </w:rPr>
        <w:t xml:space="preserve">הספר מתאימים לגישת המחקר כפי שהציג </w:t>
      </w:r>
      <w:r>
        <w:rPr>
          <w:rFonts w:ascii="David" w:hAnsi="David" w:cs="David" w:hint="cs"/>
          <w:sz w:val="28"/>
          <w:szCs w:val="28"/>
        </w:rPr>
        <w:t>M</w:t>
      </w:r>
      <w:r>
        <w:rPr>
          <w:rFonts w:ascii="David" w:hAnsi="David" w:cs="David"/>
          <w:sz w:val="28"/>
          <w:szCs w:val="28"/>
        </w:rPr>
        <w:t>cFarland</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התבוננות על מקרה מבחן, הבנת מוקדי הכוח והצגת ההיסטוריה. </w:t>
      </w:r>
    </w:p>
    <w:p w:rsidR="00117F60" w:rsidRDefault="00117F60" w:rsidP="00117F60">
      <w:pPr>
        <w:spacing w:line="360" w:lineRule="auto"/>
        <w:jc w:val="both"/>
        <w:rPr>
          <w:rFonts w:ascii="David" w:hAnsi="David" w:cs="David"/>
          <w:sz w:val="28"/>
          <w:szCs w:val="28"/>
          <w:rtl/>
        </w:rPr>
      </w:pPr>
      <w:r>
        <w:rPr>
          <w:rFonts w:ascii="David" w:hAnsi="David" w:cs="David" w:hint="cs"/>
          <w:sz w:val="28"/>
          <w:szCs w:val="28"/>
          <w:rtl/>
        </w:rPr>
        <w:lastRenderedPageBreak/>
        <w:t>התופעות</w:t>
      </w:r>
      <w:r w:rsidR="00722125">
        <w:rPr>
          <w:rFonts w:ascii="David" w:hAnsi="David" w:cs="David" w:hint="cs"/>
          <w:sz w:val="28"/>
          <w:szCs w:val="28"/>
          <w:rtl/>
        </w:rPr>
        <w:t xml:space="preserve"> שנבחרו </w:t>
      </w:r>
      <w:r>
        <w:rPr>
          <w:rFonts w:ascii="David" w:hAnsi="David" w:cs="David" w:hint="cs"/>
          <w:sz w:val="28"/>
          <w:szCs w:val="28"/>
          <w:rtl/>
        </w:rPr>
        <w:t>לספר מייצגות</w:t>
      </w:r>
      <w:r w:rsidR="00722125">
        <w:rPr>
          <w:rFonts w:ascii="David" w:hAnsi="David" w:cs="David" w:hint="cs"/>
          <w:sz w:val="28"/>
          <w:szCs w:val="28"/>
          <w:rtl/>
        </w:rPr>
        <w:t xml:space="preserve"> תחומים שונים</w:t>
      </w:r>
      <w:r>
        <w:rPr>
          <w:rFonts w:ascii="David" w:hAnsi="David" w:cs="David" w:hint="cs"/>
          <w:sz w:val="28"/>
          <w:szCs w:val="28"/>
          <w:rtl/>
        </w:rPr>
        <w:t xml:space="preserve"> ללא חיבור אחיד ביניהם</w:t>
      </w:r>
      <w:r w:rsidR="00722125">
        <w:rPr>
          <w:rFonts w:ascii="David" w:hAnsi="David" w:cs="David" w:hint="cs"/>
          <w:sz w:val="28"/>
          <w:szCs w:val="28"/>
          <w:rtl/>
        </w:rPr>
        <w:t xml:space="preserve"> </w:t>
      </w:r>
      <w:r w:rsidR="00722125">
        <w:rPr>
          <w:rFonts w:ascii="David" w:hAnsi="David" w:cs="David"/>
          <w:sz w:val="28"/>
          <w:szCs w:val="28"/>
          <w:rtl/>
        </w:rPr>
        <w:t>–</w:t>
      </w:r>
      <w:r w:rsidR="00722125">
        <w:rPr>
          <w:rFonts w:ascii="David" w:hAnsi="David" w:cs="David" w:hint="cs"/>
          <w:sz w:val="28"/>
          <w:szCs w:val="28"/>
          <w:rtl/>
        </w:rPr>
        <w:t xml:space="preserve"> התמודדות כלכלית, השפעה על הפריון והמשפחה, אקלים, טרור, בחירות בארה"ב </w:t>
      </w:r>
      <w:r>
        <w:rPr>
          <w:rFonts w:ascii="David" w:hAnsi="David" w:cs="David" w:hint="cs"/>
          <w:sz w:val="28"/>
          <w:szCs w:val="28"/>
          <w:rtl/>
        </w:rPr>
        <w:t>,הגירה וכולי</w:t>
      </w:r>
      <w:r w:rsidR="00722125">
        <w:rPr>
          <w:rFonts w:ascii="David" w:hAnsi="David" w:cs="David" w:hint="cs"/>
          <w:sz w:val="28"/>
          <w:szCs w:val="28"/>
          <w:rtl/>
        </w:rPr>
        <w:t xml:space="preserve">. גם כאן איל מבין שעל מנת לייצר תמונה שלמה של התופעה הוא חייב לבחון אספקטים רחבים </w:t>
      </w:r>
      <w:r>
        <w:rPr>
          <w:rFonts w:ascii="David" w:hAnsi="David" w:cs="David" w:hint="cs"/>
          <w:sz w:val="28"/>
          <w:szCs w:val="28"/>
          <w:rtl/>
        </w:rPr>
        <w:t xml:space="preserve">- </w:t>
      </w:r>
      <w:r w:rsidR="00722125">
        <w:rPr>
          <w:rFonts w:ascii="David" w:hAnsi="David" w:cs="David" w:hint="cs"/>
          <w:sz w:val="28"/>
          <w:szCs w:val="28"/>
          <w:rtl/>
        </w:rPr>
        <w:t xml:space="preserve"> זהו ביטוי לפיזור של מוקדי הכוח בתופעת הגלובליזציה.</w:t>
      </w:r>
      <w:r>
        <w:rPr>
          <w:rFonts w:ascii="David" w:hAnsi="David" w:cs="David" w:hint="cs"/>
          <w:sz w:val="28"/>
          <w:szCs w:val="28"/>
          <w:rtl/>
        </w:rPr>
        <w:t xml:space="preserve"> </w:t>
      </w:r>
    </w:p>
    <w:p w:rsidR="00722125" w:rsidRDefault="00117F60" w:rsidP="00117F60">
      <w:pPr>
        <w:spacing w:line="360" w:lineRule="auto"/>
        <w:jc w:val="both"/>
        <w:rPr>
          <w:rFonts w:ascii="David" w:hAnsi="David" w:cs="David"/>
          <w:sz w:val="28"/>
          <w:szCs w:val="28"/>
          <w:rtl/>
        </w:rPr>
      </w:pPr>
      <w:r>
        <w:rPr>
          <w:rFonts w:ascii="David" w:hAnsi="David" w:cs="David" w:hint="cs"/>
          <w:sz w:val="28"/>
          <w:szCs w:val="28"/>
          <w:rtl/>
        </w:rPr>
        <w:t xml:space="preserve">בהסתכלות בתוך כל תופעה ניתן לראות שאין מיקוד אלא הצגת מספר קבוצות המייצגות אינטרסים שונים ומוקדי כוח שונים. </w:t>
      </w:r>
      <w:r>
        <w:rPr>
          <w:rFonts w:ascii="David" w:hAnsi="David" w:cs="David" w:hint="cs"/>
          <w:sz w:val="28"/>
          <w:szCs w:val="28"/>
          <w:rtl/>
        </w:rPr>
        <w:t xml:space="preserve">דרך הניתוח של כל קבוצה נשען על ביצוע ראיונות המנסים לעמוד על </w:t>
      </w:r>
      <w:r w:rsidRPr="00117F60">
        <w:rPr>
          <w:rFonts w:ascii="David" w:hAnsi="David" w:cs="David" w:hint="cs"/>
          <w:b/>
          <w:bCs/>
          <w:sz w:val="28"/>
          <w:szCs w:val="28"/>
          <w:rtl/>
        </w:rPr>
        <w:t>תפיסת האינטרס הסובייקטיבי</w:t>
      </w:r>
      <w:r>
        <w:rPr>
          <w:rFonts w:ascii="David" w:hAnsi="David" w:cs="David" w:hint="cs"/>
          <w:sz w:val="28"/>
          <w:szCs w:val="28"/>
          <w:rtl/>
        </w:rPr>
        <w:t xml:space="preserve"> של השחקן בהסתכלות פנימה וביחסו לקבוצות אחרות</w:t>
      </w:r>
      <w:r w:rsidR="00722125">
        <w:rPr>
          <w:rFonts w:ascii="David" w:hAnsi="David" w:cs="David" w:hint="cs"/>
          <w:sz w:val="28"/>
          <w:szCs w:val="28"/>
          <w:rtl/>
        </w:rPr>
        <w:t xml:space="preserve">. </w:t>
      </w:r>
      <w:r>
        <w:rPr>
          <w:rFonts w:ascii="David" w:hAnsi="David" w:cs="David" w:hint="cs"/>
          <w:sz w:val="28"/>
          <w:szCs w:val="28"/>
          <w:rtl/>
        </w:rPr>
        <w:t>איל מציג ראיונות רבים שערך עם</w:t>
      </w:r>
      <w:r w:rsidR="00722125">
        <w:rPr>
          <w:rFonts w:ascii="David" w:hAnsi="David" w:cs="David" w:hint="cs"/>
          <w:sz w:val="28"/>
          <w:szCs w:val="28"/>
          <w:rtl/>
        </w:rPr>
        <w:t xml:space="preserve"> משפחות אמריקאיות להבנת האינטרס להצביע </w:t>
      </w:r>
      <w:proofErr w:type="spellStart"/>
      <w:r w:rsidR="00722125">
        <w:rPr>
          <w:rFonts w:ascii="David" w:hAnsi="David" w:cs="David" w:hint="cs"/>
          <w:sz w:val="28"/>
          <w:szCs w:val="28"/>
          <w:rtl/>
        </w:rPr>
        <w:t>לטראמפ</w:t>
      </w:r>
      <w:proofErr w:type="spellEnd"/>
      <w:r w:rsidR="00722125">
        <w:rPr>
          <w:rFonts w:ascii="David" w:hAnsi="David" w:cs="David" w:hint="cs"/>
          <w:sz w:val="28"/>
          <w:szCs w:val="28"/>
          <w:rtl/>
        </w:rPr>
        <w:t xml:space="preserve">, ניאו-נאצים להבין את תופעת הלאומנות, מהפכנים יוונים ועוד. כאן מגיע לכדי ביטוי האלמנט הרביעי שטבע </w:t>
      </w:r>
      <w:r w:rsidR="00722125">
        <w:rPr>
          <w:rFonts w:ascii="David" w:hAnsi="David" w:cs="David"/>
          <w:sz w:val="28"/>
          <w:szCs w:val="28"/>
        </w:rPr>
        <w:t>Dahl</w:t>
      </w:r>
      <w:r w:rsidR="00722125">
        <w:rPr>
          <w:rFonts w:ascii="David" w:hAnsi="David" w:cs="David" w:hint="cs"/>
          <w:sz w:val="28"/>
          <w:szCs w:val="28"/>
          <w:rtl/>
        </w:rPr>
        <w:t xml:space="preserve"> והוא הבנת האינטרס הסובייקטיבי של שחקן כפי שהוא מבין אותו.</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דוגמא לריבוי מוקדי כוח ניתן לראות גם במלל בו בוחר איל לתאר את המרד בגלובליזציה "</w:t>
      </w:r>
      <w:r w:rsidRPr="00E26D00">
        <w:rPr>
          <w:rFonts w:ascii="David" w:hAnsi="David" w:cs="David" w:hint="cs"/>
          <w:i/>
          <w:iCs/>
          <w:sz w:val="28"/>
          <w:szCs w:val="28"/>
          <w:rtl/>
        </w:rPr>
        <w:t>החלטתם של הבריטים לפרוש מהאיחוד האירופי, עליית הימין הקיצוני באירופה, התחזקות הגורמים הרדיקליים בשמאל הגלובלי והאיבה הגוברת לבעלי ההון.</w:t>
      </w:r>
      <w:r>
        <w:rPr>
          <w:rFonts w:ascii="David" w:hAnsi="David" w:cs="David" w:hint="cs"/>
          <w:i/>
          <w:iCs/>
          <w:sz w:val="28"/>
          <w:szCs w:val="28"/>
          <w:rtl/>
        </w:rPr>
        <w:t xml:space="preserve"> </w:t>
      </w:r>
      <w:r w:rsidRPr="00E26D00">
        <w:rPr>
          <w:rFonts w:ascii="David" w:hAnsi="David" w:cs="David" w:hint="cs"/>
          <w:i/>
          <w:iCs/>
          <w:sz w:val="28"/>
          <w:szCs w:val="28"/>
          <w:rtl/>
        </w:rPr>
        <w:t>ההתקוממות הייתה נרחבת ומבוזרת</w:t>
      </w:r>
      <w:r>
        <w:rPr>
          <w:rFonts w:ascii="David" w:hAnsi="David" w:cs="David" w:hint="cs"/>
          <w:sz w:val="28"/>
          <w:szCs w:val="28"/>
          <w:rtl/>
        </w:rPr>
        <w:t>" (עמ' 14). הסופר מתאר את ריבוי הקבוצות האוחזות כוח ומנסות לייצג את האינטרסים השונים שלהם באופן נבדל. זאת בניגוד למרקסיסט או אליטיסט שהיה מייצר את הסיטואציה כנובעת מהקפיטליזם או מהתנהלות אליטה מוגדרת.</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דוגמא נוספת מצויה בפרק הסיכום כאשר מנסה לתמצת את החוויה שהעביר את קורא הספר. איל מתאר את הקבוצות השונות שראיין כאוסף מייצג ורחב של החברה, האתגרים איתם הם מתמודדים כקשת רחבה מאוד. התיאור הזה מייצר תחושה של ערפל, של פיזור ושל חוסר הבנה היכן הכוח יושב</w:t>
      </w:r>
      <w:r>
        <w:rPr>
          <w:rStyle w:val="afb"/>
          <w:rFonts w:ascii="David" w:hAnsi="David" w:cs="David"/>
          <w:sz w:val="28"/>
          <w:szCs w:val="28"/>
          <w:rtl/>
        </w:rPr>
        <w:footnoteReference w:id="1"/>
      </w:r>
      <w:r>
        <w:rPr>
          <w:rFonts w:ascii="David" w:hAnsi="David" w:cs="David" w:hint="cs"/>
          <w:sz w:val="28"/>
          <w:szCs w:val="28"/>
          <w:rtl/>
        </w:rPr>
        <w:t>.</w:t>
      </w:r>
    </w:p>
    <w:p w:rsidR="00722125" w:rsidRDefault="00722125" w:rsidP="00722125">
      <w:pPr>
        <w:spacing w:line="360" w:lineRule="auto"/>
        <w:jc w:val="both"/>
        <w:rPr>
          <w:rFonts w:ascii="David" w:hAnsi="David" w:cs="David"/>
          <w:sz w:val="28"/>
          <w:szCs w:val="28"/>
          <w:rtl/>
        </w:rPr>
      </w:pPr>
      <w:r w:rsidRPr="006231D5">
        <w:rPr>
          <w:rFonts w:ascii="David" w:hAnsi="David" w:cs="David" w:hint="cs"/>
          <w:b/>
          <w:bCs/>
          <w:sz w:val="28"/>
          <w:szCs w:val="28"/>
          <w:rtl/>
        </w:rPr>
        <w:t>תופעות הגלובליזציה</w:t>
      </w:r>
      <w:r>
        <w:rPr>
          <w:rFonts w:ascii="David" w:hAnsi="David" w:cs="David" w:hint="cs"/>
          <w:b/>
          <w:bCs/>
          <w:sz w:val="28"/>
          <w:szCs w:val="28"/>
          <w:rtl/>
        </w:rPr>
        <w:t xml:space="preserve">: </w:t>
      </w:r>
      <w:r>
        <w:rPr>
          <w:rFonts w:ascii="David" w:hAnsi="David" w:cs="David" w:hint="cs"/>
          <w:sz w:val="28"/>
          <w:szCs w:val="28"/>
          <w:rtl/>
        </w:rPr>
        <w:t xml:space="preserve"> אנתח את החלק "</w:t>
      </w:r>
      <w:proofErr w:type="spellStart"/>
      <w:r>
        <w:rPr>
          <w:rFonts w:ascii="David" w:hAnsi="David" w:cs="David" w:hint="cs"/>
          <w:sz w:val="28"/>
          <w:szCs w:val="28"/>
          <w:rtl/>
        </w:rPr>
        <w:t>טראמפלנד</w:t>
      </w:r>
      <w:proofErr w:type="spellEnd"/>
      <w:r>
        <w:rPr>
          <w:rFonts w:ascii="David" w:hAnsi="David" w:cs="David" w:hint="cs"/>
          <w:sz w:val="28"/>
          <w:szCs w:val="28"/>
          <w:rtl/>
        </w:rPr>
        <w:t xml:space="preserve">" כמייצג  של שאר החלקים ודרכו אבחן כיצד ארבעת האלמנטים שציין  </w:t>
      </w:r>
      <w:r>
        <w:rPr>
          <w:rFonts w:ascii="David" w:hAnsi="David" w:cs="David"/>
          <w:sz w:val="28"/>
          <w:szCs w:val="28"/>
        </w:rPr>
        <w:t>Dahl</w:t>
      </w:r>
      <w:r>
        <w:rPr>
          <w:rFonts w:ascii="David" w:hAnsi="David" w:cs="David" w:hint="cs"/>
          <w:sz w:val="28"/>
          <w:szCs w:val="28"/>
          <w:rtl/>
        </w:rPr>
        <w:t xml:space="preserve"> באים לידי ביטוי ביצירתו של איל. </w:t>
      </w:r>
    </w:p>
    <w:p w:rsidR="00722125" w:rsidRDefault="00722125" w:rsidP="00722125">
      <w:pPr>
        <w:spacing w:line="360" w:lineRule="auto"/>
        <w:jc w:val="both"/>
        <w:rPr>
          <w:rFonts w:ascii="David" w:hAnsi="David" w:cs="David"/>
          <w:i/>
          <w:iCs/>
          <w:sz w:val="28"/>
          <w:szCs w:val="28"/>
          <w:rtl/>
        </w:rPr>
      </w:pPr>
      <w:r>
        <w:rPr>
          <w:rFonts w:ascii="David" w:hAnsi="David" w:cs="David" w:hint="cs"/>
          <w:sz w:val="28"/>
          <w:szCs w:val="28"/>
          <w:rtl/>
        </w:rPr>
        <w:t>בהסבר להכנה לסדרת הכתבות "</w:t>
      </w:r>
      <w:proofErr w:type="spellStart"/>
      <w:r>
        <w:rPr>
          <w:rFonts w:ascii="David" w:hAnsi="David" w:cs="David" w:hint="cs"/>
          <w:sz w:val="28"/>
          <w:szCs w:val="28"/>
          <w:rtl/>
        </w:rPr>
        <w:t>טראמפלנד</w:t>
      </w:r>
      <w:proofErr w:type="spellEnd"/>
      <w:r>
        <w:rPr>
          <w:rFonts w:ascii="David" w:hAnsi="David" w:cs="David" w:hint="cs"/>
          <w:sz w:val="28"/>
          <w:szCs w:val="28"/>
          <w:rtl/>
        </w:rPr>
        <w:t xml:space="preserve">" מתאר איל שהוא מבין שהכוח הפוליטי בארה"ב מפוזר במקומות רבים ושלא דין האינטרס האמריקאי בניו יורק כדין האינטרס האמריקאי בפנסילבניה : </w:t>
      </w:r>
      <w:r w:rsidRPr="00462C9A">
        <w:rPr>
          <w:rFonts w:ascii="David" w:hAnsi="David" w:cs="David" w:hint="cs"/>
          <w:i/>
          <w:iCs/>
          <w:sz w:val="28"/>
          <w:szCs w:val="28"/>
          <w:rtl/>
        </w:rPr>
        <w:t xml:space="preserve">"הגישה שאני מחזיק </w:t>
      </w:r>
      <w:r w:rsidR="00117F60">
        <w:rPr>
          <w:rFonts w:ascii="David" w:hAnsi="David" w:cs="David" w:hint="cs"/>
          <w:i/>
          <w:iCs/>
          <w:sz w:val="28"/>
          <w:szCs w:val="28"/>
          <w:rtl/>
        </w:rPr>
        <w:t>בה...</w:t>
      </w:r>
      <w:r w:rsidRPr="00462C9A">
        <w:rPr>
          <w:rFonts w:ascii="David" w:hAnsi="David" w:cs="David" w:hint="cs"/>
          <w:i/>
          <w:iCs/>
          <w:sz w:val="28"/>
          <w:szCs w:val="28"/>
          <w:rtl/>
        </w:rPr>
        <w:t xml:space="preserve"> מבוססת על ההבנה שהגלובליזציה כלל היא תופעה חיובית אבל בעלת צדדים אפלים ובלתי שווים לקהילות מקומיות. </w:t>
      </w:r>
      <w:proofErr w:type="spellStart"/>
      <w:r w:rsidRPr="00462C9A">
        <w:rPr>
          <w:rFonts w:ascii="David" w:hAnsi="David" w:cs="David" w:hint="cs"/>
          <w:i/>
          <w:iCs/>
          <w:sz w:val="28"/>
          <w:szCs w:val="28"/>
          <w:rtl/>
        </w:rPr>
        <w:t>טראמפ</w:t>
      </w:r>
      <w:proofErr w:type="spellEnd"/>
      <w:r w:rsidRPr="00462C9A">
        <w:rPr>
          <w:rFonts w:ascii="David" w:hAnsi="David" w:cs="David" w:hint="cs"/>
          <w:i/>
          <w:iCs/>
          <w:sz w:val="28"/>
          <w:szCs w:val="28"/>
          <w:rtl/>
        </w:rPr>
        <w:t xml:space="preserve"> נראה כמו תרגיל תיאורטי באחד הקורסים שלקחתי </w:t>
      </w:r>
      <w:r w:rsidRPr="00462C9A">
        <w:rPr>
          <w:rFonts w:ascii="David" w:hAnsi="David" w:cs="David"/>
          <w:i/>
          <w:iCs/>
          <w:sz w:val="28"/>
          <w:szCs w:val="28"/>
          <w:rtl/>
        </w:rPr>
        <w:t>–</w:t>
      </w:r>
      <w:r w:rsidRPr="00462C9A">
        <w:rPr>
          <w:rFonts w:ascii="David" w:hAnsi="David" w:cs="David" w:hint="cs"/>
          <w:i/>
          <w:iCs/>
          <w:sz w:val="28"/>
          <w:szCs w:val="28"/>
          <w:rtl/>
        </w:rPr>
        <w:t xml:space="preserve"> כתוב חיבור על הדרך בה מועמד פופוליסט יכול לצבור כוח באמריקה בשל כשלי הגלובליזציה והשפעתה על שוק העבודה והתרבות המקומיים</w:t>
      </w:r>
      <w:r>
        <w:rPr>
          <w:rFonts w:ascii="David" w:hAnsi="David" w:cs="David" w:hint="cs"/>
          <w:i/>
          <w:iCs/>
          <w:sz w:val="28"/>
          <w:szCs w:val="28"/>
          <w:rtl/>
        </w:rPr>
        <w:t>."</w:t>
      </w:r>
      <w:r w:rsidRPr="00462C9A">
        <w:rPr>
          <w:rFonts w:ascii="David" w:hAnsi="David" w:cs="David" w:hint="cs"/>
          <w:sz w:val="28"/>
          <w:szCs w:val="28"/>
          <w:rtl/>
        </w:rPr>
        <w:t xml:space="preserve"> (עמ' 270)</w:t>
      </w:r>
      <w:r>
        <w:rPr>
          <w:rFonts w:ascii="David" w:hAnsi="David" w:cs="David" w:hint="cs"/>
          <w:sz w:val="28"/>
          <w:szCs w:val="28"/>
          <w:rtl/>
        </w:rPr>
        <w:t xml:space="preserve">. בפסקה זו </w:t>
      </w:r>
      <w:r>
        <w:rPr>
          <w:rFonts w:ascii="David" w:hAnsi="David" w:cs="David" w:hint="cs"/>
          <w:sz w:val="28"/>
          <w:szCs w:val="28"/>
          <w:rtl/>
        </w:rPr>
        <w:lastRenderedPageBreak/>
        <w:t xml:space="preserve">מבהיר איל שהנושא שריתק אותו הוא האופן שבו </w:t>
      </w:r>
      <w:r w:rsidRPr="00462C9A">
        <w:rPr>
          <w:rFonts w:ascii="David" w:hAnsi="David" w:cs="David" w:hint="cs"/>
          <w:b/>
          <w:bCs/>
          <w:sz w:val="28"/>
          <w:szCs w:val="28"/>
          <w:rtl/>
        </w:rPr>
        <w:t>כשלי הגלובליזציה</w:t>
      </w:r>
      <w:r>
        <w:rPr>
          <w:rFonts w:ascii="David" w:hAnsi="David" w:cs="David" w:hint="cs"/>
          <w:sz w:val="28"/>
          <w:szCs w:val="28"/>
          <w:rtl/>
        </w:rPr>
        <w:t xml:space="preserve"> מייצרים </w:t>
      </w:r>
      <w:r w:rsidRPr="00462C9A">
        <w:rPr>
          <w:rFonts w:ascii="David" w:hAnsi="David" w:cs="David" w:hint="cs"/>
          <w:b/>
          <w:bCs/>
          <w:sz w:val="28"/>
          <w:szCs w:val="28"/>
          <w:rtl/>
        </w:rPr>
        <w:t>אינטרסים שונים בקרב שחקנים שונים</w:t>
      </w:r>
      <w:r>
        <w:rPr>
          <w:rFonts w:ascii="David" w:hAnsi="David" w:cs="David" w:hint="cs"/>
          <w:sz w:val="28"/>
          <w:szCs w:val="28"/>
          <w:rtl/>
        </w:rPr>
        <w:t xml:space="preserve"> בארה"ב לכדי </w:t>
      </w:r>
      <w:proofErr w:type="spellStart"/>
      <w:r w:rsidRPr="00462C9A">
        <w:rPr>
          <w:rFonts w:ascii="David" w:hAnsi="David" w:cs="David" w:hint="cs"/>
          <w:b/>
          <w:bCs/>
          <w:sz w:val="28"/>
          <w:szCs w:val="28"/>
          <w:rtl/>
        </w:rPr>
        <w:t>הווצרות</w:t>
      </w:r>
      <w:proofErr w:type="spellEnd"/>
      <w:r w:rsidRPr="00462C9A">
        <w:rPr>
          <w:rFonts w:ascii="David" w:hAnsi="David" w:cs="David" w:hint="cs"/>
          <w:b/>
          <w:bCs/>
          <w:sz w:val="28"/>
          <w:szCs w:val="28"/>
          <w:rtl/>
        </w:rPr>
        <w:t xml:space="preserve"> כוח פוליטי</w:t>
      </w:r>
      <w:r>
        <w:rPr>
          <w:rFonts w:ascii="David" w:hAnsi="David" w:cs="David" w:hint="cs"/>
          <w:sz w:val="28"/>
          <w:szCs w:val="28"/>
          <w:rtl/>
        </w:rPr>
        <w:t xml:space="preserve"> שיכול להוביל לבחירת </w:t>
      </w:r>
      <w:proofErr w:type="spellStart"/>
      <w:r>
        <w:rPr>
          <w:rFonts w:ascii="David" w:hAnsi="David" w:cs="David" w:hint="cs"/>
          <w:sz w:val="28"/>
          <w:szCs w:val="28"/>
          <w:rtl/>
        </w:rPr>
        <w:t>טראמפ</w:t>
      </w:r>
      <w:proofErr w:type="spellEnd"/>
      <w:r>
        <w:rPr>
          <w:rFonts w:ascii="David" w:hAnsi="David" w:cs="David" w:hint="cs"/>
          <w:sz w:val="28"/>
          <w:szCs w:val="28"/>
          <w:rtl/>
        </w:rPr>
        <w:t xml:space="preserve">. </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לכאורה, הקבוצות </w:t>
      </w:r>
      <w:r w:rsidR="00117F60">
        <w:rPr>
          <w:rFonts w:ascii="David" w:hAnsi="David" w:cs="David" w:hint="cs"/>
          <w:sz w:val="28"/>
          <w:szCs w:val="28"/>
          <w:rtl/>
        </w:rPr>
        <w:t xml:space="preserve">בהם מתמקד איל </w:t>
      </w:r>
      <w:r>
        <w:rPr>
          <w:rFonts w:ascii="David" w:hAnsi="David" w:cs="David" w:hint="cs"/>
          <w:sz w:val="28"/>
          <w:szCs w:val="28"/>
          <w:rtl/>
        </w:rPr>
        <w:t>מצויות בשוליים החברתיים של ארה"ב וכל אחד בפני עצמם מייצג אינטרס אחר ולא בעל כוח מספק כדי לייצר שינוי. עם זאת, הבנת חוקי המשחק בבחירות האמריקאיות מייצר אפשרות לבחון כיצד שינוי אינטרסים כתוצאה ממפגש בין שחקנים או רצף אירועים היסטורי יכול לייצר שינוי גם כשקשה לאחוז במוקד כוח מוגדר.</w:t>
      </w:r>
    </w:p>
    <w:p w:rsidR="00722125" w:rsidRDefault="00722125" w:rsidP="00722125">
      <w:pPr>
        <w:spacing w:line="360" w:lineRule="auto"/>
        <w:jc w:val="both"/>
        <w:rPr>
          <w:rFonts w:ascii="David" w:hAnsi="David" w:cs="David"/>
          <w:sz w:val="28"/>
          <w:szCs w:val="28"/>
          <w:rtl/>
        </w:rPr>
      </w:pPr>
      <w:proofErr w:type="spellStart"/>
      <w:r>
        <w:rPr>
          <w:rFonts w:ascii="David" w:hAnsi="David" w:cs="David" w:hint="cs"/>
          <w:sz w:val="28"/>
          <w:szCs w:val="28"/>
          <w:rtl/>
        </w:rPr>
        <w:t>בפלינט</w:t>
      </w:r>
      <w:proofErr w:type="spellEnd"/>
      <w:r>
        <w:rPr>
          <w:rFonts w:ascii="David" w:hAnsi="David" w:cs="David" w:hint="cs"/>
          <w:sz w:val="28"/>
          <w:szCs w:val="28"/>
          <w:rtl/>
        </w:rPr>
        <w:t xml:space="preserve"> מישיגן הקושי המוצג הוא הנהר המורעל שפוגע בחייהם של הקהילה הענייה, בפילדלפיה הקשיים המתוארים הם של הקהילה </w:t>
      </w:r>
      <w:proofErr w:type="spellStart"/>
      <w:r>
        <w:rPr>
          <w:rFonts w:ascii="David" w:hAnsi="David" w:cs="David" w:hint="cs"/>
          <w:sz w:val="28"/>
          <w:szCs w:val="28"/>
          <w:rtl/>
        </w:rPr>
        <w:t>האפרו</w:t>
      </w:r>
      <w:proofErr w:type="spellEnd"/>
      <w:r>
        <w:rPr>
          <w:rFonts w:ascii="David" w:hAnsi="David" w:cs="David" w:hint="cs"/>
          <w:sz w:val="28"/>
          <w:szCs w:val="28"/>
          <w:rtl/>
        </w:rPr>
        <w:t xml:space="preserve">-אמריקאית וסובבים סביב אלימות וגזענות. שני המקומות הללו מייצגים הבנה שמוקדי הכוח מפוזרים, שהשחקנים בעלי אינטרסים </w:t>
      </w:r>
      <w:proofErr w:type="spellStart"/>
      <w:r>
        <w:rPr>
          <w:rFonts w:ascii="David" w:hAnsi="David" w:cs="David" w:hint="cs"/>
          <w:sz w:val="28"/>
          <w:szCs w:val="28"/>
          <w:rtl/>
        </w:rPr>
        <w:t>סובייקטיבים</w:t>
      </w:r>
      <w:proofErr w:type="spellEnd"/>
      <w:r>
        <w:rPr>
          <w:rFonts w:ascii="David" w:hAnsi="David" w:cs="David" w:hint="cs"/>
          <w:sz w:val="28"/>
          <w:szCs w:val="28"/>
          <w:rtl/>
        </w:rPr>
        <w:t xml:space="preserve"> (כל אחד עם בעיות שונות ותפיסות שונות), התהליך הפוליטי הינו אירוע מתפתח לאורך זמן (הצגת ההיסטוריה המביאה לכדי התפתחו האינטרסים) ולבסוף ביטוי של כוח כהימנעות מהצבעה.</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בדטרויט ובפנסילבניה משתמש איל בכלים דומים להעמיק בקבוצות שעברו מהצד הדמוקרטי לצד הרפובליקני. זהו ביטוי שונה של כוח. במקומות הללו הוא מראיין קבוצות שונות </w:t>
      </w:r>
      <w:r>
        <w:rPr>
          <w:rFonts w:ascii="David" w:hAnsi="David" w:cs="David"/>
          <w:sz w:val="28"/>
          <w:szCs w:val="28"/>
          <w:rtl/>
        </w:rPr>
        <w:t>–</w:t>
      </w:r>
      <w:r>
        <w:rPr>
          <w:rFonts w:ascii="David" w:hAnsi="David" w:cs="David" w:hint="cs"/>
          <w:sz w:val="28"/>
          <w:szCs w:val="28"/>
          <w:rtl/>
        </w:rPr>
        <w:t xml:space="preserve"> יחידים שנפגעו מקריסת תעשיית הרכב, ראשי מחוז ואיגוד של כורי הפחם המייצגים את החשש הארגוני בסגירת מכרות ומשפחת כורים אחת המייצגת את האינטרס של הכורה והאופן בו הבחירות משפיעות עליו. התמונה המתקבלת בפרקים הללו היא תמונה מגוונת של מוקדי כוח, עם ריבוי ושונות אינטרסים המתלכדים לכדי תוצאה פוליטית אחת. </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לאורך החלק העוסק בארצות הברית ממחיש לנו איל שכדי להבין תוצאה פוליטית עלינו לחקור את התפלגות הכוח. אחרי שנבין את התפלגות הכוח עלינו להעמיק בהבנת האינטרסים שלו, כיצד התפתחו לאורך זמן. לסיכומו של דבר עלינו להעריך את התלכדות האינטרסים הקבוצתית לכדי השערה לגבי התוצאה הצפויה.</w:t>
      </w:r>
    </w:p>
    <w:p w:rsidR="00722125" w:rsidRDefault="00117F60" w:rsidP="00722125">
      <w:pPr>
        <w:spacing w:line="360" w:lineRule="auto"/>
        <w:jc w:val="both"/>
        <w:rPr>
          <w:rFonts w:ascii="David" w:hAnsi="David" w:cs="David"/>
          <w:sz w:val="28"/>
          <w:szCs w:val="28"/>
          <w:rtl/>
        </w:rPr>
      </w:pPr>
      <w:r>
        <w:rPr>
          <w:rFonts w:ascii="David" w:hAnsi="David" w:cs="David" w:hint="cs"/>
          <w:b/>
          <w:bCs/>
          <w:sz w:val="28"/>
          <w:szCs w:val="28"/>
          <w:rtl/>
        </w:rPr>
        <w:t>המלצות למימוש</w:t>
      </w:r>
      <w:r>
        <w:rPr>
          <w:rFonts w:ascii="David" w:hAnsi="David" w:cs="David" w:hint="cs"/>
          <w:sz w:val="28"/>
          <w:szCs w:val="28"/>
          <w:rtl/>
        </w:rPr>
        <w:t xml:space="preserve">- </w:t>
      </w:r>
      <w:r w:rsidR="00722125">
        <w:rPr>
          <w:rFonts w:ascii="David" w:hAnsi="David" w:cs="David" w:hint="cs"/>
          <w:sz w:val="28"/>
          <w:szCs w:val="28"/>
          <w:rtl/>
        </w:rPr>
        <w:t>בחלק התשיעי מסכם איל את עיקרי התובנות ומנסה להעביר מעין רשימת המלצות לתיקון או שיפור המצב הגלובלי. אחת האמיתות בגישה הפלורליסטית הינה שהמערכת הדמוקרטית-ליברלית המיוצגת על ידי ארה"ב מהווה דגם נכון לעולם. במהלך הספר מרבה איל לבקר את הגישה הקפיטליסטית באומרו שהיא מייצרת פגיעה חמורה בזכויות אדם בעולם השלישי (דוגמת קונגו), היא מייצרת פערים באי-</w:t>
      </w:r>
      <w:proofErr w:type="spellStart"/>
      <w:r w:rsidR="00722125">
        <w:rPr>
          <w:rFonts w:ascii="David" w:hAnsi="David" w:cs="David" w:hint="cs"/>
          <w:sz w:val="28"/>
          <w:szCs w:val="28"/>
          <w:rtl/>
        </w:rPr>
        <w:t>שיויון</w:t>
      </w:r>
      <w:proofErr w:type="spellEnd"/>
      <w:r w:rsidR="00722125">
        <w:rPr>
          <w:rFonts w:ascii="David" w:hAnsi="David" w:cs="David" w:hint="cs"/>
          <w:sz w:val="28"/>
          <w:szCs w:val="28"/>
          <w:rtl/>
        </w:rPr>
        <w:t xml:space="preserve"> והוא אף מגדיל ומתאר אותה באופן הבא:</w:t>
      </w:r>
      <w:r w:rsidR="00E74B57">
        <w:rPr>
          <w:rFonts w:ascii="David" w:hAnsi="David" w:cs="David" w:hint="cs"/>
          <w:sz w:val="28"/>
          <w:szCs w:val="28"/>
          <w:rtl/>
        </w:rPr>
        <w:t xml:space="preserve"> </w:t>
      </w:r>
      <w:r w:rsidR="00722125">
        <w:rPr>
          <w:rFonts w:ascii="David" w:hAnsi="David" w:cs="David" w:hint="cs"/>
          <w:sz w:val="28"/>
          <w:szCs w:val="28"/>
          <w:rtl/>
        </w:rPr>
        <w:t>"</w:t>
      </w:r>
      <w:r w:rsidR="00722125" w:rsidRPr="00E74B57">
        <w:rPr>
          <w:rFonts w:ascii="David" w:hAnsi="David" w:cs="David" w:hint="cs"/>
          <w:i/>
          <w:iCs/>
          <w:sz w:val="28"/>
          <w:szCs w:val="28"/>
          <w:rtl/>
        </w:rPr>
        <w:t xml:space="preserve">הדורסנות של </w:t>
      </w:r>
      <w:r w:rsidR="00722125" w:rsidRPr="00E74B57">
        <w:rPr>
          <w:rFonts w:ascii="David" w:hAnsi="David" w:cs="David" w:hint="cs"/>
          <w:i/>
          <w:iCs/>
          <w:sz w:val="28"/>
          <w:szCs w:val="28"/>
          <w:rtl/>
        </w:rPr>
        <w:lastRenderedPageBreak/>
        <w:t>הגלובליזציה עיוורת וברגעיה הנוראיים היא אפלה בדיוק כמו ספינת העבדים שעשתה את דרכה ממערב אפריקה להאיטי</w:t>
      </w:r>
      <w:r w:rsidR="00722125">
        <w:rPr>
          <w:rFonts w:ascii="David" w:hAnsi="David" w:cs="David" w:hint="cs"/>
          <w:sz w:val="28"/>
          <w:szCs w:val="28"/>
          <w:rtl/>
        </w:rPr>
        <w:t>" (עמ' 82).</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אך למרות כל אילו כאשר איל מנסה לתאר מה נדרש לבצע הוא חוזר ליסודות הגישה הפלורליסטית. בסיכום כל ההמלצות שניתנות הוא בוחר לציין ש:"</w:t>
      </w:r>
      <w:r w:rsidRPr="00A05FE9">
        <w:rPr>
          <w:rFonts w:ascii="David" w:hAnsi="David" w:cs="David" w:hint="cs"/>
          <w:i/>
          <w:iCs/>
          <w:sz w:val="28"/>
          <w:szCs w:val="28"/>
          <w:rtl/>
        </w:rPr>
        <w:t xml:space="preserve">כל היוזמות הללו לא יגיעו לכדי מימוש בלי הגמון בינלאומי חזק. ארצות הברית חייבת לשוב אל חדר קבלת ההחלטות. הנסיגה האמריקאית </w:t>
      </w:r>
      <w:r w:rsidR="00E74B57" w:rsidRPr="00A05FE9">
        <w:rPr>
          <w:rFonts w:ascii="David" w:hAnsi="David" w:cs="David" w:hint="cs"/>
          <w:i/>
          <w:iCs/>
          <w:sz w:val="28"/>
          <w:szCs w:val="28"/>
          <w:rtl/>
        </w:rPr>
        <w:t>מהמחויבות</w:t>
      </w:r>
      <w:r w:rsidRPr="00A05FE9">
        <w:rPr>
          <w:rFonts w:ascii="David" w:hAnsi="David" w:cs="David" w:hint="cs"/>
          <w:i/>
          <w:iCs/>
          <w:sz w:val="28"/>
          <w:szCs w:val="28"/>
          <w:rtl/>
        </w:rPr>
        <w:t xml:space="preserve"> האימפריאלית צריכה להפסק לטובת נטילת אחריות מוגברת ונכונות </w:t>
      </w:r>
      <w:r w:rsidR="00E74B57" w:rsidRPr="00A05FE9">
        <w:rPr>
          <w:rFonts w:ascii="David" w:hAnsi="David" w:cs="David" w:hint="cs"/>
          <w:i/>
          <w:iCs/>
          <w:sz w:val="28"/>
          <w:szCs w:val="28"/>
          <w:rtl/>
        </w:rPr>
        <w:t>להיאב</w:t>
      </w:r>
      <w:r w:rsidR="00E74B57" w:rsidRPr="00A05FE9">
        <w:rPr>
          <w:rFonts w:ascii="David" w:hAnsi="David" w:cs="David" w:hint="eastAsia"/>
          <w:i/>
          <w:iCs/>
          <w:sz w:val="28"/>
          <w:szCs w:val="28"/>
          <w:rtl/>
        </w:rPr>
        <w:t>ק</w:t>
      </w:r>
      <w:r w:rsidRPr="00A05FE9">
        <w:rPr>
          <w:rFonts w:ascii="David" w:hAnsi="David" w:cs="David" w:hint="cs"/>
          <w:i/>
          <w:iCs/>
          <w:sz w:val="28"/>
          <w:szCs w:val="28"/>
          <w:rtl/>
        </w:rPr>
        <w:t xml:space="preserve"> עבור המציאות שנבנתה אחרי מלחמת העולם </w:t>
      </w:r>
      <w:r w:rsidR="00E74B57" w:rsidRPr="00A05FE9">
        <w:rPr>
          <w:rFonts w:ascii="David" w:hAnsi="David" w:cs="David" w:hint="cs"/>
          <w:i/>
          <w:iCs/>
          <w:sz w:val="28"/>
          <w:szCs w:val="28"/>
          <w:rtl/>
        </w:rPr>
        <w:t>השניי</w:t>
      </w:r>
      <w:r w:rsidR="00E74B57" w:rsidRPr="00A05FE9">
        <w:rPr>
          <w:rFonts w:ascii="David" w:hAnsi="David" w:cs="David" w:hint="eastAsia"/>
          <w:i/>
          <w:iCs/>
          <w:sz w:val="28"/>
          <w:szCs w:val="28"/>
          <w:rtl/>
        </w:rPr>
        <w:t>ה</w:t>
      </w:r>
      <w:r>
        <w:rPr>
          <w:rFonts w:ascii="David" w:hAnsi="David" w:cs="David" w:hint="cs"/>
          <w:sz w:val="28"/>
          <w:szCs w:val="28"/>
          <w:rtl/>
        </w:rPr>
        <w:t xml:space="preserve">."(עמ' 336). כלומר איל לא רק קורא לארה"ב לשוב ולהחיל את המודל שלה על העולם אלא גם מציין שהמודל הנכון הוא זה שבוצע אחרי מלחמת העולם </w:t>
      </w:r>
      <w:r w:rsidR="00E74B57">
        <w:rPr>
          <w:rFonts w:ascii="David" w:hAnsi="David" w:cs="David" w:hint="cs"/>
          <w:sz w:val="28"/>
          <w:szCs w:val="28"/>
          <w:rtl/>
        </w:rPr>
        <w:t>השניי</w:t>
      </w:r>
      <w:r w:rsidR="00E74B57">
        <w:rPr>
          <w:rFonts w:ascii="David" w:hAnsi="David" w:cs="David" w:hint="eastAsia"/>
          <w:sz w:val="28"/>
          <w:szCs w:val="28"/>
          <w:rtl/>
        </w:rPr>
        <w:t>ה</w:t>
      </w:r>
      <w:r>
        <w:rPr>
          <w:rFonts w:ascii="David" w:hAnsi="David" w:cs="David" w:hint="cs"/>
          <w:sz w:val="28"/>
          <w:szCs w:val="28"/>
          <w:rtl/>
        </w:rPr>
        <w:t>. אם נחזור להתפתחות הגישה הפלורליסטית נראה שזו התקופה בה התגבשה</w:t>
      </w:r>
      <w:r w:rsidR="00E74B57">
        <w:rPr>
          <w:rFonts w:ascii="David" w:hAnsi="David" w:cs="David" w:hint="cs"/>
          <w:sz w:val="28"/>
          <w:szCs w:val="28"/>
          <w:rtl/>
        </w:rPr>
        <w:t xml:space="preserve">, ושאבה את כוחה </w:t>
      </w:r>
      <w:r>
        <w:rPr>
          <w:rFonts w:ascii="David" w:hAnsi="David" w:cs="David" w:hint="cs"/>
          <w:sz w:val="28"/>
          <w:szCs w:val="28"/>
          <w:rtl/>
        </w:rPr>
        <w:t>כגישה המובילה בחקר מדעי המדינה.</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לסיכום חלק זה, ניתן לראות שגם במאפייני הכתיבה וגם בבחירת התופעות איל מציג תמונה של ריבוי מגמות וכוחות. מתודת החקירה שלו מבוצעת כניסיון להבין אינטרסים של קבוצות והבנה היסטורית של המתרחש עליהם. המודל אליו מציע איל לחזור, גם אם לא באופן ישיר, הוא המודל האמריקאי שלאחר מלחמת העולם השנייה. כל האלמנטים הללו עומדים בהתאמה מלאה לגישת הפלורליזם.</w:t>
      </w:r>
    </w:p>
    <w:p w:rsidR="00722125" w:rsidRDefault="00722125" w:rsidP="00722125">
      <w:pPr>
        <w:pStyle w:val="1"/>
        <w:rPr>
          <w:rtl/>
        </w:rPr>
      </w:pPr>
      <w:r>
        <w:rPr>
          <w:rFonts w:hint="cs"/>
          <w:rtl/>
        </w:rPr>
        <w:t>ביקורות על הספר</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מטרת פרק זה הינה להציג שתי ביקורות על הספר, לנתח את הפרדיגמות המונחות בבסיסם ולעמוד על פערי התפיסה (במידה ויש) בין הביקורת לבין הספר. </w:t>
      </w:r>
    </w:p>
    <w:p w:rsidR="00722125" w:rsidRDefault="00722125" w:rsidP="00605109">
      <w:pPr>
        <w:spacing w:line="360" w:lineRule="auto"/>
        <w:jc w:val="both"/>
        <w:rPr>
          <w:rFonts w:ascii="David" w:hAnsi="David" w:cs="David"/>
          <w:sz w:val="28"/>
          <w:szCs w:val="28"/>
          <w:rtl/>
        </w:rPr>
      </w:pPr>
      <w:r>
        <w:rPr>
          <w:rFonts w:ascii="David" w:hAnsi="David" w:cs="David" w:hint="cs"/>
          <w:sz w:val="28"/>
          <w:szCs w:val="28"/>
          <w:rtl/>
        </w:rPr>
        <w:t xml:space="preserve">ב25 ליולי 2018 פרסם פרופסור דני גטווין מאמר דעה על הספר בעיתון הארץ. שם המאמר היה : "המרד נגד הגלובליזציה : כך קולע נדב איל לטעמו של מעמד הבינים בישראל". המאמר הינו טקסט ביקורתי שלילי שבמהותו טוען שנדב איל מציג בפני הקורא תמונה חלקית ומעוותת של המציאות מתוך כוונה "להרדימו פוליטית" ובכך לשמר את המסגרת הניאו-ליברלית הקיימת. </w:t>
      </w:r>
      <w:r w:rsidR="00605109">
        <w:rPr>
          <w:rFonts w:ascii="David" w:hAnsi="David" w:cs="David" w:hint="cs"/>
          <w:sz w:val="28"/>
          <w:szCs w:val="28"/>
          <w:rtl/>
        </w:rPr>
        <w:t xml:space="preserve">הביקורת המרכזית החוזרת כחוט השני במאמר הינה שנדב איל לא מבין שאי השוויון הכלכלי עומד בבסיס המרד בגלובליזציה. יתרה מכך הביקורת היא שנדב איל מטעה את הציבור </w:t>
      </w:r>
      <w:r w:rsidR="00605109">
        <w:rPr>
          <w:rFonts w:ascii="David" w:hAnsi="David" w:cs="David" w:hint="cs"/>
          <w:sz w:val="28"/>
          <w:szCs w:val="28"/>
          <w:rtl/>
        </w:rPr>
        <w:t>ו"</w:t>
      </w:r>
      <w:r w:rsidR="00605109" w:rsidRPr="00E74B57">
        <w:rPr>
          <w:rFonts w:ascii="David" w:hAnsi="David" w:cs="David" w:hint="cs"/>
          <w:i/>
          <w:iCs/>
          <w:sz w:val="28"/>
          <w:szCs w:val="28"/>
          <w:rtl/>
        </w:rPr>
        <w:t>מציג את הסדר הקיים כיחיד האפשרי וכך מחזק אותו</w:t>
      </w:r>
      <w:r w:rsidR="00605109">
        <w:rPr>
          <w:rFonts w:ascii="David" w:hAnsi="David" w:cs="David" w:hint="cs"/>
          <w:sz w:val="28"/>
          <w:szCs w:val="28"/>
          <w:rtl/>
        </w:rPr>
        <w:t>"</w:t>
      </w:r>
      <w:r w:rsidR="00605109">
        <w:rPr>
          <w:rFonts w:ascii="David" w:hAnsi="David" w:cs="David" w:hint="cs"/>
          <w:sz w:val="28"/>
          <w:szCs w:val="28"/>
          <w:rtl/>
        </w:rPr>
        <w:t xml:space="preserve"> ונמנע מהפתרון הנדרש שהוא </w:t>
      </w:r>
      <w:r w:rsidR="00605109">
        <w:rPr>
          <w:rFonts w:ascii="David" w:hAnsi="David" w:cs="David" w:hint="cs"/>
          <w:i/>
          <w:iCs/>
          <w:sz w:val="28"/>
          <w:szCs w:val="28"/>
          <w:rtl/>
        </w:rPr>
        <w:t xml:space="preserve"> </w:t>
      </w:r>
      <w:r w:rsidR="00605109">
        <w:rPr>
          <w:rFonts w:ascii="David" w:hAnsi="David" w:cs="David" w:hint="cs"/>
          <w:i/>
          <w:iCs/>
          <w:sz w:val="28"/>
          <w:szCs w:val="28"/>
          <w:rtl/>
        </w:rPr>
        <w:t>"</w:t>
      </w:r>
      <w:r w:rsidR="00605109" w:rsidRPr="00317866">
        <w:rPr>
          <w:rFonts w:ascii="David" w:hAnsi="David" w:cs="David" w:hint="cs"/>
          <w:i/>
          <w:iCs/>
          <w:sz w:val="28"/>
          <w:szCs w:val="28"/>
          <w:rtl/>
        </w:rPr>
        <w:t>עצירת הפרטה וכינון מדינת רווחה ואוניברסלית</w:t>
      </w:r>
      <w:r w:rsidR="00605109">
        <w:rPr>
          <w:rFonts w:ascii="David" w:hAnsi="David" w:cs="David" w:hint="cs"/>
          <w:sz w:val="28"/>
          <w:szCs w:val="28"/>
          <w:rtl/>
        </w:rPr>
        <w:t>"</w:t>
      </w:r>
      <w:r w:rsidR="00605109">
        <w:rPr>
          <w:rFonts w:ascii="David" w:hAnsi="David" w:cs="David" w:hint="cs"/>
          <w:sz w:val="28"/>
          <w:szCs w:val="28"/>
          <w:rtl/>
        </w:rPr>
        <w:t>.</w:t>
      </w:r>
    </w:p>
    <w:p w:rsidR="00722125" w:rsidRDefault="00E74B57" w:rsidP="00605109">
      <w:pPr>
        <w:spacing w:line="360" w:lineRule="auto"/>
        <w:jc w:val="both"/>
        <w:rPr>
          <w:rFonts w:ascii="David" w:hAnsi="David" w:cs="David"/>
          <w:sz w:val="28"/>
          <w:szCs w:val="28"/>
          <w:rtl/>
        </w:rPr>
      </w:pPr>
      <w:r>
        <w:rPr>
          <w:rFonts w:ascii="David" w:hAnsi="David" w:cs="David" w:hint="cs"/>
          <w:sz w:val="28"/>
          <w:szCs w:val="28"/>
          <w:rtl/>
        </w:rPr>
        <w:t>הפרדיגמה של פרופסור דני גטווין הינה פרדיגמה מרקסיסטית. ניתן לראות זאת במיקוד שהוא מבצע לתחום הכלכלה, לאי השוויון ולצורך בהפרטה</w:t>
      </w:r>
      <w:r w:rsidR="00605109">
        <w:rPr>
          <w:rFonts w:ascii="David" w:hAnsi="David" w:cs="David" w:hint="cs"/>
          <w:sz w:val="28"/>
          <w:szCs w:val="28"/>
          <w:rtl/>
        </w:rPr>
        <w:t>. לתפיסתו תיקון הכלכלה על ידי שוויון וצמצום פער בין מעמדות הוא שיוביל לתיקון העולם.</w:t>
      </w:r>
      <w:r>
        <w:rPr>
          <w:rFonts w:ascii="David" w:hAnsi="David" w:cs="David" w:hint="cs"/>
          <w:sz w:val="28"/>
          <w:szCs w:val="28"/>
          <w:rtl/>
        </w:rPr>
        <w:t xml:space="preserve"> בנוסף </w:t>
      </w:r>
      <w:r>
        <w:rPr>
          <w:rFonts w:ascii="David" w:hAnsi="David" w:cs="David" w:hint="cs"/>
          <w:sz w:val="28"/>
          <w:szCs w:val="28"/>
          <w:rtl/>
        </w:rPr>
        <w:lastRenderedPageBreak/>
        <w:t xml:space="preserve">גטווין מעיד על </w:t>
      </w:r>
      <w:r w:rsidR="00722125">
        <w:rPr>
          <w:rFonts w:ascii="David" w:hAnsi="David" w:cs="David" w:hint="cs"/>
          <w:sz w:val="28"/>
          <w:szCs w:val="28"/>
          <w:rtl/>
        </w:rPr>
        <w:t>עצמו כמחזיק בדעות סוציאל-דמוקרטיות מכאן שעמדתו שואבת את כוחה מהפרדיגמה המרקסיסטית.</w:t>
      </w:r>
      <w:r w:rsidR="00605109">
        <w:rPr>
          <w:rFonts w:ascii="David" w:hAnsi="David" w:cs="David" w:hint="cs"/>
          <w:sz w:val="28"/>
          <w:szCs w:val="28"/>
          <w:rtl/>
        </w:rPr>
        <w:t xml:space="preserve"> </w:t>
      </w:r>
      <w:r>
        <w:rPr>
          <w:rFonts w:ascii="David" w:hAnsi="David" w:cs="David" w:hint="cs"/>
          <w:sz w:val="28"/>
          <w:szCs w:val="28"/>
          <w:rtl/>
        </w:rPr>
        <w:t xml:space="preserve">מכאן שהבסיס לחילוקי הדעות נסוב על הצורך בתיקון החברה והכלכלה </w:t>
      </w:r>
      <w:r w:rsidR="00605109">
        <w:rPr>
          <w:rFonts w:ascii="David" w:hAnsi="David" w:cs="David" w:hint="cs"/>
          <w:sz w:val="28"/>
          <w:szCs w:val="28"/>
          <w:rtl/>
        </w:rPr>
        <w:t>כנגזרת של פרדיגמות מנוגדות</w:t>
      </w:r>
      <w:r w:rsidR="00722125">
        <w:rPr>
          <w:rFonts w:ascii="David" w:hAnsi="David" w:cs="David" w:hint="cs"/>
          <w:sz w:val="28"/>
          <w:szCs w:val="28"/>
          <w:rtl/>
        </w:rPr>
        <w:t>.</w:t>
      </w:r>
      <w:r w:rsidR="00722125">
        <w:rPr>
          <w:rStyle w:val="afb"/>
          <w:rFonts w:ascii="David" w:hAnsi="David" w:cs="David"/>
          <w:sz w:val="28"/>
          <w:szCs w:val="28"/>
          <w:rtl/>
        </w:rPr>
        <w:footnoteReference w:id="2"/>
      </w:r>
      <w:r>
        <w:rPr>
          <w:rFonts w:ascii="David" w:hAnsi="David" w:cs="David" w:hint="cs"/>
          <w:sz w:val="28"/>
          <w:szCs w:val="28"/>
          <w:rtl/>
        </w:rPr>
        <w:t xml:space="preserve"> </w:t>
      </w:r>
    </w:p>
    <w:p w:rsidR="00722125" w:rsidRDefault="00605109" w:rsidP="00605109">
      <w:pPr>
        <w:spacing w:line="360" w:lineRule="auto"/>
        <w:jc w:val="both"/>
        <w:rPr>
          <w:rFonts w:ascii="David" w:hAnsi="David" w:cs="David"/>
          <w:sz w:val="28"/>
          <w:szCs w:val="28"/>
          <w:rtl/>
        </w:rPr>
      </w:pPr>
      <w:r>
        <w:rPr>
          <w:rFonts w:ascii="David" w:hAnsi="David" w:cs="David" w:hint="cs"/>
          <w:sz w:val="28"/>
          <w:szCs w:val="28"/>
          <w:rtl/>
        </w:rPr>
        <w:t>בחמישה עשר לדצמבר</w:t>
      </w:r>
      <w:r w:rsidR="00722125">
        <w:rPr>
          <w:rFonts w:ascii="David" w:hAnsi="David" w:cs="David" w:hint="cs"/>
          <w:sz w:val="28"/>
          <w:szCs w:val="28"/>
          <w:rtl/>
        </w:rPr>
        <w:t xml:space="preserve"> 2018 </w:t>
      </w:r>
      <w:r>
        <w:rPr>
          <w:rFonts w:ascii="David" w:hAnsi="David" w:cs="David" w:hint="cs"/>
          <w:sz w:val="28"/>
          <w:szCs w:val="28"/>
          <w:rtl/>
        </w:rPr>
        <w:t>פורסמה ביקורת בשם "על ספרו של נדב איל: מהפך, מהפכה או מפץ?</w:t>
      </w:r>
      <w:r w:rsidR="00722125">
        <w:rPr>
          <w:rFonts w:ascii="David" w:hAnsi="David" w:cs="David" w:hint="cs"/>
          <w:sz w:val="28"/>
          <w:szCs w:val="28"/>
          <w:rtl/>
        </w:rPr>
        <w:t xml:space="preserve">. </w:t>
      </w:r>
      <w:r>
        <w:rPr>
          <w:rFonts w:ascii="David" w:hAnsi="David" w:cs="David" w:hint="cs"/>
          <w:sz w:val="28"/>
          <w:szCs w:val="28"/>
          <w:rtl/>
        </w:rPr>
        <w:t xml:space="preserve">מאמר הדעה מוצג </w:t>
      </w:r>
      <w:r w:rsidR="00177C34">
        <w:rPr>
          <w:rFonts w:ascii="David" w:hAnsi="David" w:cs="David" w:hint="cs"/>
          <w:sz w:val="28"/>
          <w:szCs w:val="28"/>
          <w:rtl/>
        </w:rPr>
        <w:t>נכתב על ידי דן יהב ופורסם באתר המפלגה הקומוניסטית הישראלית. טרום קריאת המאמר הנחתי שהביקורת על הספר תהיה זהה לזו של פרופסור גטווין. עם זאת, במהלך הקריאה הופתעתי לראות שלמרות שהפרדיגמות של גטווין ויהב זהות שניהם מצליחים להבליט אלמנטים אחרים בספר.</w:t>
      </w:r>
    </w:p>
    <w:p w:rsidR="00177C34" w:rsidRDefault="00177C34" w:rsidP="00605109">
      <w:pPr>
        <w:spacing w:line="360" w:lineRule="auto"/>
        <w:jc w:val="both"/>
        <w:rPr>
          <w:rFonts w:ascii="David" w:hAnsi="David" w:cs="David"/>
          <w:i/>
          <w:iCs/>
          <w:sz w:val="28"/>
          <w:szCs w:val="28"/>
          <w:rtl/>
        </w:rPr>
      </w:pPr>
      <w:r>
        <w:rPr>
          <w:rFonts w:ascii="David" w:hAnsi="David" w:cs="David" w:hint="cs"/>
          <w:sz w:val="28"/>
          <w:szCs w:val="28"/>
          <w:rtl/>
        </w:rPr>
        <w:t xml:space="preserve">מאמר דעה זה הינו חיובי בעיקרו. ניתן לראות את תפיסת העולם המרקסיסטית המגיעה לכדי ביטוי בציטוטים ובפתרונות שבוחר הכותב להציג לנו. הביטוי הבולט לגישה המרקסיסטית מונח בסיבות אותם תופס יהב כמניע למרד בגלובליזציה </w:t>
      </w:r>
      <w:r w:rsidRPr="00177C34">
        <w:rPr>
          <w:rFonts w:ascii="David" w:hAnsi="David" w:cs="David" w:hint="cs"/>
          <w:i/>
          <w:iCs/>
          <w:sz w:val="28"/>
          <w:szCs w:val="28"/>
          <w:rtl/>
        </w:rPr>
        <w:t>"האכזבה העיקרית נובעת מאי קיום של שגשוג לכולם ("מכונית לכל פועל)</w:t>
      </w:r>
      <w:r>
        <w:rPr>
          <w:rFonts w:ascii="David" w:hAnsi="David" w:cs="David" w:hint="cs"/>
          <w:i/>
          <w:iCs/>
          <w:sz w:val="28"/>
          <w:szCs w:val="28"/>
          <w:rtl/>
        </w:rPr>
        <w:t xml:space="preserve">... הרי במקום עולם שטוח נוצרה פירמידה שבסיסה רחב ביותר (שכבות עוני) ואילו שכבות הביניים נמחקות." </w:t>
      </w:r>
    </w:p>
    <w:p w:rsidR="00177C34" w:rsidRDefault="00177C34" w:rsidP="00605109">
      <w:pPr>
        <w:spacing w:line="360" w:lineRule="auto"/>
        <w:jc w:val="both"/>
        <w:rPr>
          <w:rFonts w:ascii="David" w:hAnsi="David" w:cs="David"/>
          <w:sz w:val="28"/>
          <w:szCs w:val="28"/>
          <w:rtl/>
        </w:rPr>
      </w:pPr>
      <w:r>
        <w:rPr>
          <w:rFonts w:ascii="David" w:hAnsi="David" w:cs="David" w:hint="cs"/>
          <w:sz w:val="28"/>
          <w:szCs w:val="28"/>
          <w:rtl/>
        </w:rPr>
        <w:t xml:space="preserve">הפתרונות שיהב מוצא להבליט מתוך הספר הינם אילו הנוגעים בעיקר לעולם הכלכלי </w:t>
      </w:r>
      <w:r>
        <w:rPr>
          <w:rFonts w:ascii="David" w:hAnsi="David" w:cs="David"/>
          <w:sz w:val="28"/>
          <w:szCs w:val="28"/>
          <w:rtl/>
        </w:rPr>
        <w:t>–</w:t>
      </w:r>
      <w:r>
        <w:rPr>
          <w:rFonts w:ascii="David" w:hAnsi="David" w:cs="David" w:hint="cs"/>
          <w:sz w:val="28"/>
          <w:szCs w:val="28"/>
          <w:rtl/>
        </w:rPr>
        <w:t xml:space="preserve"> הגדלת השקעה במוסדות פוליטיים, הרחבת השקעה במדינות מתפתחות, פיתוח מקורות תעסוקה עולמיים הכנסת שינויים בגופים פוליטיים עולמיים. הצגה כזו של מסקנות מביאה את הקורא להבין שנדב איל מכוון להתערבות עולמית אקטיבית לצמצום אי- שוויון כלכלי. </w:t>
      </w:r>
    </w:p>
    <w:p w:rsidR="00177C34" w:rsidRPr="00177C34" w:rsidRDefault="00177C34" w:rsidP="00605109">
      <w:pPr>
        <w:spacing w:line="360" w:lineRule="auto"/>
        <w:jc w:val="both"/>
        <w:rPr>
          <w:rFonts w:ascii="David" w:hAnsi="David" w:cs="David"/>
          <w:sz w:val="28"/>
          <w:szCs w:val="28"/>
          <w:rtl/>
        </w:rPr>
      </w:pPr>
      <w:r>
        <w:rPr>
          <w:rFonts w:ascii="David" w:hAnsi="David" w:cs="David" w:hint="cs"/>
          <w:sz w:val="28"/>
          <w:szCs w:val="28"/>
          <w:rtl/>
        </w:rPr>
        <w:t>בחרתי להביא את שני מאמרי הדעה הללו כדי להמחיש ששני אנשים בעלי פרד</w:t>
      </w:r>
      <w:r w:rsidR="00D168D8">
        <w:rPr>
          <w:rFonts w:ascii="David" w:hAnsi="David" w:cs="David" w:hint="cs"/>
          <w:sz w:val="28"/>
          <w:szCs w:val="28"/>
          <w:rtl/>
        </w:rPr>
        <w:t xml:space="preserve">יגמה זהה יכולים לקרוא ספר בעל פרדיגמה שונה לגמרי ולהגיע למסקנות הפוכות. </w:t>
      </w:r>
    </w:p>
    <w:p w:rsidR="00722125" w:rsidRDefault="00722125" w:rsidP="00722125">
      <w:pPr>
        <w:pStyle w:val="1"/>
        <w:rPr>
          <w:rtl/>
        </w:rPr>
      </w:pPr>
      <w:r>
        <w:rPr>
          <w:rFonts w:hint="cs"/>
          <w:rtl/>
        </w:rPr>
        <w:t>גישה אלטרנטיבית לספר</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בחלק זה אציג ניתוח של המציאות דרך גישה אחרת מזו של איל. הגישה בה בחרתי הינה הגישה הניאו-מוסדית היסטורית.  הגישה הניאו-מוסדית הינה גישה אשר החלה להתעצב בשנות השמונים כתגובה אל שאר הפרדיגמות שהיו נהוגות עד לאותה עת. הפרדיגמה טוענת שמוסדות הם המשתנה שמעצב קבלת החלטות. הגישה ממשיכה ומציבה את המוסדות לא רק כפקטור שדרכו ניתן להבין קבלת החלטות אלא גם כמושא מחקר שיש לנתח אותו ולהבין כיצד הוא התעצב ומדוע התעצב כך. הפרדיגמה בוחנת את הכללים והחוקים בין המוסדות, ההיסטוריה והאופן התעצבו </w:t>
      </w:r>
      <w:r>
        <w:rPr>
          <w:rFonts w:ascii="David" w:hAnsi="David" w:cs="David" w:hint="cs"/>
          <w:sz w:val="28"/>
          <w:szCs w:val="28"/>
          <w:rtl/>
        </w:rPr>
        <w:lastRenderedPageBreak/>
        <w:t>יחסי הגומלין ביניהם אבל לא פחות מכך תחקור את המוסדות עצמם</w:t>
      </w:r>
      <w:sdt>
        <w:sdtPr>
          <w:rPr>
            <w:rFonts w:ascii="David" w:hAnsi="David" w:cs="David" w:hint="cs"/>
            <w:sz w:val="28"/>
            <w:szCs w:val="28"/>
            <w:rtl/>
          </w:rPr>
          <w:id w:val="1618877851"/>
          <w:citation/>
        </w:sdtPr>
        <w:sdtEndPr/>
        <w:sdtContent>
          <w:r>
            <w:rPr>
              <w:rFonts w:ascii="David" w:hAnsi="David" w:cs="David"/>
              <w:sz w:val="28"/>
              <w:szCs w:val="28"/>
              <w:rtl/>
            </w:rPr>
            <w:fldChar w:fldCharType="begin"/>
          </w:r>
          <w:r>
            <w:rPr>
              <w:rFonts w:ascii="David" w:hAnsi="David" w:cs="David"/>
              <w:sz w:val="28"/>
              <w:szCs w:val="28"/>
            </w:rPr>
            <w:instrText>CITATION Low09 \p 92-94 \l 1037</w:instrText>
          </w:r>
          <w:r>
            <w:rPr>
              <w:rFonts w:ascii="David" w:hAnsi="David" w:cs="David"/>
              <w:sz w:val="28"/>
              <w:szCs w:val="28"/>
              <w:rtl/>
            </w:rPr>
            <w:instrText xml:space="preserve"> </w:instrText>
          </w:r>
          <w:r>
            <w:rPr>
              <w:rFonts w:ascii="David" w:hAnsi="David" w:cs="David"/>
              <w:sz w:val="28"/>
              <w:szCs w:val="28"/>
              <w:rtl/>
            </w:rPr>
            <w:fldChar w:fldCharType="separate"/>
          </w:r>
          <w:r w:rsidR="00D168D8">
            <w:rPr>
              <w:rFonts w:ascii="David" w:hAnsi="David" w:cs="David"/>
              <w:noProof/>
              <w:sz w:val="28"/>
              <w:szCs w:val="28"/>
              <w:rtl/>
            </w:rPr>
            <w:t xml:space="preserve"> </w:t>
          </w:r>
          <w:r w:rsidR="00D168D8" w:rsidRPr="00D168D8">
            <w:rPr>
              <w:rFonts w:ascii="David" w:hAnsi="David" w:cs="David" w:hint="cs"/>
              <w:noProof/>
              <w:sz w:val="28"/>
              <w:szCs w:val="28"/>
              <w:rtl/>
            </w:rPr>
            <w:t>(</w:t>
          </w:r>
          <w:r w:rsidR="00D168D8" w:rsidRPr="00D168D8">
            <w:rPr>
              <w:rFonts w:ascii="David" w:hAnsi="David" w:cs="David" w:hint="cs"/>
              <w:noProof/>
              <w:sz w:val="28"/>
              <w:szCs w:val="28"/>
            </w:rPr>
            <w:t>Lowndes, 2009</w:t>
          </w:r>
          <w:r w:rsidR="00D168D8" w:rsidRPr="00D168D8">
            <w:rPr>
              <w:rFonts w:ascii="David" w:hAnsi="David" w:cs="David" w:hint="cs"/>
              <w:noProof/>
              <w:sz w:val="28"/>
              <w:szCs w:val="28"/>
              <w:rtl/>
            </w:rPr>
            <w:t>, עמ' 92-94)</w:t>
          </w:r>
          <w:r>
            <w:rPr>
              <w:rFonts w:ascii="David" w:hAnsi="David" w:cs="David"/>
              <w:sz w:val="28"/>
              <w:szCs w:val="28"/>
              <w:rtl/>
            </w:rPr>
            <w:fldChar w:fldCharType="end"/>
          </w:r>
        </w:sdtContent>
      </w:sdt>
      <w:r>
        <w:rPr>
          <w:rFonts w:ascii="David" w:hAnsi="David" w:cs="David" w:hint="cs"/>
          <w:sz w:val="28"/>
          <w:szCs w:val="28"/>
          <w:rtl/>
        </w:rPr>
        <w:t xml:space="preserve">. </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יש קושי לייצר המשגה מדויקת  למילה מוסד. עם זאת רוב החוקרים נוטים להתייחס </w:t>
      </w:r>
      <w:r w:rsidRPr="002D3899">
        <w:rPr>
          <w:rFonts w:ascii="David" w:hAnsi="David" w:cs="David" w:hint="cs"/>
          <w:b/>
          <w:bCs/>
          <w:sz w:val="28"/>
          <w:szCs w:val="28"/>
          <w:rtl/>
        </w:rPr>
        <w:t>למוסד כאל סך הכללים והנורמות המאפיינים פעולה ואינטראקצי</w:t>
      </w:r>
      <w:r w:rsidRPr="002D3899">
        <w:rPr>
          <w:rFonts w:ascii="David" w:hAnsi="David" w:cs="David" w:hint="eastAsia"/>
          <w:b/>
          <w:bCs/>
          <w:sz w:val="28"/>
          <w:szCs w:val="28"/>
          <w:rtl/>
        </w:rPr>
        <w:t>ה</w:t>
      </w:r>
      <w:r w:rsidRPr="002D3899">
        <w:rPr>
          <w:rFonts w:ascii="David" w:hAnsi="David" w:cs="David" w:hint="cs"/>
          <w:b/>
          <w:bCs/>
          <w:sz w:val="28"/>
          <w:szCs w:val="28"/>
          <w:rtl/>
        </w:rPr>
        <w:t xml:space="preserve"> אנושית </w:t>
      </w:r>
      <w:r w:rsidRPr="002D3899">
        <w:rPr>
          <w:rFonts w:ascii="David" w:hAnsi="David" w:cs="David"/>
          <w:b/>
          <w:bCs/>
          <w:sz w:val="28"/>
          <w:szCs w:val="28"/>
          <w:rtl/>
        </w:rPr>
        <w:t>–</w:t>
      </w:r>
      <w:r w:rsidRPr="002D3899">
        <w:rPr>
          <w:rFonts w:ascii="David" w:hAnsi="David" w:cs="David" w:hint="cs"/>
          <w:b/>
          <w:bCs/>
          <w:sz w:val="28"/>
          <w:szCs w:val="28"/>
          <w:rtl/>
        </w:rPr>
        <w:t xml:space="preserve"> בין אם דרך חוקים ותקנות, דרך ארגונים  או דרך עקרונות של התנהגות ואמנות חברתיות</w:t>
      </w:r>
      <w:sdt>
        <w:sdtPr>
          <w:rPr>
            <w:rFonts w:ascii="David" w:hAnsi="David" w:cs="David" w:hint="cs"/>
            <w:sz w:val="28"/>
            <w:szCs w:val="28"/>
            <w:rtl/>
          </w:rPr>
          <w:id w:val="-1690601479"/>
          <w:citation/>
        </w:sdtPr>
        <w:sdtEndPr/>
        <w:sdtContent>
          <w:r>
            <w:rPr>
              <w:rFonts w:ascii="David" w:hAnsi="David" w:cs="David"/>
              <w:sz w:val="28"/>
              <w:szCs w:val="28"/>
              <w:rtl/>
            </w:rPr>
            <w:fldChar w:fldCharType="begin"/>
          </w:r>
          <w:r>
            <w:rPr>
              <w:rFonts w:ascii="David" w:hAnsi="David" w:cs="David"/>
              <w:sz w:val="28"/>
              <w:szCs w:val="28"/>
            </w:rPr>
            <w:instrText xml:space="preserve">CITATION Fio11 \p 372 \l 1033 </w:instrText>
          </w:r>
          <w:r>
            <w:rPr>
              <w:rFonts w:ascii="David" w:hAnsi="David" w:cs="David"/>
              <w:sz w:val="28"/>
              <w:szCs w:val="28"/>
              <w:rtl/>
            </w:rPr>
            <w:fldChar w:fldCharType="separate"/>
          </w:r>
          <w:r w:rsidR="00D168D8">
            <w:rPr>
              <w:rFonts w:ascii="David" w:hAnsi="David" w:cs="David"/>
              <w:noProof/>
              <w:sz w:val="28"/>
              <w:szCs w:val="28"/>
              <w:rtl/>
            </w:rPr>
            <w:t xml:space="preserve"> </w:t>
          </w:r>
          <w:r w:rsidR="00D168D8" w:rsidRPr="00D168D8">
            <w:rPr>
              <w:rFonts w:ascii="David" w:hAnsi="David" w:cs="David" w:hint="cs"/>
              <w:noProof/>
              <w:sz w:val="28"/>
              <w:szCs w:val="28"/>
              <w:rtl/>
            </w:rPr>
            <w:t>(</w:t>
          </w:r>
          <w:r w:rsidR="00D168D8" w:rsidRPr="00D168D8">
            <w:rPr>
              <w:rFonts w:ascii="David" w:hAnsi="David" w:cs="David" w:hint="cs"/>
              <w:noProof/>
              <w:sz w:val="28"/>
              <w:szCs w:val="28"/>
            </w:rPr>
            <w:t>Fioretos, 2011</w:t>
          </w:r>
          <w:r w:rsidR="00D168D8" w:rsidRPr="00D168D8">
            <w:rPr>
              <w:rFonts w:ascii="David" w:hAnsi="David" w:cs="David" w:hint="cs"/>
              <w:noProof/>
              <w:sz w:val="28"/>
              <w:szCs w:val="28"/>
              <w:rtl/>
            </w:rPr>
            <w:t>, עמ' 372)</w:t>
          </w:r>
          <w:r>
            <w:rPr>
              <w:rFonts w:ascii="David" w:hAnsi="David" w:cs="David"/>
              <w:sz w:val="28"/>
              <w:szCs w:val="28"/>
              <w:rtl/>
            </w:rPr>
            <w:fldChar w:fldCharType="end"/>
          </w:r>
        </w:sdtContent>
      </w:sdt>
      <w:r>
        <w:rPr>
          <w:rFonts w:ascii="David" w:hAnsi="David" w:cs="David" w:hint="cs"/>
          <w:sz w:val="28"/>
          <w:szCs w:val="28"/>
          <w:rtl/>
        </w:rPr>
        <w:t xml:space="preserve">. בשיעור של ד"ר דורון נבות התווספה למושג עוד הגדרה חשובה והיא שמוסד מייצר עוצמה קולקטיבית באמצעות שיווי משקל. הפרה של שיווי משקל תייצר תגובת נגד. </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ניתן לבחון את התופעות המצויות בספר גם כתגובת נגד לשינוי שיווי משקל. הסתכלות כזו תחייב אותנו להסתכלות היסטורית על המוסדות השונים ועל הבנה מהם הכללים או הנורמות המאפיינים את המוסד. הבנה כזו תבהיר לנו כיצד הגלובליזציה פגעה בנורמות או בחוקים ומכאן הובילה לשינוי בשיווי משקל.</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הסתכלות כזו מהווה הסתכלות שלמה יותר מזו שמוצגת בספר. אופן המחקר של איל מיקד אותו בהסתכלות צרה על ההיסטוריה מבלי העמקה בנורמות ובכללים שנוצרו. מכאן נובע גם הקושי במתן פתרון מוסדר לבעיות שנוצרו.</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אם נבחן את עלייתו של </w:t>
      </w:r>
      <w:proofErr w:type="spellStart"/>
      <w:r>
        <w:rPr>
          <w:rFonts w:ascii="David" w:hAnsi="David" w:cs="David" w:hint="cs"/>
          <w:sz w:val="28"/>
          <w:szCs w:val="28"/>
          <w:rtl/>
        </w:rPr>
        <w:t>טראמפ</w:t>
      </w:r>
      <w:proofErr w:type="spellEnd"/>
      <w:r>
        <w:rPr>
          <w:rFonts w:ascii="David" w:hAnsi="David" w:cs="David" w:hint="cs"/>
          <w:sz w:val="28"/>
          <w:szCs w:val="28"/>
          <w:rtl/>
        </w:rPr>
        <w:t xml:space="preserve"> לשלטון ניתן להציג את האירוע כניתוח של מוסד הבחירות האמריקאי. האופן בו מאורגנת השיטה האמריקאית היא שאפשרה </w:t>
      </w:r>
      <w:proofErr w:type="spellStart"/>
      <w:r>
        <w:rPr>
          <w:rFonts w:ascii="David" w:hAnsi="David" w:cs="David" w:hint="cs"/>
          <w:sz w:val="28"/>
          <w:szCs w:val="28"/>
          <w:rtl/>
        </w:rPr>
        <w:t>לטראמפ</w:t>
      </w:r>
      <w:proofErr w:type="spellEnd"/>
      <w:r>
        <w:rPr>
          <w:rFonts w:ascii="David" w:hAnsi="David" w:cs="David" w:hint="cs"/>
          <w:sz w:val="28"/>
          <w:szCs w:val="28"/>
          <w:rtl/>
        </w:rPr>
        <w:t xml:space="preserve"> לעלות. הרי בסופו של יום אין מרד </w:t>
      </w:r>
      <w:proofErr w:type="spellStart"/>
      <w:r>
        <w:rPr>
          <w:rFonts w:ascii="David" w:hAnsi="David" w:cs="David" w:hint="cs"/>
          <w:sz w:val="28"/>
          <w:szCs w:val="28"/>
          <w:rtl/>
        </w:rPr>
        <w:t>אמיתי</w:t>
      </w:r>
      <w:proofErr w:type="spellEnd"/>
      <w:r>
        <w:rPr>
          <w:rFonts w:ascii="David" w:hAnsi="David" w:cs="David" w:hint="cs"/>
          <w:sz w:val="28"/>
          <w:szCs w:val="28"/>
          <w:rtl/>
        </w:rPr>
        <w:t xml:space="preserve"> בדמוקרטים </w:t>
      </w:r>
      <w:r>
        <w:rPr>
          <w:rFonts w:ascii="David" w:hAnsi="David" w:cs="David"/>
          <w:sz w:val="28"/>
          <w:szCs w:val="28"/>
          <w:rtl/>
        </w:rPr>
        <w:t>–</w:t>
      </w:r>
      <w:r>
        <w:rPr>
          <w:rFonts w:ascii="David" w:hAnsi="David" w:cs="David" w:hint="cs"/>
          <w:sz w:val="28"/>
          <w:szCs w:val="28"/>
          <w:rtl/>
        </w:rPr>
        <w:t xml:space="preserve"> הילרי זכתה ברוב הקולות. המנגנון החשוב שהעניק </w:t>
      </w:r>
      <w:proofErr w:type="spellStart"/>
      <w:r>
        <w:rPr>
          <w:rFonts w:ascii="David" w:hAnsi="David" w:cs="David" w:hint="cs"/>
          <w:sz w:val="28"/>
          <w:szCs w:val="28"/>
          <w:rtl/>
        </w:rPr>
        <w:t>לטראמפ</w:t>
      </w:r>
      <w:proofErr w:type="spellEnd"/>
      <w:r>
        <w:rPr>
          <w:rFonts w:ascii="David" w:hAnsi="David" w:cs="David" w:hint="cs"/>
          <w:sz w:val="28"/>
          <w:szCs w:val="28"/>
          <w:rtl/>
        </w:rPr>
        <w:t xml:space="preserve"> את </w:t>
      </w:r>
      <w:proofErr w:type="spellStart"/>
      <w:r>
        <w:rPr>
          <w:rFonts w:ascii="David" w:hAnsi="David" w:cs="David" w:hint="cs"/>
          <w:sz w:val="28"/>
          <w:szCs w:val="28"/>
          <w:rtl/>
        </w:rPr>
        <w:t>הנצחון</w:t>
      </w:r>
      <w:proofErr w:type="spellEnd"/>
      <w:r>
        <w:rPr>
          <w:rFonts w:ascii="David" w:hAnsi="David" w:cs="David" w:hint="cs"/>
          <w:sz w:val="28"/>
          <w:szCs w:val="28"/>
          <w:rtl/>
        </w:rPr>
        <w:t xml:space="preserve"> הייתה ההבנה שלו את מוסד הבחירות האמריקאי והתמקדות במקום בו ניתן לשנות את שיווי המשקל לקבל ניצחון.</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בעולם ההגירה נכון לבחון את המוסדות השונים בקרב המדינות השונות שקולטות הגירה. שאלת המחקר תשווה בין הכללים השונים במדינות השונות והאם הובילו לתוצאה שונה. יתכן שעל ידי הסדרת של מערכת חוקים ניתן לפתור או להקל על בעיית ההגירה ומכאן גם אולי להפחית את בעיית הטרור והפונדמנטליסטים באירופה.</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בהקשרי המשבר הכלכלי נכון לבחון את האופן בו מדינות שונות התמודדו עם המשבר </w:t>
      </w:r>
      <w:r>
        <w:rPr>
          <w:rFonts w:ascii="David" w:hAnsi="David" w:cs="David"/>
          <w:sz w:val="28"/>
          <w:szCs w:val="28"/>
          <w:rtl/>
        </w:rPr>
        <w:t>–</w:t>
      </w:r>
      <w:r>
        <w:rPr>
          <w:rFonts w:ascii="David" w:hAnsi="David" w:cs="David" w:hint="cs"/>
          <w:sz w:val="28"/>
          <w:szCs w:val="28"/>
          <w:rtl/>
        </w:rPr>
        <w:t xml:space="preserve"> האם קיימים אלמנטים שיכולים לצמצם את הפגיעות הלוקאלית לאפקטים גלובליים. הדוגמא הישראלית מלמדת שכן, בניגוד למתרחש ביוון או בבריטניה. הסתכלות מוסדית משווה תעניק תובנות וכלים טובים יותר מזה שמספקת ההבנה של אינטרסים קבוצתיים צרים.</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lastRenderedPageBreak/>
        <w:t>פתרונות למימוש על פי הגישה הניאו-מוסדית ישאפו לארגן נורמות וכללים או לייצר מוסדות שכאלו שיפעלו לתיקון המצב. הם יגדירו שיווי משקל רצוי ואת הדרך להשיגו. מוסדות כאלו יסתכלו על העבר ויבחנו היכן יש בסיס יציב שעליו ניתן לבנות ומה מהווה קרקע רעועה ממנה יש להתרחק.</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עמודים 334 עד 338 מכילים הצעות להסדרת המצב הנוכחי שנוצר מהתנגשות מוסד הגלובליזציה במוסדות השונים. איל בוחר להדגיש שמונה נושאים ותחומים בהם יש לעסוק. ההמלצות נוגעות באופן ישיר למיסוד חוקים חדשים במוסדות קיימים או בארגון מוסדות חדשים. כלומר גם איל מבין שהדרך הנכונה היא דרך הסדרה מוסדית אבל אופן הניתוח שלו לא מאפשר לו להציג תובנות מעמיקות והוא נשאר עם סיסמאות.</w:t>
      </w:r>
    </w:p>
    <w:p w:rsidR="00722125" w:rsidRDefault="00722125" w:rsidP="00722125">
      <w:pPr>
        <w:pStyle w:val="1"/>
        <w:rPr>
          <w:rtl/>
        </w:rPr>
      </w:pPr>
      <w:r>
        <w:rPr>
          <w:rFonts w:hint="cs"/>
          <w:rtl/>
        </w:rPr>
        <w:t>סיכום</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עבודה זו עסקה ביכולת לנתח תפיסה פרדיגמטית בספר נתון, להתמודד עם ביקורת על הספר </w:t>
      </w:r>
      <w:r>
        <w:rPr>
          <w:rFonts w:ascii="David" w:hAnsi="David" w:cs="David"/>
          <w:sz w:val="28"/>
          <w:szCs w:val="28"/>
          <w:rtl/>
        </w:rPr>
        <w:t>–</w:t>
      </w:r>
      <w:r>
        <w:rPr>
          <w:rFonts w:ascii="David" w:hAnsi="David" w:cs="David" w:hint="cs"/>
          <w:sz w:val="28"/>
          <w:szCs w:val="28"/>
          <w:rtl/>
        </w:rPr>
        <w:t xml:space="preserve"> הן בתוכן והן בניתוח הפרדיגמה ולבסוף ביכולת להציע </w:t>
      </w:r>
      <w:proofErr w:type="spellStart"/>
      <w:r>
        <w:rPr>
          <w:rFonts w:ascii="David" w:hAnsi="David" w:cs="David" w:hint="cs"/>
          <w:sz w:val="28"/>
          <w:szCs w:val="28"/>
          <w:rtl/>
        </w:rPr>
        <w:t>פרידגמה</w:t>
      </w:r>
      <w:proofErr w:type="spellEnd"/>
      <w:r>
        <w:rPr>
          <w:rFonts w:ascii="David" w:hAnsi="David" w:cs="David" w:hint="cs"/>
          <w:sz w:val="28"/>
          <w:szCs w:val="28"/>
          <w:rtl/>
        </w:rPr>
        <w:t xml:space="preserve"> אחרת לאותו נושא.</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אני מוצא שהעבודה הובילה אותי להעמקה בעולם הפרדיגמות והגישות </w:t>
      </w:r>
      <w:r>
        <w:rPr>
          <w:rFonts w:ascii="David" w:hAnsi="David" w:cs="David"/>
          <w:sz w:val="28"/>
          <w:szCs w:val="28"/>
          <w:rtl/>
        </w:rPr>
        <w:t>–</w:t>
      </w:r>
      <w:r>
        <w:rPr>
          <w:rFonts w:ascii="David" w:hAnsi="David" w:cs="David" w:hint="cs"/>
          <w:sz w:val="28"/>
          <w:szCs w:val="28"/>
          <w:rtl/>
        </w:rPr>
        <w:t xml:space="preserve"> התוועדתי למאמרים רבים, ניתוחים וגישות. הבחירה בספר הזה מבין כלל האפשרויות שניתנו אינה מקרית. בתחילת השנה נדרשנו לבצע עבודה על הספר, רציתי לבדוק איזה שינוי חל בקריאתי את הספר לאחר לימוד עולם הפרדיגמות.</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 xml:space="preserve">לאורך העבודה מצאתי עצמי מתלבט באיזו </w:t>
      </w:r>
      <w:proofErr w:type="spellStart"/>
      <w:r>
        <w:rPr>
          <w:rFonts w:ascii="David" w:hAnsi="David" w:cs="David" w:hint="cs"/>
          <w:sz w:val="28"/>
          <w:szCs w:val="28"/>
          <w:rtl/>
        </w:rPr>
        <w:t>פרידגמה</w:t>
      </w:r>
      <w:proofErr w:type="spellEnd"/>
      <w:r>
        <w:rPr>
          <w:rFonts w:ascii="David" w:hAnsi="David" w:cs="David" w:hint="cs"/>
          <w:sz w:val="28"/>
          <w:szCs w:val="28"/>
          <w:rtl/>
        </w:rPr>
        <w:t xml:space="preserve"> בחר איל וזה הוביל אותי להסתכלות שונה על מוקדי כוח, הבנה חברתית וביקורתיות כלי מסריו של הכותב. חלק מהתובנות הינן שונות מאילו שהיו לי טרום הקורס.</w:t>
      </w:r>
    </w:p>
    <w:p w:rsidR="00722125" w:rsidRDefault="00722125" w:rsidP="00722125">
      <w:pPr>
        <w:spacing w:line="360" w:lineRule="auto"/>
        <w:jc w:val="both"/>
        <w:rPr>
          <w:rFonts w:ascii="David" w:hAnsi="David" w:cs="David"/>
          <w:sz w:val="28"/>
          <w:szCs w:val="28"/>
          <w:rtl/>
        </w:rPr>
      </w:pPr>
      <w:r>
        <w:rPr>
          <w:rFonts w:ascii="David" w:hAnsi="David" w:cs="David" w:hint="cs"/>
          <w:sz w:val="28"/>
          <w:szCs w:val="28"/>
          <w:rtl/>
        </w:rPr>
        <w:t>התובנות המרכזיות שלי הינן:</w:t>
      </w:r>
    </w:p>
    <w:p w:rsidR="00722125" w:rsidRDefault="00722125" w:rsidP="00722125">
      <w:pPr>
        <w:pStyle w:val="a8"/>
        <w:numPr>
          <w:ilvl w:val="0"/>
          <w:numId w:val="11"/>
        </w:numPr>
        <w:spacing w:before="100" w:after="200" w:line="360" w:lineRule="auto"/>
        <w:jc w:val="both"/>
        <w:rPr>
          <w:rFonts w:ascii="David" w:hAnsi="David" w:cs="David"/>
          <w:sz w:val="28"/>
          <w:szCs w:val="28"/>
        </w:rPr>
      </w:pPr>
      <w:r>
        <w:rPr>
          <w:rFonts w:ascii="David" w:hAnsi="David" w:cs="David" w:hint="cs"/>
          <w:sz w:val="28"/>
          <w:szCs w:val="28"/>
          <w:rtl/>
        </w:rPr>
        <w:t>התמודדות ביקורתית מול טענה חייבת להתבסס על ההבנה באיזה עולם מושגים ותפיסות מצוי האדם מולך.</w:t>
      </w:r>
    </w:p>
    <w:p w:rsidR="00722125" w:rsidRDefault="00722125" w:rsidP="00722125">
      <w:pPr>
        <w:pStyle w:val="a8"/>
        <w:numPr>
          <w:ilvl w:val="0"/>
          <w:numId w:val="11"/>
        </w:numPr>
        <w:spacing w:before="100" w:after="200" w:line="360" w:lineRule="auto"/>
        <w:jc w:val="both"/>
        <w:rPr>
          <w:rFonts w:ascii="David" w:hAnsi="David" w:cs="David"/>
          <w:sz w:val="28"/>
          <w:szCs w:val="28"/>
        </w:rPr>
      </w:pPr>
      <w:r>
        <w:rPr>
          <w:rFonts w:ascii="David" w:hAnsi="David" w:cs="David" w:hint="cs"/>
          <w:sz w:val="28"/>
          <w:szCs w:val="28"/>
          <w:rtl/>
        </w:rPr>
        <w:t>הבנה היסטורית של עיצוב תפיסות ותהליכים הינה קריטית להבנה נכונה של המסקנות אליהם הגיעו השחקנים באותה תקופה.</w:t>
      </w:r>
    </w:p>
    <w:p w:rsidR="00722125" w:rsidRDefault="00722125" w:rsidP="00722125">
      <w:pPr>
        <w:pStyle w:val="a8"/>
        <w:numPr>
          <w:ilvl w:val="0"/>
          <w:numId w:val="11"/>
        </w:numPr>
        <w:spacing w:before="100" w:after="200" w:line="360" w:lineRule="auto"/>
        <w:jc w:val="both"/>
        <w:rPr>
          <w:rFonts w:ascii="David" w:hAnsi="David" w:cs="David"/>
          <w:sz w:val="28"/>
          <w:szCs w:val="28"/>
        </w:rPr>
      </w:pPr>
      <w:r>
        <w:rPr>
          <w:rFonts w:ascii="David" w:hAnsi="David" w:cs="David" w:hint="cs"/>
          <w:sz w:val="28"/>
          <w:szCs w:val="28"/>
          <w:rtl/>
        </w:rPr>
        <w:t xml:space="preserve">גלובליזציה אינה </w:t>
      </w:r>
      <w:proofErr w:type="spellStart"/>
      <w:r w:rsidR="00D168D8">
        <w:rPr>
          <w:rFonts w:ascii="David" w:hAnsi="David" w:cs="David" w:hint="cs"/>
          <w:sz w:val="28"/>
          <w:szCs w:val="28"/>
          <w:rtl/>
        </w:rPr>
        <w:t>מונוליט</w:t>
      </w:r>
      <w:proofErr w:type="spellEnd"/>
      <w:r>
        <w:rPr>
          <w:rFonts w:ascii="David" w:hAnsi="David" w:cs="David" w:hint="cs"/>
          <w:sz w:val="28"/>
          <w:szCs w:val="28"/>
          <w:rtl/>
        </w:rPr>
        <w:t xml:space="preserve"> טוב או רע אלא </w:t>
      </w:r>
      <w:r w:rsidR="00D168D8">
        <w:rPr>
          <w:rFonts w:ascii="David" w:hAnsi="David" w:cs="David" w:hint="cs"/>
          <w:sz w:val="28"/>
          <w:szCs w:val="28"/>
          <w:rtl/>
        </w:rPr>
        <w:t>מצבור סוגיות בעלי היבט שונה</w:t>
      </w:r>
      <w:r>
        <w:rPr>
          <w:rFonts w:ascii="David" w:hAnsi="David" w:cs="David" w:hint="cs"/>
          <w:sz w:val="28"/>
          <w:szCs w:val="28"/>
          <w:rtl/>
        </w:rPr>
        <w:t>. אופן המימוש שלהם יקבע את התוצאות המוסריות.</w:t>
      </w:r>
    </w:p>
    <w:sdt>
      <w:sdtPr>
        <w:rPr>
          <w:rFonts w:asciiTheme="minorHAnsi" w:eastAsiaTheme="minorEastAsia" w:hAnsiTheme="minorHAnsi" w:cstheme="minorBidi"/>
          <w:color w:val="auto"/>
          <w:sz w:val="21"/>
          <w:szCs w:val="21"/>
          <w:rtl/>
          <w:lang w:val="he-IL"/>
        </w:rPr>
        <w:id w:val="-117763121"/>
        <w:docPartObj>
          <w:docPartGallery w:val="Bibliographies"/>
          <w:docPartUnique/>
        </w:docPartObj>
      </w:sdtPr>
      <w:sdtEndPr>
        <w:rPr>
          <w:rtl w:val="0"/>
          <w:lang w:val="en-US"/>
        </w:rPr>
      </w:sdtEndPr>
      <w:sdtContent>
        <w:p w:rsidR="00722125" w:rsidRDefault="00722125">
          <w:pPr>
            <w:pStyle w:val="1"/>
          </w:pPr>
          <w:r>
            <w:rPr>
              <w:rtl/>
              <w:lang w:val="he-IL"/>
            </w:rPr>
            <w:t>ביבליוגרפיה</w:t>
          </w:r>
        </w:p>
        <w:sdt>
          <w:sdtPr>
            <w:id w:val="111145805"/>
            <w:bibliography/>
          </w:sdtPr>
          <w:sdtEndPr/>
          <w:sdtContent>
            <w:p w:rsidR="00D168D8" w:rsidRDefault="00722125" w:rsidP="00D168D8">
              <w:pPr>
                <w:pStyle w:val="aff0"/>
                <w:bidi w:val="0"/>
                <w:ind w:left="720" w:hanging="720"/>
                <w:jc w:val="right"/>
                <w:rPr>
                  <w:noProof/>
                  <w:sz w:val="24"/>
                  <w:szCs w:val="24"/>
                </w:rPr>
              </w:pPr>
              <w:r>
                <w:fldChar w:fldCharType="begin"/>
              </w:r>
              <w:r>
                <w:instrText>BIBLIOGRAPHY</w:instrText>
              </w:r>
              <w:r>
                <w:fldChar w:fldCharType="separate"/>
              </w:r>
              <w:r w:rsidR="00D168D8">
                <w:rPr>
                  <w:rFonts w:hint="cs"/>
                  <w:noProof/>
                </w:rPr>
                <w:t>Fioretos, O</w:t>
              </w:r>
              <w:r w:rsidR="00D168D8">
                <w:rPr>
                  <w:rFonts w:hint="cs"/>
                  <w:noProof/>
                  <w:rtl/>
                </w:rPr>
                <w:t>'. (</w:t>
              </w:r>
              <w:r w:rsidR="00D168D8">
                <w:rPr>
                  <w:rFonts w:hint="cs"/>
                  <w:noProof/>
                </w:rPr>
                <w:t>spring 2011</w:t>
              </w:r>
              <w:r w:rsidR="00D168D8">
                <w:rPr>
                  <w:rFonts w:hint="cs"/>
                  <w:noProof/>
                  <w:rtl/>
                </w:rPr>
                <w:t xml:space="preserve">). </w:t>
              </w:r>
              <w:r w:rsidR="00D168D8">
                <w:rPr>
                  <w:rFonts w:hint="cs"/>
                  <w:noProof/>
                </w:rPr>
                <w:t>Historical Institutionalism in International relations</w:t>
              </w:r>
              <w:r w:rsidR="00D168D8">
                <w:rPr>
                  <w:rFonts w:hint="cs"/>
                  <w:noProof/>
                  <w:rtl/>
                </w:rPr>
                <w:t xml:space="preserve">. </w:t>
              </w:r>
              <w:r w:rsidR="00D168D8">
                <w:rPr>
                  <w:rFonts w:hint="cs"/>
                  <w:i/>
                  <w:iCs/>
                  <w:noProof/>
                </w:rPr>
                <w:t>International organizations</w:t>
              </w:r>
              <w:r w:rsidR="00D168D8">
                <w:rPr>
                  <w:rFonts w:hint="cs"/>
                  <w:noProof/>
                  <w:rtl/>
                </w:rPr>
                <w:t>(65), 367-399.</w:t>
              </w:r>
            </w:p>
            <w:p w:rsidR="00D168D8" w:rsidRDefault="00D168D8" w:rsidP="00D168D8">
              <w:pPr>
                <w:pStyle w:val="aff0"/>
                <w:bidi w:val="0"/>
                <w:ind w:left="720" w:hanging="720"/>
                <w:rPr>
                  <w:rFonts w:hint="cs"/>
                  <w:noProof/>
                  <w:rtl/>
                </w:rPr>
              </w:pPr>
              <w:r>
                <w:rPr>
                  <w:rFonts w:hint="cs"/>
                  <w:noProof/>
                </w:rPr>
                <w:t>Held, D', McGrew, A', Goldblatt, D</w:t>
              </w:r>
              <w:r>
                <w:rPr>
                  <w:rFonts w:hint="cs"/>
                  <w:noProof/>
                  <w:rtl/>
                </w:rPr>
                <w:t xml:space="preserve">', &amp; </w:t>
              </w:r>
              <w:r>
                <w:rPr>
                  <w:rFonts w:hint="cs"/>
                  <w:noProof/>
                </w:rPr>
                <w:t>Perraton, J</w:t>
              </w:r>
              <w:r>
                <w:rPr>
                  <w:rFonts w:hint="cs"/>
                  <w:noProof/>
                  <w:rtl/>
                </w:rPr>
                <w:t>'. (</w:t>
              </w:r>
              <w:r>
                <w:rPr>
                  <w:rFonts w:hint="cs"/>
                  <w:noProof/>
                </w:rPr>
                <w:t>october-december 1999</w:t>
              </w:r>
              <w:r>
                <w:rPr>
                  <w:rFonts w:hint="cs"/>
                  <w:noProof/>
                  <w:rtl/>
                </w:rPr>
                <w:t xml:space="preserve">). </w:t>
              </w:r>
              <w:r>
                <w:rPr>
                  <w:rFonts w:hint="cs"/>
                  <w:noProof/>
                </w:rPr>
                <w:t>globalization</w:t>
              </w:r>
              <w:r>
                <w:rPr>
                  <w:rFonts w:hint="cs"/>
                  <w:noProof/>
                  <w:rtl/>
                </w:rPr>
                <w:t xml:space="preserve">. </w:t>
              </w:r>
              <w:r>
                <w:rPr>
                  <w:rFonts w:hint="cs"/>
                  <w:i/>
                  <w:iCs/>
                  <w:noProof/>
                </w:rPr>
                <w:t>Global Governance</w:t>
              </w:r>
              <w:r>
                <w:rPr>
                  <w:rFonts w:hint="cs"/>
                  <w:noProof/>
                  <w:rtl/>
                </w:rPr>
                <w:t>, עמ' 483-496.</w:t>
              </w:r>
            </w:p>
            <w:p w:rsidR="00D168D8" w:rsidRDefault="00D168D8" w:rsidP="00D168D8">
              <w:pPr>
                <w:pStyle w:val="aff0"/>
                <w:bidi w:val="0"/>
                <w:ind w:left="720" w:hanging="720"/>
                <w:rPr>
                  <w:rFonts w:hint="cs"/>
                  <w:noProof/>
                  <w:rtl/>
                </w:rPr>
              </w:pPr>
              <w:r>
                <w:rPr>
                  <w:rFonts w:hint="cs"/>
                  <w:noProof/>
                </w:rPr>
                <w:t>Lowndes, V</w:t>
              </w:r>
              <w:r>
                <w:rPr>
                  <w:rFonts w:hint="cs"/>
                  <w:noProof/>
                  <w:rtl/>
                </w:rPr>
                <w:t xml:space="preserve">'. (2009). </w:t>
              </w:r>
              <w:r>
                <w:rPr>
                  <w:rFonts w:hint="cs"/>
                  <w:noProof/>
                </w:rPr>
                <w:t>New Institutionalism and Urban Politics</w:t>
              </w:r>
              <w:r>
                <w:rPr>
                  <w:rFonts w:hint="cs"/>
                  <w:noProof/>
                  <w:rtl/>
                </w:rPr>
                <w:t xml:space="preserve">. ב- </w:t>
              </w:r>
              <w:r>
                <w:rPr>
                  <w:rFonts w:hint="cs"/>
                  <w:noProof/>
                </w:rPr>
                <w:t>J' s' Davis</w:t>
              </w:r>
              <w:r>
                <w:rPr>
                  <w:rFonts w:hint="cs"/>
                  <w:noProof/>
                  <w:rtl/>
                </w:rPr>
                <w:t xml:space="preserve">, &amp; </w:t>
              </w:r>
              <w:r>
                <w:rPr>
                  <w:rFonts w:hint="cs"/>
                  <w:noProof/>
                </w:rPr>
                <w:t>D' L' Imbroscio</w:t>
              </w:r>
              <w:r>
                <w:rPr>
                  <w:rFonts w:hint="cs"/>
                  <w:noProof/>
                  <w:rtl/>
                </w:rPr>
                <w:t xml:space="preserve">, </w:t>
              </w:r>
              <w:r>
                <w:rPr>
                  <w:rFonts w:hint="cs"/>
                  <w:i/>
                  <w:iCs/>
                  <w:noProof/>
                </w:rPr>
                <w:t>Theories of Urban Politics</w:t>
              </w:r>
              <w:r>
                <w:rPr>
                  <w:rFonts w:hint="cs"/>
                  <w:noProof/>
                  <w:rtl/>
                </w:rPr>
                <w:t xml:space="preserve"> (עמ' 91-105). </w:t>
              </w:r>
              <w:r>
                <w:rPr>
                  <w:rFonts w:hint="cs"/>
                  <w:noProof/>
                </w:rPr>
                <w:t>Los Angeles: Sage</w:t>
              </w:r>
              <w:r>
                <w:rPr>
                  <w:rFonts w:hint="cs"/>
                  <w:noProof/>
                  <w:rtl/>
                </w:rPr>
                <w:t>.</w:t>
              </w:r>
            </w:p>
            <w:p w:rsidR="00D168D8" w:rsidRDefault="00D168D8" w:rsidP="00D168D8">
              <w:pPr>
                <w:pStyle w:val="aff0"/>
                <w:bidi w:val="0"/>
                <w:ind w:left="720" w:hanging="720"/>
                <w:rPr>
                  <w:rFonts w:hint="cs"/>
                  <w:noProof/>
                  <w:rtl/>
                </w:rPr>
              </w:pPr>
              <w:r>
                <w:rPr>
                  <w:rFonts w:hint="cs"/>
                  <w:noProof/>
                </w:rPr>
                <w:t>McFarland, A</w:t>
              </w:r>
              <w:r>
                <w:rPr>
                  <w:rFonts w:hint="cs"/>
                  <w:noProof/>
                  <w:rtl/>
                </w:rPr>
                <w:t xml:space="preserve">'. (15 </w:t>
              </w:r>
              <w:r>
                <w:rPr>
                  <w:rFonts w:hint="cs"/>
                  <w:noProof/>
                </w:rPr>
                <w:t>june 2007</w:t>
              </w:r>
              <w:r>
                <w:rPr>
                  <w:rFonts w:hint="cs"/>
                  <w:noProof/>
                  <w:rtl/>
                </w:rPr>
                <w:t xml:space="preserve">). </w:t>
              </w:r>
              <w:r>
                <w:rPr>
                  <w:rFonts w:hint="cs"/>
                  <w:noProof/>
                </w:rPr>
                <w:t>Neopluralism</w:t>
              </w:r>
              <w:r>
                <w:rPr>
                  <w:rFonts w:hint="cs"/>
                  <w:noProof/>
                  <w:rtl/>
                </w:rPr>
                <w:t xml:space="preserve">. </w:t>
              </w:r>
              <w:r>
                <w:rPr>
                  <w:rFonts w:hint="cs"/>
                  <w:i/>
                  <w:iCs/>
                  <w:noProof/>
                </w:rPr>
                <w:t>Annual Review of political science</w:t>
              </w:r>
              <w:r>
                <w:rPr>
                  <w:rFonts w:hint="cs"/>
                  <w:noProof/>
                  <w:rtl/>
                </w:rPr>
                <w:t>(10), 45-66.</w:t>
              </w:r>
            </w:p>
            <w:p w:rsidR="00D168D8" w:rsidRDefault="00D168D8" w:rsidP="00D168D8">
              <w:pPr>
                <w:pStyle w:val="aff0"/>
                <w:bidi w:val="0"/>
                <w:ind w:left="720" w:hanging="720"/>
                <w:rPr>
                  <w:rFonts w:hint="cs"/>
                  <w:noProof/>
                  <w:rtl/>
                </w:rPr>
              </w:pPr>
              <w:r>
                <w:rPr>
                  <w:rFonts w:hint="cs"/>
                  <w:noProof/>
                </w:rPr>
                <w:t>McGrew, A</w:t>
              </w:r>
              <w:r>
                <w:rPr>
                  <w:rFonts w:hint="cs"/>
                  <w:noProof/>
                  <w:rtl/>
                </w:rPr>
                <w:t xml:space="preserve">'. (2007). </w:t>
              </w:r>
              <w:r>
                <w:rPr>
                  <w:rFonts w:hint="cs"/>
                  <w:noProof/>
                </w:rPr>
                <w:t>Globalization in hard times: Contention in the academy and beyond</w:t>
              </w:r>
              <w:r>
                <w:rPr>
                  <w:rFonts w:hint="cs"/>
                  <w:noProof/>
                  <w:rtl/>
                </w:rPr>
                <w:t xml:space="preserve">. ב- </w:t>
              </w:r>
              <w:r>
                <w:rPr>
                  <w:rFonts w:hint="cs"/>
                  <w:noProof/>
                </w:rPr>
                <w:t>G' Ritzer</w:t>
              </w:r>
              <w:r>
                <w:rPr>
                  <w:rFonts w:hint="cs"/>
                  <w:noProof/>
                  <w:rtl/>
                </w:rPr>
                <w:t xml:space="preserve">, </w:t>
              </w:r>
              <w:r>
                <w:rPr>
                  <w:rFonts w:hint="cs"/>
                  <w:i/>
                  <w:iCs/>
                  <w:noProof/>
                </w:rPr>
                <w:t>The Blackwell Companion to Globalization</w:t>
              </w:r>
              <w:r>
                <w:rPr>
                  <w:rFonts w:hint="cs"/>
                  <w:noProof/>
                  <w:rtl/>
                </w:rPr>
                <w:t xml:space="preserve"> (עמ' 29-53). </w:t>
              </w:r>
              <w:r>
                <w:rPr>
                  <w:rFonts w:hint="cs"/>
                  <w:noProof/>
                </w:rPr>
                <w:t>blackwell publishing</w:t>
              </w:r>
              <w:r>
                <w:rPr>
                  <w:rFonts w:hint="cs"/>
                  <w:noProof/>
                  <w:rtl/>
                </w:rPr>
                <w:t>.</w:t>
              </w:r>
            </w:p>
            <w:p w:rsidR="00D168D8" w:rsidRDefault="00D168D8" w:rsidP="00D168D8">
              <w:pPr>
                <w:pStyle w:val="aff0"/>
                <w:bidi w:val="0"/>
                <w:ind w:left="720" w:hanging="720"/>
                <w:rPr>
                  <w:rFonts w:hint="cs"/>
                  <w:noProof/>
                  <w:rtl/>
                </w:rPr>
              </w:pPr>
              <w:r>
                <w:rPr>
                  <w:rFonts w:hint="cs"/>
                  <w:noProof/>
                </w:rPr>
                <w:t>Robertson, R</w:t>
              </w:r>
              <w:r>
                <w:rPr>
                  <w:rFonts w:hint="cs"/>
                  <w:noProof/>
                  <w:rtl/>
                </w:rPr>
                <w:t xml:space="preserve">', &amp; </w:t>
              </w:r>
              <w:r>
                <w:rPr>
                  <w:rFonts w:hint="cs"/>
                  <w:noProof/>
                </w:rPr>
                <w:t>White, K' E</w:t>
              </w:r>
              <w:r>
                <w:rPr>
                  <w:rFonts w:hint="cs"/>
                  <w:noProof/>
                  <w:rtl/>
                </w:rPr>
                <w:t xml:space="preserve">'. (2007). </w:t>
              </w:r>
              <w:r>
                <w:rPr>
                  <w:rFonts w:hint="cs"/>
                  <w:noProof/>
                </w:rPr>
                <w:t>what is globalization</w:t>
              </w:r>
              <w:r>
                <w:rPr>
                  <w:rFonts w:hint="cs"/>
                  <w:noProof/>
                  <w:rtl/>
                </w:rPr>
                <w:t xml:space="preserve">. ב- </w:t>
              </w:r>
              <w:r>
                <w:rPr>
                  <w:rFonts w:hint="cs"/>
                  <w:noProof/>
                </w:rPr>
                <w:t>G' Ritzer</w:t>
              </w:r>
              <w:r>
                <w:rPr>
                  <w:rFonts w:hint="cs"/>
                  <w:noProof/>
                  <w:rtl/>
                </w:rPr>
                <w:t xml:space="preserve">, </w:t>
              </w:r>
              <w:r>
                <w:rPr>
                  <w:rFonts w:hint="cs"/>
                  <w:i/>
                  <w:iCs/>
                  <w:noProof/>
                </w:rPr>
                <w:t>The blackwell companion to Globalization</w:t>
              </w:r>
              <w:r>
                <w:rPr>
                  <w:rFonts w:hint="cs"/>
                  <w:noProof/>
                  <w:rtl/>
                </w:rPr>
                <w:t xml:space="preserve"> (עמ' 54-66). </w:t>
              </w:r>
              <w:r>
                <w:rPr>
                  <w:rFonts w:hint="cs"/>
                  <w:noProof/>
                </w:rPr>
                <w:t>The blackwell publishing</w:t>
              </w:r>
              <w:r>
                <w:rPr>
                  <w:rFonts w:hint="cs"/>
                  <w:noProof/>
                  <w:rtl/>
                </w:rPr>
                <w:t>.</w:t>
              </w:r>
            </w:p>
            <w:p w:rsidR="00D168D8" w:rsidRDefault="00D168D8" w:rsidP="00D168D8">
              <w:pPr>
                <w:pStyle w:val="aff0"/>
                <w:bidi w:val="0"/>
                <w:ind w:left="720" w:hanging="720"/>
                <w:rPr>
                  <w:rFonts w:hint="cs"/>
                  <w:noProof/>
                  <w:rtl/>
                </w:rPr>
              </w:pPr>
              <w:r>
                <w:rPr>
                  <w:noProof/>
                </w:rPr>
                <w:t xml:space="preserve">Scholte, J. A. (2005). </w:t>
              </w:r>
              <w:r>
                <w:rPr>
                  <w:i/>
                  <w:iCs/>
                  <w:noProof/>
                </w:rPr>
                <w:t>Globalization A critical introduction</w:t>
              </w:r>
              <w:r>
                <w:rPr>
                  <w:noProof/>
                </w:rPr>
                <w:t xml:space="preserve"> (second ed.). london: Red globe press.</w:t>
              </w:r>
            </w:p>
            <w:p w:rsidR="00D168D8" w:rsidRDefault="00D168D8" w:rsidP="00D168D8">
              <w:pPr>
                <w:pStyle w:val="aff0"/>
                <w:bidi w:val="0"/>
                <w:ind w:left="720" w:hanging="720"/>
                <w:rPr>
                  <w:noProof/>
                </w:rPr>
              </w:pPr>
              <w:r>
                <w:rPr>
                  <w:rFonts w:hint="cs"/>
                  <w:noProof/>
                </w:rPr>
                <w:t>Van Der Bly, M' C</w:t>
              </w:r>
              <w:r>
                <w:rPr>
                  <w:rFonts w:hint="cs"/>
                  <w:noProof/>
                  <w:rtl/>
                </w:rPr>
                <w:t xml:space="preserve">'. (1 </w:t>
              </w:r>
              <w:r>
                <w:rPr>
                  <w:rFonts w:hint="cs"/>
                  <w:noProof/>
                </w:rPr>
                <w:t>November 2005</w:t>
              </w:r>
              <w:r>
                <w:rPr>
                  <w:rFonts w:hint="cs"/>
                  <w:noProof/>
                  <w:rtl/>
                </w:rPr>
                <w:t xml:space="preserve">). </w:t>
              </w:r>
              <w:r>
                <w:rPr>
                  <w:rFonts w:hint="cs"/>
                  <w:noProof/>
                </w:rPr>
                <w:t>globalization: A triumph of Ambiguity</w:t>
              </w:r>
              <w:r>
                <w:rPr>
                  <w:rFonts w:hint="cs"/>
                  <w:noProof/>
                  <w:rtl/>
                </w:rPr>
                <w:t xml:space="preserve">. </w:t>
              </w:r>
              <w:r>
                <w:rPr>
                  <w:rFonts w:hint="cs"/>
                  <w:i/>
                  <w:iCs/>
                  <w:noProof/>
                </w:rPr>
                <w:t>Current Sociology</w:t>
              </w:r>
              <w:r>
                <w:rPr>
                  <w:rFonts w:hint="cs"/>
                  <w:noProof/>
                  <w:rtl/>
                </w:rPr>
                <w:t>, עמ' 875-893.</w:t>
              </w:r>
            </w:p>
            <w:p w:rsidR="00D168D8" w:rsidRDefault="00D168D8" w:rsidP="00D168D8">
              <w:pPr>
                <w:pStyle w:val="aff0"/>
                <w:bidi w:val="0"/>
                <w:ind w:left="720" w:hanging="720"/>
                <w:jc w:val="right"/>
                <w:rPr>
                  <w:rFonts w:hint="cs"/>
                  <w:noProof/>
                  <w:rtl/>
                </w:rPr>
              </w:pPr>
              <w:r>
                <w:rPr>
                  <w:rFonts w:hint="cs"/>
                  <w:noProof/>
                  <w:rtl/>
                </w:rPr>
                <w:t xml:space="preserve">גוטוויין, ד'. (25 יולי 2018). </w:t>
              </w:r>
              <w:r>
                <w:rPr>
                  <w:rFonts w:hint="cs"/>
                  <w:i/>
                  <w:iCs/>
                  <w:noProof/>
                  <w:rtl/>
                </w:rPr>
                <w:t>"המרד נגד הגלובליזציה": כך קולע נדב איל לטעמו של מעמד הביניים הישראלי</w:t>
              </w:r>
              <w:r>
                <w:rPr>
                  <w:rFonts w:hint="cs"/>
                  <w:noProof/>
                  <w:rtl/>
                </w:rPr>
                <w:t xml:space="preserve">. אוחזר ב- 15 נובמבר 2019, מתוך הארץ: </w:t>
              </w:r>
              <w:r>
                <w:rPr>
                  <w:rFonts w:hint="cs"/>
                  <w:noProof/>
                </w:rPr>
                <w:t>https://www.haaretz.co.il/literature/study/.premium-REVIEW-1.6311533</w:t>
              </w:r>
            </w:p>
            <w:p w:rsidR="00D168D8" w:rsidRDefault="00D168D8" w:rsidP="00D168D8">
              <w:pPr>
                <w:pStyle w:val="aff0"/>
                <w:bidi w:val="0"/>
                <w:ind w:left="720" w:hanging="720"/>
                <w:jc w:val="right"/>
                <w:rPr>
                  <w:rFonts w:hint="cs"/>
                  <w:noProof/>
                  <w:rtl/>
                </w:rPr>
              </w:pPr>
              <w:r>
                <w:rPr>
                  <w:rFonts w:hint="cs"/>
                  <w:noProof/>
                  <w:rtl/>
                </w:rPr>
                <w:t xml:space="preserve">יהב, ד'. (15 דצמבר 2018). </w:t>
              </w:r>
              <w:r>
                <w:rPr>
                  <w:rFonts w:hint="cs"/>
                  <w:i/>
                  <w:iCs/>
                  <w:noProof/>
                  <w:rtl/>
                </w:rPr>
                <w:t>על ספרו של נדב איל 'המרד נגד הגלובליזציה': מהפך, מהפכה או מפץ?</w:t>
              </w:r>
              <w:r>
                <w:rPr>
                  <w:rFonts w:hint="cs"/>
                  <w:noProof/>
                  <w:rtl/>
                </w:rPr>
                <w:t xml:space="preserve"> אוחזר ב- 19 נובמבר 2019, מתוך המפלגה הקומוניסטית הישראלית: </w:t>
              </w:r>
              <w:r>
                <w:rPr>
                  <w:rFonts w:hint="cs"/>
                  <w:noProof/>
                </w:rPr>
                <w:t>http://maki.org.il/%D7%A2%D7%9C-%D7%A1%D7%A4%D7%A8%D7%95-%D7%A9%D7%9C-%D7%A0%D7%93%D7%91-%D7%90%D7%99%D7%9C-%D7%94%D7%9E%D7%A8%D7%93-%D7%A0%D7%92%D7%93-%D7%94%D7%92%D7%9C%D7%95%D7%91%D7%9C%D7%99%D7%96%D7%A6%D7%99</w:t>
              </w:r>
              <w:r>
                <w:rPr>
                  <w:rFonts w:hint="cs"/>
                  <w:noProof/>
                  <w:rtl/>
                </w:rPr>
                <w:t>/</w:t>
              </w:r>
            </w:p>
            <w:p w:rsidR="00722125" w:rsidRDefault="00722125" w:rsidP="00D168D8">
              <w:pPr>
                <w:bidi w:val="0"/>
                <w:jc w:val="right"/>
              </w:pPr>
              <w:r>
                <w:rPr>
                  <w:b/>
                  <w:bCs/>
                </w:rPr>
                <w:fldChar w:fldCharType="end"/>
              </w:r>
            </w:p>
          </w:sdtContent>
        </w:sdt>
      </w:sdtContent>
    </w:sdt>
    <w:p w:rsidR="00722125" w:rsidRPr="00722125" w:rsidRDefault="00722125" w:rsidP="006A6E01">
      <w:pPr>
        <w:pStyle w:val="a8"/>
        <w:ind w:left="1080"/>
        <w:rPr>
          <w:sz w:val="36"/>
          <w:szCs w:val="36"/>
          <w:rtl/>
        </w:rPr>
      </w:pPr>
    </w:p>
    <w:sectPr w:rsidR="00722125" w:rsidRPr="00722125" w:rsidSect="00110135">
      <w:headerReference w:type="default" r:id="rId9"/>
      <w:footerReference w:type="default" r:id="rId10"/>
      <w:pgSz w:w="11906" w:h="16838"/>
      <w:pgMar w:top="1440" w:right="1800" w:bottom="1440" w:left="1800" w:header="708" w:footer="708" w:gutter="0"/>
      <w:pgNumType w:fmt="numberInDash"/>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DB7" w:rsidRDefault="00A76DB7" w:rsidP="00202DE6">
      <w:pPr>
        <w:spacing w:after="0" w:line="240" w:lineRule="auto"/>
      </w:pPr>
      <w:r>
        <w:separator/>
      </w:r>
    </w:p>
  </w:endnote>
  <w:endnote w:type="continuationSeparator" w:id="0">
    <w:p w:rsidR="00A76DB7" w:rsidRDefault="00A76DB7" w:rsidP="0020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53367611"/>
      <w:docPartObj>
        <w:docPartGallery w:val="Page Numbers (Bottom of Page)"/>
        <w:docPartUnique/>
      </w:docPartObj>
    </w:sdtPr>
    <w:sdtEndPr/>
    <w:sdtContent>
      <w:p w:rsidR="00110135" w:rsidRDefault="00110135">
        <w:pPr>
          <w:pStyle w:val="afe"/>
          <w:jc w:val="center"/>
        </w:pPr>
        <w:r>
          <w:fldChar w:fldCharType="begin"/>
        </w:r>
        <w:r>
          <w:instrText>PAGE   \* MERGEFORMAT</w:instrText>
        </w:r>
        <w:r>
          <w:fldChar w:fldCharType="separate"/>
        </w:r>
        <w:r>
          <w:rPr>
            <w:rtl/>
            <w:lang w:val="he-IL"/>
          </w:rPr>
          <w:t>2</w:t>
        </w:r>
        <w:r>
          <w:fldChar w:fldCharType="end"/>
        </w:r>
      </w:p>
    </w:sdtContent>
  </w:sdt>
  <w:p w:rsidR="000A513C" w:rsidRDefault="000A513C">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DB7" w:rsidRDefault="00A76DB7" w:rsidP="00202DE6">
      <w:pPr>
        <w:spacing w:after="0" w:line="240" w:lineRule="auto"/>
      </w:pPr>
      <w:r>
        <w:separator/>
      </w:r>
    </w:p>
  </w:footnote>
  <w:footnote w:type="continuationSeparator" w:id="0">
    <w:p w:rsidR="00A76DB7" w:rsidRDefault="00A76DB7" w:rsidP="00202DE6">
      <w:pPr>
        <w:spacing w:after="0" w:line="240" w:lineRule="auto"/>
      </w:pPr>
      <w:r>
        <w:continuationSeparator/>
      </w:r>
    </w:p>
  </w:footnote>
  <w:footnote w:id="1">
    <w:p w:rsidR="00722125" w:rsidRDefault="00722125" w:rsidP="00722125">
      <w:pPr>
        <w:pStyle w:val="af9"/>
      </w:pPr>
      <w:r>
        <w:rPr>
          <w:rStyle w:val="afb"/>
        </w:rPr>
        <w:footnoteRef/>
      </w:r>
      <w:r>
        <w:rPr>
          <w:rtl/>
        </w:rPr>
        <w:t xml:space="preserve"> </w:t>
      </w:r>
      <w:r>
        <w:rPr>
          <w:rFonts w:hint="cs"/>
          <w:rtl/>
        </w:rPr>
        <w:t>עמוד 320 פסקה אחרונה ועמוד 321 פסקה ראשונה</w:t>
      </w:r>
    </w:p>
  </w:footnote>
  <w:footnote w:id="2">
    <w:p w:rsidR="00722125" w:rsidRDefault="00722125" w:rsidP="00722125">
      <w:pPr>
        <w:pStyle w:val="af9"/>
        <w:rPr>
          <w:rtl/>
        </w:rPr>
      </w:pPr>
      <w:r>
        <w:rPr>
          <w:rStyle w:val="afb"/>
        </w:rPr>
        <w:footnoteRef/>
      </w:r>
      <w:r>
        <w:rPr>
          <w:rtl/>
        </w:rPr>
        <w:t xml:space="preserve"> </w:t>
      </w:r>
      <w:hyperlink r:id="rId1" w:history="1">
        <w:r>
          <w:rPr>
            <w:rStyle w:val="Hyperlink"/>
          </w:rPr>
          <w:t>https://www.haaretz.co.il/literature/study/.premium-REVIEW-1.6311533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A27" w:rsidRDefault="004B5A27">
    <w:pPr>
      <w:pStyle w:val="afc"/>
    </w:pPr>
  </w:p>
  <w:p w:rsidR="000A513C" w:rsidRDefault="000A513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0931"/>
    <w:multiLevelType w:val="hybridMultilevel"/>
    <w:tmpl w:val="388E2662"/>
    <w:lvl w:ilvl="0" w:tplc="D78CD8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64089"/>
    <w:multiLevelType w:val="hybridMultilevel"/>
    <w:tmpl w:val="97F07DB0"/>
    <w:lvl w:ilvl="0" w:tplc="1144B3C8">
      <w:start w:val="1"/>
      <w:numFmt w:val="decimal"/>
      <w:lvlText w:val="(%1)"/>
      <w:lvlJc w:val="left"/>
      <w:pPr>
        <w:ind w:left="1080" w:hanging="720"/>
      </w:pPr>
      <w:rPr>
        <w:rFonts w:hint="default"/>
        <w:color w:val="0000FF"/>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C08A3"/>
    <w:multiLevelType w:val="hybridMultilevel"/>
    <w:tmpl w:val="863E7B22"/>
    <w:lvl w:ilvl="0" w:tplc="EFA89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57538"/>
    <w:multiLevelType w:val="hybridMultilevel"/>
    <w:tmpl w:val="3026A66E"/>
    <w:lvl w:ilvl="0" w:tplc="0DD4CB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A3094"/>
    <w:multiLevelType w:val="hybridMultilevel"/>
    <w:tmpl w:val="B2AA9EA6"/>
    <w:lvl w:ilvl="0" w:tplc="08FC2E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3104C"/>
    <w:multiLevelType w:val="hybridMultilevel"/>
    <w:tmpl w:val="86586850"/>
    <w:lvl w:ilvl="0" w:tplc="C542EC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44C69"/>
    <w:multiLevelType w:val="hybridMultilevel"/>
    <w:tmpl w:val="F40AE29C"/>
    <w:lvl w:ilvl="0" w:tplc="91CCE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66B4C"/>
    <w:multiLevelType w:val="hybridMultilevel"/>
    <w:tmpl w:val="72106D52"/>
    <w:lvl w:ilvl="0" w:tplc="A40E21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45963"/>
    <w:multiLevelType w:val="hybridMultilevel"/>
    <w:tmpl w:val="CF6ACE8C"/>
    <w:lvl w:ilvl="0" w:tplc="56903990">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D21D6"/>
    <w:multiLevelType w:val="hybridMultilevel"/>
    <w:tmpl w:val="EFEE2DE6"/>
    <w:lvl w:ilvl="0" w:tplc="4E5CA658">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174CC6"/>
    <w:multiLevelType w:val="hybridMultilevel"/>
    <w:tmpl w:val="EE4222CC"/>
    <w:lvl w:ilvl="0" w:tplc="7C263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8"/>
  </w:num>
  <w:num w:numId="6">
    <w:abstractNumId w:val="5"/>
  </w:num>
  <w:num w:numId="7">
    <w:abstractNumId w:val="9"/>
  </w:num>
  <w:num w:numId="8">
    <w:abstractNumId w:val="0"/>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CB"/>
    <w:rsid w:val="00011A3C"/>
    <w:rsid w:val="00091843"/>
    <w:rsid w:val="000A4D8D"/>
    <w:rsid w:val="000A513C"/>
    <w:rsid w:val="00102440"/>
    <w:rsid w:val="00110135"/>
    <w:rsid w:val="001131F1"/>
    <w:rsid w:val="00117F60"/>
    <w:rsid w:val="00135ED1"/>
    <w:rsid w:val="00177C34"/>
    <w:rsid w:val="001871A9"/>
    <w:rsid w:val="001A4EE4"/>
    <w:rsid w:val="001E5F4E"/>
    <w:rsid w:val="00202DE6"/>
    <w:rsid w:val="002B24C5"/>
    <w:rsid w:val="002B72DE"/>
    <w:rsid w:val="00347B1D"/>
    <w:rsid w:val="00373336"/>
    <w:rsid w:val="003D7C9E"/>
    <w:rsid w:val="003E6321"/>
    <w:rsid w:val="00441EE6"/>
    <w:rsid w:val="004B3003"/>
    <w:rsid w:val="004B476A"/>
    <w:rsid w:val="004B5A27"/>
    <w:rsid w:val="00605109"/>
    <w:rsid w:val="006127B2"/>
    <w:rsid w:val="006350A6"/>
    <w:rsid w:val="006956DA"/>
    <w:rsid w:val="006A6E01"/>
    <w:rsid w:val="006B5581"/>
    <w:rsid w:val="00720F05"/>
    <w:rsid w:val="00722125"/>
    <w:rsid w:val="00775492"/>
    <w:rsid w:val="007D37E6"/>
    <w:rsid w:val="008015EB"/>
    <w:rsid w:val="008136EC"/>
    <w:rsid w:val="008376EC"/>
    <w:rsid w:val="008577CB"/>
    <w:rsid w:val="00895CC6"/>
    <w:rsid w:val="008F2B77"/>
    <w:rsid w:val="009251CC"/>
    <w:rsid w:val="009468A3"/>
    <w:rsid w:val="00962871"/>
    <w:rsid w:val="00982A7B"/>
    <w:rsid w:val="009A03C1"/>
    <w:rsid w:val="00A23127"/>
    <w:rsid w:val="00A76DB7"/>
    <w:rsid w:val="00A9328B"/>
    <w:rsid w:val="00AD44BB"/>
    <w:rsid w:val="00B637BB"/>
    <w:rsid w:val="00B77372"/>
    <w:rsid w:val="00BE32FA"/>
    <w:rsid w:val="00C46A37"/>
    <w:rsid w:val="00CB6D60"/>
    <w:rsid w:val="00CE594E"/>
    <w:rsid w:val="00CF1B3C"/>
    <w:rsid w:val="00D009C5"/>
    <w:rsid w:val="00D02BDA"/>
    <w:rsid w:val="00D03A84"/>
    <w:rsid w:val="00D168D8"/>
    <w:rsid w:val="00D2572F"/>
    <w:rsid w:val="00E25F68"/>
    <w:rsid w:val="00E31A9F"/>
    <w:rsid w:val="00E322E2"/>
    <w:rsid w:val="00E704B0"/>
    <w:rsid w:val="00E74B57"/>
    <w:rsid w:val="00E9166C"/>
    <w:rsid w:val="00EB75B7"/>
    <w:rsid w:val="00FC71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5FE1"/>
  <w15:chartTrackingRefBased/>
  <w15:docId w15:val="{4982064B-5A39-4C0F-8159-CB8EFA14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bidi/>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EE4"/>
  </w:style>
  <w:style w:type="paragraph" w:styleId="1">
    <w:name w:val="heading 1"/>
    <w:basedOn w:val="a"/>
    <w:next w:val="a"/>
    <w:link w:val="10"/>
    <w:uiPriority w:val="9"/>
    <w:qFormat/>
    <w:rsid w:val="001A4EE4"/>
    <w:pPr>
      <w:keepNext/>
      <w:keepLines/>
      <w:pBdr>
        <w:bottom w:val="single" w:sz="4" w:space="1" w:color="E48312" w:themeColor="accent1"/>
      </w:pBdr>
      <w:spacing w:before="400" w:after="40" w:line="240" w:lineRule="auto"/>
      <w:outlineLvl w:val="0"/>
    </w:pPr>
    <w:rPr>
      <w:rFonts w:asciiTheme="majorHAnsi" w:eastAsiaTheme="majorEastAsia" w:hAnsiTheme="majorHAnsi" w:cstheme="majorBidi"/>
      <w:color w:val="AA610D" w:themeColor="accent1" w:themeShade="BF"/>
      <w:sz w:val="36"/>
      <w:szCs w:val="36"/>
    </w:rPr>
  </w:style>
  <w:style w:type="paragraph" w:styleId="2">
    <w:name w:val="heading 2"/>
    <w:basedOn w:val="a"/>
    <w:next w:val="a"/>
    <w:link w:val="20"/>
    <w:uiPriority w:val="9"/>
    <w:unhideWhenUsed/>
    <w:qFormat/>
    <w:rsid w:val="001A4EE4"/>
    <w:pPr>
      <w:keepNext/>
      <w:keepLines/>
      <w:spacing w:before="160" w:after="0" w:line="240" w:lineRule="auto"/>
      <w:outlineLvl w:val="1"/>
    </w:pPr>
    <w:rPr>
      <w:rFonts w:asciiTheme="majorHAnsi" w:eastAsiaTheme="majorEastAsia" w:hAnsiTheme="majorHAnsi" w:cstheme="majorBidi"/>
      <w:color w:val="AA610D" w:themeColor="accent1" w:themeShade="BF"/>
      <w:sz w:val="28"/>
      <w:szCs w:val="28"/>
    </w:rPr>
  </w:style>
  <w:style w:type="paragraph" w:styleId="3">
    <w:name w:val="heading 3"/>
    <w:basedOn w:val="a"/>
    <w:next w:val="a"/>
    <w:link w:val="30"/>
    <w:uiPriority w:val="9"/>
    <w:semiHidden/>
    <w:unhideWhenUsed/>
    <w:qFormat/>
    <w:rsid w:val="001A4EE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A4EE4"/>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A4EE4"/>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A4EE4"/>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A4EE4"/>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A4EE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A4EE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9C5"/>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D009C5"/>
    <w:rPr>
      <w:rFonts w:ascii="Tahoma" w:hAnsi="Tahoma" w:cs="Tahoma"/>
      <w:sz w:val="18"/>
      <w:szCs w:val="18"/>
    </w:rPr>
  </w:style>
  <w:style w:type="paragraph" w:styleId="a5">
    <w:name w:val="No Spacing"/>
    <w:link w:val="a6"/>
    <w:uiPriority w:val="1"/>
    <w:qFormat/>
    <w:rsid w:val="001A4EE4"/>
    <w:pPr>
      <w:spacing w:after="0" w:line="240" w:lineRule="auto"/>
    </w:pPr>
  </w:style>
  <w:style w:type="character" w:customStyle="1" w:styleId="a6">
    <w:name w:val="ללא מרווח תו"/>
    <w:basedOn w:val="a0"/>
    <w:link w:val="a5"/>
    <w:uiPriority w:val="1"/>
    <w:rsid w:val="00D009C5"/>
  </w:style>
  <w:style w:type="character" w:customStyle="1" w:styleId="10">
    <w:name w:val="כותרת 1 תו"/>
    <w:basedOn w:val="a0"/>
    <w:link w:val="1"/>
    <w:uiPriority w:val="9"/>
    <w:rsid w:val="001A4EE4"/>
    <w:rPr>
      <w:rFonts w:asciiTheme="majorHAnsi" w:eastAsiaTheme="majorEastAsia" w:hAnsiTheme="majorHAnsi" w:cstheme="majorBidi"/>
      <w:color w:val="AA610D" w:themeColor="accent1" w:themeShade="BF"/>
      <w:sz w:val="36"/>
      <w:szCs w:val="36"/>
    </w:rPr>
  </w:style>
  <w:style w:type="paragraph" w:styleId="a7">
    <w:name w:val="TOC Heading"/>
    <w:basedOn w:val="1"/>
    <w:next w:val="a"/>
    <w:uiPriority w:val="39"/>
    <w:unhideWhenUsed/>
    <w:qFormat/>
    <w:rsid w:val="001A4EE4"/>
    <w:pPr>
      <w:outlineLvl w:val="9"/>
    </w:pPr>
  </w:style>
  <w:style w:type="paragraph" w:styleId="TOC2">
    <w:name w:val="toc 2"/>
    <w:basedOn w:val="a"/>
    <w:next w:val="a"/>
    <w:autoRedefine/>
    <w:uiPriority w:val="39"/>
    <w:unhideWhenUsed/>
    <w:rsid w:val="00D009C5"/>
    <w:pPr>
      <w:spacing w:after="100"/>
      <w:ind w:left="220"/>
    </w:pPr>
    <w:rPr>
      <w:rFonts w:cs="Times New Roman"/>
      <w:rtl/>
      <w:cs/>
    </w:rPr>
  </w:style>
  <w:style w:type="paragraph" w:styleId="TOC1">
    <w:name w:val="toc 1"/>
    <w:basedOn w:val="a"/>
    <w:next w:val="a"/>
    <w:autoRedefine/>
    <w:uiPriority w:val="39"/>
    <w:unhideWhenUsed/>
    <w:rsid w:val="00D009C5"/>
    <w:pPr>
      <w:spacing w:after="100"/>
    </w:pPr>
    <w:rPr>
      <w:rFonts w:cs="Times New Roman"/>
      <w:rtl/>
      <w:cs/>
    </w:rPr>
  </w:style>
  <w:style w:type="paragraph" w:styleId="TOC3">
    <w:name w:val="toc 3"/>
    <w:basedOn w:val="a"/>
    <w:next w:val="a"/>
    <w:autoRedefine/>
    <w:uiPriority w:val="39"/>
    <w:unhideWhenUsed/>
    <w:rsid w:val="00D009C5"/>
    <w:pPr>
      <w:spacing w:after="100"/>
      <w:ind w:left="440"/>
    </w:pPr>
    <w:rPr>
      <w:rFonts w:cs="Times New Roman"/>
      <w:rtl/>
      <w:cs/>
    </w:rPr>
  </w:style>
  <w:style w:type="paragraph" w:styleId="a8">
    <w:name w:val="List Paragraph"/>
    <w:basedOn w:val="a"/>
    <w:uiPriority w:val="34"/>
    <w:qFormat/>
    <w:rsid w:val="00D009C5"/>
    <w:pPr>
      <w:ind w:left="720"/>
      <w:contextualSpacing/>
    </w:pPr>
  </w:style>
  <w:style w:type="table" w:customStyle="1" w:styleId="TableGrid">
    <w:name w:val="TableGrid"/>
    <w:rsid w:val="00441EE6"/>
    <w:pPr>
      <w:spacing w:after="0" w:line="240" w:lineRule="auto"/>
    </w:pPr>
    <w:tblPr>
      <w:tblCellMar>
        <w:top w:w="0" w:type="dxa"/>
        <w:left w:w="0" w:type="dxa"/>
        <w:bottom w:w="0" w:type="dxa"/>
        <w:right w:w="0" w:type="dxa"/>
      </w:tblCellMar>
    </w:tblPr>
  </w:style>
  <w:style w:type="character" w:customStyle="1" w:styleId="20">
    <w:name w:val="כותרת 2 תו"/>
    <w:basedOn w:val="a0"/>
    <w:link w:val="2"/>
    <w:uiPriority w:val="9"/>
    <w:rsid w:val="001A4EE4"/>
    <w:rPr>
      <w:rFonts w:asciiTheme="majorHAnsi" w:eastAsiaTheme="majorEastAsia" w:hAnsiTheme="majorHAnsi" w:cstheme="majorBidi"/>
      <w:color w:val="AA610D" w:themeColor="accent1" w:themeShade="BF"/>
      <w:sz w:val="28"/>
      <w:szCs w:val="28"/>
    </w:rPr>
  </w:style>
  <w:style w:type="character" w:customStyle="1" w:styleId="30">
    <w:name w:val="כותרת 3 תו"/>
    <w:basedOn w:val="a0"/>
    <w:link w:val="3"/>
    <w:uiPriority w:val="9"/>
    <w:semiHidden/>
    <w:rsid w:val="001A4EE4"/>
    <w:rPr>
      <w:rFonts w:asciiTheme="majorHAnsi" w:eastAsiaTheme="majorEastAsia" w:hAnsiTheme="majorHAnsi" w:cstheme="majorBidi"/>
      <w:color w:val="404040" w:themeColor="text1" w:themeTint="BF"/>
      <w:sz w:val="26"/>
      <w:szCs w:val="26"/>
    </w:rPr>
  </w:style>
  <w:style w:type="character" w:customStyle="1" w:styleId="40">
    <w:name w:val="כותרת 4 תו"/>
    <w:basedOn w:val="a0"/>
    <w:link w:val="4"/>
    <w:uiPriority w:val="9"/>
    <w:semiHidden/>
    <w:rsid w:val="001A4EE4"/>
    <w:rPr>
      <w:rFonts w:asciiTheme="majorHAnsi" w:eastAsiaTheme="majorEastAsia" w:hAnsiTheme="majorHAnsi" w:cstheme="majorBidi"/>
      <w:sz w:val="24"/>
      <w:szCs w:val="24"/>
    </w:rPr>
  </w:style>
  <w:style w:type="character" w:customStyle="1" w:styleId="50">
    <w:name w:val="כותרת 5 תו"/>
    <w:basedOn w:val="a0"/>
    <w:link w:val="5"/>
    <w:uiPriority w:val="9"/>
    <w:semiHidden/>
    <w:rsid w:val="001A4EE4"/>
    <w:rPr>
      <w:rFonts w:asciiTheme="majorHAnsi" w:eastAsiaTheme="majorEastAsia" w:hAnsiTheme="majorHAnsi" w:cstheme="majorBidi"/>
      <w:i/>
      <w:iCs/>
      <w:sz w:val="22"/>
      <w:szCs w:val="22"/>
    </w:rPr>
  </w:style>
  <w:style w:type="character" w:customStyle="1" w:styleId="60">
    <w:name w:val="כותרת 6 תו"/>
    <w:basedOn w:val="a0"/>
    <w:link w:val="6"/>
    <w:uiPriority w:val="9"/>
    <w:semiHidden/>
    <w:rsid w:val="001A4EE4"/>
    <w:rPr>
      <w:rFonts w:asciiTheme="majorHAnsi" w:eastAsiaTheme="majorEastAsia" w:hAnsiTheme="majorHAnsi" w:cstheme="majorBidi"/>
      <w:color w:val="595959" w:themeColor="text1" w:themeTint="A6"/>
    </w:rPr>
  </w:style>
  <w:style w:type="character" w:customStyle="1" w:styleId="70">
    <w:name w:val="כותרת 7 תו"/>
    <w:basedOn w:val="a0"/>
    <w:link w:val="7"/>
    <w:uiPriority w:val="9"/>
    <w:semiHidden/>
    <w:rsid w:val="001A4EE4"/>
    <w:rPr>
      <w:rFonts w:asciiTheme="majorHAnsi" w:eastAsiaTheme="majorEastAsia" w:hAnsiTheme="majorHAnsi" w:cstheme="majorBidi"/>
      <w:i/>
      <w:iCs/>
      <w:color w:val="595959" w:themeColor="text1" w:themeTint="A6"/>
    </w:rPr>
  </w:style>
  <w:style w:type="character" w:customStyle="1" w:styleId="80">
    <w:name w:val="כותרת 8 תו"/>
    <w:basedOn w:val="a0"/>
    <w:link w:val="8"/>
    <w:uiPriority w:val="9"/>
    <w:semiHidden/>
    <w:rsid w:val="001A4EE4"/>
    <w:rPr>
      <w:rFonts w:asciiTheme="majorHAnsi" w:eastAsiaTheme="majorEastAsia" w:hAnsiTheme="majorHAnsi" w:cstheme="majorBidi"/>
      <w:smallCaps/>
      <w:color w:val="595959" w:themeColor="text1" w:themeTint="A6"/>
    </w:rPr>
  </w:style>
  <w:style w:type="character" w:customStyle="1" w:styleId="90">
    <w:name w:val="כותרת 9 תו"/>
    <w:basedOn w:val="a0"/>
    <w:link w:val="9"/>
    <w:uiPriority w:val="9"/>
    <w:semiHidden/>
    <w:rsid w:val="001A4EE4"/>
    <w:rPr>
      <w:rFonts w:asciiTheme="majorHAnsi" w:eastAsiaTheme="majorEastAsia" w:hAnsiTheme="majorHAnsi" w:cstheme="majorBidi"/>
      <w:i/>
      <w:iCs/>
      <w:smallCaps/>
      <w:color w:val="595959" w:themeColor="text1" w:themeTint="A6"/>
    </w:rPr>
  </w:style>
  <w:style w:type="paragraph" w:styleId="a9">
    <w:name w:val="caption"/>
    <w:basedOn w:val="a"/>
    <w:next w:val="a"/>
    <w:uiPriority w:val="35"/>
    <w:semiHidden/>
    <w:unhideWhenUsed/>
    <w:qFormat/>
    <w:rsid w:val="001A4EE4"/>
    <w:pPr>
      <w:spacing w:line="240" w:lineRule="auto"/>
    </w:pPr>
    <w:rPr>
      <w:b/>
      <w:bCs/>
      <w:color w:val="404040" w:themeColor="text1" w:themeTint="BF"/>
      <w:sz w:val="20"/>
      <w:szCs w:val="20"/>
    </w:rPr>
  </w:style>
  <w:style w:type="paragraph" w:styleId="aa">
    <w:name w:val="Title"/>
    <w:basedOn w:val="a"/>
    <w:next w:val="a"/>
    <w:link w:val="ab"/>
    <w:uiPriority w:val="10"/>
    <w:qFormat/>
    <w:rsid w:val="001A4EE4"/>
    <w:pPr>
      <w:spacing w:after="0" w:line="240" w:lineRule="auto"/>
      <w:contextualSpacing/>
    </w:pPr>
    <w:rPr>
      <w:rFonts w:asciiTheme="majorHAnsi" w:eastAsiaTheme="majorEastAsia" w:hAnsiTheme="majorHAnsi" w:cstheme="majorBidi"/>
      <w:color w:val="AA610D" w:themeColor="accent1" w:themeShade="BF"/>
      <w:spacing w:val="-7"/>
      <w:sz w:val="80"/>
      <w:szCs w:val="80"/>
    </w:rPr>
  </w:style>
  <w:style w:type="character" w:customStyle="1" w:styleId="ab">
    <w:name w:val="כותרת טקסט תו"/>
    <w:basedOn w:val="a0"/>
    <w:link w:val="aa"/>
    <w:uiPriority w:val="10"/>
    <w:rsid w:val="001A4EE4"/>
    <w:rPr>
      <w:rFonts w:asciiTheme="majorHAnsi" w:eastAsiaTheme="majorEastAsia" w:hAnsiTheme="majorHAnsi" w:cstheme="majorBidi"/>
      <w:color w:val="AA610D" w:themeColor="accent1" w:themeShade="BF"/>
      <w:spacing w:val="-7"/>
      <w:sz w:val="80"/>
      <w:szCs w:val="80"/>
    </w:rPr>
  </w:style>
  <w:style w:type="paragraph" w:styleId="ac">
    <w:name w:val="Subtitle"/>
    <w:basedOn w:val="a"/>
    <w:next w:val="a"/>
    <w:link w:val="ad"/>
    <w:uiPriority w:val="11"/>
    <w:qFormat/>
    <w:rsid w:val="001A4EE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d">
    <w:name w:val="כותרת משנה תו"/>
    <w:basedOn w:val="a0"/>
    <w:link w:val="ac"/>
    <w:uiPriority w:val="11"/>
    <w:rsid w:val="001A4EE4"/>
    <w:rPr>
      <w:rFonts w:asciiTheme="majorHAnsi" w:eastAsiaTheme="majorEastAsia" w:hAnsiTheme="majorHAnsi" w:cstheme="majorBidi"/>
      <w:color w:val="404040" w:themeColor="text1" w:themeTint="BF"/>
      <w:sz w:val="30"/>
      <w:szCs w:val="30"/>
    </w:rPr>
  </w:style>
  <w:style w:type="character" w:styleId="ae">
    <w:name w:val="Strong"/>
    <w:basedOn w:val="a0"/>
    <w:uiPriority w:val="22"/>
    <w:qFormat/>
    <w:rsid w:val="001A4EE4"/>
    <w:rPr>
      <w:b/>
      <w:bCs/>
    </w:rPr>
  </w:style>
  <w:style w:type="character" w:styleId="af">
    <w:name w:val="Emphasis"/>
    <w:basedOn w:val="a0"/>
    <w:uiPriority w:val="20"/>
    <w:qFormat/>
    <w:rsid w:val="001A4EE4"/>
    <w:rPr>
      <w:i/>
      <w:iCs/>
    </w:rPr>
  </w:style>
  <w:style w:type="paragraph" w:styleId="af0">
    <w:name w:val="Quote"/>
    <w:basedOn w:val="a"/>
    <w:next w:val="a"/>
    <w:link w:val="af1"/>
    <w:uiPriority w:val="29"/>
    <w:qFormat/>
    <w:rsid w:val="001A4EE4"/>
    <w:pPr>
      <w:spacing w:before="240" w:after="240" w:line="252" w:lineRule="auto"/>
      <w:ind w:left="864" w:right="864"/>
      <w:jc w:val="center"/>
    </w:pPr>
    <w:rPr>
      <w:i/>
      <w:iCs/>
    </w:rPr>
  </w:style>
  <w:style w:type="character" w:customStyle="1" w:styleId="af1">
    <w:name w:val="ציטוט תו"/>
    <w:basedOn w:val="a0"/>
    <w:link w:val="af0"/>
    <w:uiPriority w:val="29"/>
    <w:rsid w:val="001A4EE4"/>
    <w:rPr>
      <w:i/>
      <w:iCs/>
    </w:rPr>
  </w:style>
  <w:style w:type="paragraph" w:styleId="af2">
    <w:name w:val="Intense Quote"/>
    <w:basedOn w:val="a"/>
    <w:next w:val="a"/>
    <w:link w:val="af3"/>
    <w:uiPriority w:val="30"/>
    <w:qFormat/>
    <w:rsid w:val="001A4EE4"/>
    <w:pPr>
      <w:spacing w:before="100" w:beforeAutospacing="1" w:after="240"/>
      <w:ind w:left="864" w:right="864"/>
      <w:jc w:val="center"/>
    </w:pPr>
    <w:rPr>
      <w:rFonts w:asciiTheme="majorHAnsi" w:eastAsiaTheme="majorEastAsia" w:hAnsiTheme="majorHAnsi" w:cstheme="majorBidi"/>
      <w:color w:val="E48312" w:themeColor="accent1"/>
      <w:sz w:val="28"/>
      <w:szCs w:val="28"/>
    </w:rPr>
  </w:style>
  <w:style w:type="character" w:customStyle="1" w:styleId="af3">
    <w:name w:val="ציטוט חזק תו"/>
    <w:basedOn w:val="a0"/>
    <w:link w:val="af2"/>
    <w:uiPriority w:val="30"/>
    <w:rsid w:val="001A4EE4"/>
    <w:rPr>
      <w:rFonts w:asciiTheme="majorHAnsi" w:eastAsiaTheme="majorEastAsia" w:hAnsiTheme="majorHAnsi" w:cstheme="majorBidi"/>
      <w:color w:val="E48312" w:themeColor="accent1"/>
      <w:sz w:val="28"/>
      <w:szCs w:val="28"/>
    </w:rPr>
  </w:style>
  <w:style w:type="character" w:styleId="af4">
    <w:name w:val="Subtle Emphasis"/>
    <w:basedOn w:val="a0"/>
    <w:uiPriority w:val="19"/>
    <w:qFormat/>
    <w:rsid w:val="001A4EE4"/>
    <w:rPr>
      <w:i/>
      <w:iCs/>
      <w:color w:val="595959" w:themeColor="text1" w:themeTint="A6"/>
    </w:rPr>
  </w:style>
  <w:style w:type="character" w:styleId="af5">
    <w:name w:val="Intense Emphasis"/>
    <w:basedOn w:val="a0"/>
    <w:uiPriority w:val="21"/>
    <w:qFormat/>
    <w:rsid w:val="001A4EE4"/>
    <w:rPr>
      <w:b/>
      <w:bCs/>
      <w:i/>
      <w:iCs/>
    </w:rPr>
  </w:style>
  <w:style w:type="character" w:styleId="af6">
    <w:name w:val="Subtle Reference"/>
    <w:basedOn w:val="a0"/>
    <w:uiPriority w:val="31"/>
    <w:qFormat/>
    <w:rsid w:val="001A4EE4"/>
    <w:rPr>
      <w:smallCaps/>
      <w:color w:val="404040" w:themeColor="text1" w:themeTint="BF"/>
    </w:rPr>
  </w:style>
  <w:style w:type="character" w:styleId="af7">
    <w:name w:val="Intense Reference"/>
    <w:basedOn w:val="a0"/>
    <w:uiPriority w:val="32"/>
    <w:qFormat/>
    <w:rsid w:val="001A4EE4"/>
    <w:rPr>
      <w:b/>
      <w:bCs/>
      <w:smallCaps/>
      <w:u w:val="single"/>
    </w:rPr>
  </w:style>
  <w:style w:type="character" w:styleId="af8">
    <w:name w:val="Book Title"/>
    <w:basedOn w:val="a0"/>
    <w:uiPriority w:val="33"/>
    <w:qFormat/>
    <w:rsid w:val="001A4EE4"/>
    <w:rPr>
      <w:b/>
      <w:bCs/>
      <w:smallCaps/>
    </w:rPr>
  </w:style>
  <w:style w:type="paragraph" w:styleId="af9">
    <w:name w:val="footnote text"/>
    <w:basedOn w:val="a"/>
    <w:link w:val="afa"/>
    <w:uiPriority w:val="99"/>
    <w:semiHidden/>
    <w:unhideWhenUsed/>
    <w:rsid w:val="00202DE6"/>
    <w:pPr>
      <w:spacing w:after="0" w:line="240" w:lineRule="auto"/>
    </w:pPr>
    <w:rPr>
      <w:sz w:val="20"/>
      <w:szCs w:val="20"/>
    </w:rPr>
  </w:style>
  <w:style w:type="character" w:customStyle="1" w:styleId="afa">
    <w:name w:val="טקסט הערת שוליים תו"/>
    <w:basedOn w:val="a0"/>
    <w:link w:val="af9"/>
    <w:uiPriority w:val="99"/>
    <w:semiHidden/>
    <w:rsid w:val="00202DE6"/>
    <w:rPr>
      <w:sz w:val="20"/>
      <w:szCs w:val="20"/>
    </w:rPr>
  </w:style>
  <w:style w:type="character" w:styleId="afb">
    <w:name w:val="footnote reference"/>
    <w:basedOn w:val="a0"/>
    <w:uiPriority w:val="99"/>
    <w:semiHidden/>
    <w:unhideWhenUsed/>
    <w:rsid w:val="00202DE6"/>
    <w:rPr>
      <w:vertAlign w:val="superscript"/>
    </w:rPr>
  </w:style>
  <w:style w:type="character" w:styleId="Hyperlink">
    <w:name w:val="Hyperlink"/>
    <w:basedOn w:val="a0"/>
    <w:uiPriority w:val="99"/>
    <w:semiHidden/>
    <w:unhideWhenUsed/>
    <w:rsid w:val="00202DE6"/>
    <w:rPr>
      <w:color w:val="0000FF"/>
      <w:u w:val="single"/>
    </w:rPr>
  </w:style>
  <w:style w:type="character" w:customStyle="1" w:styleId="reference-accessdate">
    <w:name w:val="reference-accessdate"/>
    <w:basedOn w:val="a0"/>
    <w:rsid w:val="00202DE6"/>
  </w:style>
  <w:style w:type="character" w:customStyle="1" w:styleId="nowrap">
    <w:name w:val="nowrap"/>
    <w:basedOn w:val="a0"/>
    <w:rsid w:val="00202DE6"/>
  </w:style>
  <w:style w:type="paragraph" w:styleId="afc">
    <w:name w:val="header"/>
    <w:basedOn w:val="a"/>
    <w:link w:val="afd"/>
    <w:uiPriority w:val="99"/>
    <w:unhideWhenUsed/>
    <w:rsid w:val="000A513C"/>
    <w:pPr>
      <w:tabs>
        <w:tab w:val="center" w:pos="4153"/>
        <w:tab w:val="right" w:pos="8306"/>
      </w:tabs>
      <w:spacing w:after="0" w:line="240" w:lineRule="auto"/>
    </w:pPr>
  </w:style>
  <w:style w:type="character" w:customStyle="1" w:styleId="afd">
    <w:name w:val="כותרת עליונה תו"/>
    <w:basedOn w:val="a0"/>
    <w:link w:val="afc"/>
    <w:uiPriority w:val="99"/>
    <w:rsid w:val="000A513C"/>
  </w:style>
  <w:style w:type="paragraph" w:styleId="afe">
    <w:name w:val="footer"/>
    <w:basedOn w:val="a"/>
    <w:link w:val="aff"/>
    <w:uiPriority w:val="99"/>
    <w:unhideWhenUsed/>
    <w:rsid w:val="000A513C"/>
    <w:pPr>
      <w:tabs>
        <w:tab w:val="center" w:pos="4153"/>
        <w:tab w:val="right" w:pos="8306"/>
      </w:tabs>
      <w:spacing w:after="0" w:line="240" w:lineRule="auto"/>
    </w:pPr>
  </w:style>
  <w:style w:type="character" w:customStyle="1" w:styleId="aff">
    <w:name w:val="כותרת תחתונה תו"/>
    <w:basedOn w:val="a0"/>
    <w:link w:val="afe"/>
    <w:uiPriority w:val="99"/>
    <w:rsid w:val="000A513C"/>
  </w:style>
  <w:style w:type="character" w:styleId="FollowedHyperlink">
    <w:name w:val="FollowedHyperlink"/>
    <w:basedOn w:val="a0"/>
    <w:uiPriority w:val="99"/>
    <w:semiHidden/>
    <w:unhideWhenUsed/>
    <w:rsid w:val="006A6E01"/>
    <w:rPr>
      <w:color w:val="8C8C8C" w:themeColor="followedHyperlink"/>
      <w:u w:val="single"/>
    </w:rPr>
  </w:style>
  <w:style w:type="paragraph" w:styleId="aff0">
    <w:name w:val="Bibliography"/>
    <w:basedOn w:val="a"/>
    <w:next w:val="a"/>
    <w:uiPriority w:val="37"/>
    <w:unhideWhenUsed/>
    <w:rsid w:val="0072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7765">
      <w:bodyDiv w:val="1"/>
      <w:marLeft w:val="0"/>
      <w:marRight w:val="0"/>
      <w:marTop w:val="0"/>
      <w:marBottom w:val="0"/>
      <w:divBdr>
        <w:top w:val="none" w:sz="0" w:space="0" w:color="auto"/>
        <w:left w:val="none" w:sz="0" w:space="0" w:color="auto"/>
        <w:bottom w:val="none" w:sz="0" w:space="0" w:color="auto"/>
        <w:right w:val="none" w:sz="0" w:space="0" w:color="auto"/>
      </w:divBdr>
    </w:div>
    <w:div w:id="193883290">
      <w:bodyDiv w:val="1"/>
      <w:marLeft w:val="0"/>
      <w:marRight w:val="0"/>
      <w:marTop w:val="0"/>
      <w:marBottom w:val="0"/>
      <w:divBdr>
        <w:top w:val="none" w:sz="0" w:space="0" w:color="auto"/>
        <w:left w:val="none" w:sz="0" w:space="0" w:color="auto"/>
        <w:bottom w:val="none" w:sz="0" w:space="0" w:color="auto"/>
        <w:right w:val="none" w:sz="0" w:space="0" w:color="auto"/>
      </w:divBdr>
    </w:div>
    <w:div w:id="297298850">
      <w:bodyDiv w:val="1"/>
      <w:marLeft w:val="0"/>
      <w:marRight w:val="0"/>
      <w:marTop w:val="0"/>
      <w:marBottom w:val="0"/>
      <w:divBdr>
        <w:top w:val="none" w:sz="0" w:space="0" w:color="auto"/>
        <w:left w:val="none" w:sz="0" w:space="0" w:color="auto"/>
        <w:bottom w:val="none" w:sz="0" w:space="0" w:color="auto"/>
        <w:right w:val="none" w:sz="0" w:space="0" w:color="auto"/>
      </w:divBdr>
    </w:div>
    <w:div w:id="375273029">
      <w:bodyDiv w:val="1"/>
      <w:marLeft w:val="0"/>
      <w:marRight w:val="0"/>
      <w:marTop w:val="0"/>
      <w:marBottom w:val="0"/>
      <w:divBdr>
        <w:top w:val="none" w:sz="0" w:space="0" w:color="auto"/>
        <w:left w:val="none" w:sz="0" w:space="0" w:color="auto"/>
        <w:bottom w:val="none" w:sz="0" w:space="0" w:color="auto"/>
        <w:right w:val="none" w:sz="0" w:space="0" w:color="auto"/>
      </w:divBdr>
    </w:div>
    <w:div w:id="444884676">
      <w:bodyDiv w:val="1"/>
      <w:marLeft w:val="0"/>
      <w:marRight w:val="0"/>
      <w:marTop w:val="0"/>
      <w:marBottom w:val="0"/>
      <w:divBdr>
        <w:top w:val="none" w:sz="0" w:space="0" w:color="auto"/>
        <w:left w:val="none" w:sz="0" w:space="0" w:color="auto"/>
        <w:bottom w:val="none" w:sz="0" w:space="0" w:color="auto"/>
        <w:right w:val="none" w:sz="0" w:space="0" w:color="auto"/>
      </w:divBdr>
    </w:div>
    <w:div w:id="581375496">
      <w:bodyDiv w:val="1"/>
      <w:marLeft w:val="0"/>
      <w:marRight w:val="0"/>
      <w:marTop w:val="0"/>
      <w:marBottom w:val="0"/>
      <w:divBdr>
        <w:top w:val="none" w:sz="0" w:space="0" w:color="auto"/>
        <w:left w:val="none" w:sz="0" w:space="0" w:color="auto"/>
        <w:bottom w:val="none" w:sz="0" w:space="0" w:color="auto"/>
        <w:right w:val="none" w:sz="0" w:space="0" w:color="auto"/>
      </w:divBdr>
    </w:div>
    <w:div w:id="716392503">
      <w:bodyDiv w:val="1"/>
      <w:marLeft w:val="0"/>
      <w:marRight w:val="0"/>
      <w:marTop w:val="0"/>
      <w:marBottom w:val="0"/>
      <w:divBdr>
        <w:top w:val="none" w:sz="0" w:space="0" w:color="auto"/>
        <w:left w:val="none" w:sz="0" w:space="0" w:color="auto"/>
        <w:bottom w:val="none" w:sz="0" w:space="0" w:color="auto"/>
        <w:right w:val="none" w:sz="0" w:space="0" w:color="auto"/>
      </w:divBdr>
    </w:div>
    <w:div w:id="723797354">
      <w:bodyDiv w:val="1"/>
      <w:marLeft w:val="0"/>
      <w:marRight w:val="0"/>
      <w:marTop w:val="0"/>
      <w:marBottom w:val="0"/>
      <w:divBdr>
        <w:top w:val="none" w:sz="0" w:space="0" w:color="auto"/>
        <w:left w:val="none" w:sz="0" w:space="0" w:color="auto"/>
        <w:bottom w:val="none" w:sz="0" w:space="0" w:color="auto"/>
        <w:right w:val="none" w:sz="0" w:space="0" w:color="auto"/>
      </w:divBdr>
    </w:div>
    <w:div w:id="806896380">
      <w:bodyDiv w:val="1"/>
      <w:marLeft w:val="0"/>
      <w:marRight w:val="0"/>
      <w:marTop w:val="0"/>
      <w:marBottom w:val="0"/>
      <w:divBdr>
        <w:top w:val="none" w:sz="0" w:space="0" w:color="auto"/>
        <w:left w:val="none" w:sz="0" w:space="0" w:color="auto"/>
        <w:bottom w:val="none" w:sz="0" w:space="0" w:color="auto"/>
        <w:right w:val="none" w:sz="0" w:space="0" w:color="auto"/>
      </w:divBdr>
    </w:div>
    <w:div w:id="922955105">
      <w:bodyDiv w:val="1"/>
      <w:marLeft w:val="0"/>
      <w:marRight w:val="0"/>
      <w:marTop w:val="0"/>
      <w:marBottom w:val="0"/>
      <w:divBdr>
        <w:top w:val="none" w:sz="0" w:space="0" w:color="auto"/>
        <w:left w:val="none" w:sz="0" w:space="0" w:color="auto"/>
        <w:bottom w:val="none" w:sz="0" w:space="0" w:color="auto"/>
        <w:right w:val="none" w:sz="0" w:space="0" w:color="auto"/>
      </w:divBdr>
    </w:div>
    <w:div w:id="1025981105">
      <w:bodyDiv w:val="1"/>
      <w:marLeft w:val="0"/>
      <w:marRight w:val="0"/>
      <w:marTop w:val="0"/>
      <w:marBottom w:val="0"/>
      <w:divBdr>
        <w:top w:val="none" w:sz="0" w:space="0" w:color="auto"/>
        <w:left w:val="none" w:sz="0" w:space="0" w:color="auto"/>
        <w:bottom w:val="none" w:sz="0" w:space="0" w:color="auto"/>
        <w:right w:val="none" w:sz="0" w:space="0" w:color="auto"/>
      </w:divBdr>
    </w:div>
    <w:div w:id="1055927993">
      <w:bodyDiv w:val="1"/>
      <w:marLeft w:val="0"/>
      <w:marRight w:val="0"/>
      <w:marTop w:val="0"/>
      <w:marBottom w:val="0"/>
      <w:divBdr>
        <w:top w:val="none" w:sz="0" w:space="0" w:color="auto"/>
        <w:left w:val="none" w:sz="0" w:space="0" w:color="auto"/>
        <w:bottom w:val="none" w:sz="0" w:space="0" w:color="auto"/>
        <w:right w:val="none" w:sz="0" w:space="0" w:color="auto"/>
      </w:divBdr>
    </w:div>
    <w:div w:id="1143036067">
      <w:bodyDiv w:val="1"/>
      <w:marLeft w:val="0"/>
      <w:marRight w:val="0"/>
      <w:marTop w:val="0"/>
      <w:marBottom w:val="0"/>
      <w:divBdr>
        <w:top w:val="none" w:sz="0" w:space="0" w:color="auto"/>
        <w:left w:val="none" w:sz="0" w:space="0" w:color="auto"/>
        <w:bottom w:val="none" w:sz="0" w:space="0" w:color="auto"/>
        <w:right w:val="none" w:sz="0" w:space="0" w:color="auto"/>
      </w:divBdr>
    </w:div>
    <w:div w:id="1309742464">
      <w:bodyDiv w:val="1"/>
      <w:marLeft w:val="0"/>
      <w:marRight w:val="0"/>
      <w:marTop w:val="0"/>
      <w:marBottom w:val="0"/>
      <w:divBdr>
        <w:top w:val="none" w:sz="0" w:space="0" w:color="auto"/>
        <w:left w:val="none" w:sz="0" w:space="0" w:color="auto"/>
        <w:bottom w:val="none" w:sz="0" w:space="0" w:color="auto"/>
        <w:right w:val="none" w:sz="0" w:space="0" w:color="auto"/>
      </w:divBdr>
    </w:div>
    <w:div w:id="1473712600">
      <w:bodyDiv w:val="1"/>
      <w:marLeft w:val="0"/>
      <w:marRight w:val="0"/>
      <w:marTop w:val="0"/>
      <w:marBottom w:val="0"/>
      <w:divBdr>
        <w:top w:val="none" w:sz="0" w:space="0" w:color="auto"/>
        <w:left w:val="none" w:sz="0" w:space="0" w:color="auto"/>
        <w:bottom w:val="none" w:sz="0" w:space="0" w:color="auto"/>
        <w:right w:val="none" w:sz="0" w:space="0" w:color="auto"/>
      </w:divBdr>
    </w:div>
    <w:div w:id="1485777062">
      <w:bodyDiv w:val="1"/>
      <w:marLeft w:val="0"/>
      <w:marRight w:val="0"/>
      <w:marTop w:val="0"/>
      <w:marBottom w:val="0"/>
      <w:divBdr>
        <w:top w:val="none" w:sz="0" w:space="0" w:color="auto"/>
        <w:left w:val="none" w:sz="0" w:space="0" w:color="auto"/>
        <w:bottom w:val="none" w:sz="0" w:space="0" w:color="auto"/>
        <w:right w:val="none" w:sz="0" w:space="0" w:color="auto"/>
      </w:divBdr>
    </w:div>
    <w:div w:id="1825730577">
      <w:bodyDiv w:val="1"/>
      <w:marLeft w:val="0"/>
      <w:marRight w:val="0"/>
      <w:marTop w:val="0"/>
      <w:marBottom w:val="0"/>
      <w:divBdr>
        <w:top w:val="none" w:sz="0" w:space="0" w:color="auto"/>
        <w:left w:val="none" w:sz="0" w:space="0" w:color="auto"/>
        <w:bottom w:val="none" w:sz="0" w:space="0" w:color="auto"/>
        <w:right w:val="none" w:sz="0" w:space="0" w:color="auto"/>
      </w:divBdr>
    </w:div>
    <w:div w:id="1828597005">
      <w:bodyDiv w:val="1"/>
      <w:marLeft w:val="0"/>
      <w:marRight w:val="0"/>
      <w:marTop w:val="0"/>
      <w:marBottom w:val="0"/>
      <w:divBdr>
        <w:top w:val="none" w:sz="0" w:space="0" w:color="auto"/>
        <w:left w:val="none" w:sz="0" w:space="0" w:color="auto"/>
        <w:bottom w:val="none" w:sz="0" w:space="0" w:color="auto"/>
        <w:right w:val="none" w:sz="0" w:space="0" w:color="auto"/>
      </w:divBdr>
    </w:div>
    <w:div w:id="1912961708">
      <w:bodyDiv w:val="1"/>
      <w:marLeft w:val="0"/>
      <w:marRight w:val="0"/>
      <w:marTop w:val="0"/>
      <w:marBottom w:val="0"/>
      <w:divBdr>
        <w:top w:val="none" w:sz="0" w:space="0" w:color="auto"/>
        <w:left w:val="none" w:sz="0" w:space="0" w:color="auto"/>
        <w:bottom w:val="none" w:sz="0" w:space="0" w:color="auto"/>
        <w:right w:val="none" w:sz="0" w:space="0" w:color="auto"/>
      </w:divBdr>
    </w:div>
    <w:div w:id="2055958812">
      <w:bodyDiv w:val="1"/>
      <w:marLeft w:val="0"/>
      <w:marRight w:val="0"/>
      <w:marTop w:val="0"/>
      <w:marBottom w:val="0"/>
      <w:divBdr>
        <w:top w:val="none" w:sz="0" w:space="0" w:color="auto"/>
        <w:left w:val="none" w:sz="0" w:space="0" w:color="auto"/>
        <w:bottom w:val="none" w:sz="0" w:space="0" w:color="auto"/>
        <w:right w:val="none" w:sz="0" w:space="0" w:color="auto"/>
      </w:divBdr>
    </w:div>
    <w:div w:id="2058048613">
      <w:bodyDiv w:val="1"/>
      <w:marLeft w:val="0"/>
      <w:marRight w:val="0"/>
      <w:marTop w:val="0"/>
      <w:marBottom w:val="0"/>
      <w:divBdr>
        <w:top w:val="none" w:sz="0" w:space="0" w:color="auto"/>
        <w:left w:val="none" w:sz="0" w:space="0" w:color="auto"/>
        <w:bottom w:val="none" w:sz="0" w:space="0" w:color="auto"/>
        <w:right w:val="none" w:sz="0" w:space="0" w:color="auto"/>
      </w:divBdr>
    </w:div>
    <w:div w:id="21316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aaretz.co.il/literature/study/.premium-REVIEW-1.6311533" TargetMode="External"/></Relationships>
</file>

<file path=word/theme/theme1.xml><?xml version="1.0" encoding="utf-8"?>
<a:theme xmlns:a="http://schemas.openxmlformats.org/drawingml/2006/main" name="מבט לאחור">
  <a:themeElements>
    <a:clrScheme name="מבט לאחור">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מבט לאחור">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בט לאחור">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McG07</b:Tag>
    <b:SourceType>BookSection</b:SourceType>
    <b:Guid>{89612C8A-E8C4-4D2D-9B53-33AEE28F1128}</b:Guid>
    <b:Title>Globalization in hard times: Contention in the academy and beyond</b:Title>
    <b:Year>2007</b:Year>
    <b:Pages>29-53</b:Pages>
    <b:Publisher>blackwell publishing</b:Publisher>
    <b:BookTitle>The Blackwell Companion to Globalization</b:BookTitle>
    <b:Author>
      <b:Author>
        <b:NameList>
          <b:Person>
            <b:Last>McGrew</b:Last>
            <b:First>Anthony</b:First>
          </b:Person>
        </b:NameList>
      </b:Author>
      <b:BookAuthor>
        <b:NameList>
          <b:Person>
            <b:Last>Ritzer</b:Last>
            <b:First>George</b:First>
          </b:Person>
        </b:NameList>
      </b:BookAuthor>
    </b:Author>
    <b:RefOrder>1</b:RefOrder>
  </b:Source>
  <b:Source>
    <b:Tag>Sch05</b:Tag>
    <b:SourceType>Book</b:SourceType>
    <b:Guid>{09A549C2-1E02-4C43-8498-26C441D8FFB6}</b:Guid>
    <b:Title>Globalization A critical introduction</b:Title>
    <b:Year>2005</b:Year>
    <b:Author>
      <b:Author>
        <b:NameList>
          <b:Person>
            <b:Last>Scholte</b:Last>
            <b:First>Jane</b:First>
            <b:Middle>Aart</b:Middle>
          </b:Person>
        </b:NameList>
      </b:Author>
    </b:Author>
    <b:City>london</b:City>
    <b:Publisher>Red globe press</b:Publisher>
    <b:LCID>en-US</b:LCID>
    <b:Edition>second</b:Edition>
    <b:RefOrder>2</b:RefOrder>
  </b:Source>
  <b:Source>
    <b:Tag>Van05</b:Tag>
    <b:SourceType>ArticleInAPeriodical</b:SourceType>
    <b:Guid>{768D0870-B19C-4BB8-A34E-DFDB6E6618CC}</b:Guid>
    <b:Title>globalization: A triumph of Ambiguity</b:Title>
    <b:Year>2005</b:Year>
    <b:Pages>875-893</b:Pages>
    <b:PeriodicalTitle>Current Sociology</b:PeriodicalTitle>
    <b:Month>November</b:Month>
    <b:Day>1</b:Day>
    <b:Author>
      <b:Author>
        <b:NameList>
          <b:Person>
            <b:Last>Van Der Bly</b:Last>
            <b:Middle>C. E.</b:Middle>
            <b:First>Martha</b:First>
          </b:Person>
        </b:NameList>
      </b:Author>
    </b:Author>
    <b:RefOrder>3</b:RefOrder>
  </b:Source>
  <b:Source>
    <b:Tag>Rob07</b:Tag>
    <b:SourceType>BookSection</b:SourceType>
    <b:Guid>{29DBF533-2E67-4284-89A7-9E141E3C6A7B}</b:Guid>
    <b:Title>what is globalization</b:Title>
    <b:BookTitle>The blackwell companion to Globalization</b:BookTitle>
    <b:Year>2007</b:Year>
    <b:Pages>54-66</b:Pages>
    <b:Publisher>The blackwell publishing</b:Publisher>
    <b:Author>
      <b:Author>
        <b:NameList>
          <b:Person>
            <b:Last>Robertson</b:Last>
            <b:First>Roland</b:First>
          </b:Person>
          <b:Person>
            <b:Last>White</b:Last>
            <b:Middle>E</b:Middle>
            <b:First>Kathleen</b:First>
          </b:Person>
        </b:NameList>
      </b:Author>
      <b:BookAuthor>
        <b:NameList>
          <b:Person>
            <b:Last>Ritzer</b:Last>
            <b:First>George</b:First>
          </b:Person>
        </b:NameList>
      </b:BookAuthor>
    </b:Author>
    <b:RefOrder>4</b:RefOrder>
  </b:Source>
  <b:Source>
    <b:Tag>Hel991</b:Tag>
    <b:SourceType>ArticleInAPeriodical</b:SourceType>
    <b:Guid>{73DAB5F8-D20D-400C-971A-CC038910A681}</b:Guid>
    <b:Title>globalization</b:Title>
    <b:Year>1999</b:Year>
    <b:PeriodicalTitle>Global Governance</b:PeriodicalTitle>
    <b:Month>october-december</b:Month>
    <b:Pages>483-496</b:Pages>
    <b:Author>
      <b:Author>
        <b:NameList>
          <b:Person>
            <b:Last>Held</b:Last>
            <b:First>David</b:First>
          </b:Person>
          <b:Person>
            <b:Last>McGrew</b:Last>
            <b:First>Anthony</b:First>
          </b:Person>
          <b:Person>
            <b:Last>Goldblatt</b:Last>
            <b:First>David</b:First>
          </b:Person>
          <b:Person>
            <b:Last>Perraton</b:Last>
            <b:First>Jonathan</b:First>
          </b:Person>
        </b:NameList>
      </b:Author>
    </b:Author>
    <b:RefOrder>5</b:RefOrder>
  </b:Source>
  <b:Source>
    <b:Tag>McF07</b:Tag>
    <b:SourceType>JournalArticle</b:SourceType>
    <b:Guid>{4AB4526F-1B39-4DD6-B91D-C381E76E5711}</b:Guid>
    <b:Title>Neopluralism</b:Title>
    <b:Year>2007</b:Year>
    <b:JournalName>Annual Review of political science</b:JournalName>
    <b:Pages>45-66</b:Pages>
    <b:Author>
      <b:Author>
        <b:NameList>
          <b:Person>
            <b:Last>McFarland</b:Last>
            <b:First>Andrew s.</b:First>
          </b:Person>
        </b:NameList>
      </b:Author>
    </b:Author>
    <b:Month>june</b:Month>
    <b:Day>15</b:Day>
    <b:Issue>10</b:Issue>
    <b:RefOrder>6</b:RefOrder>
  </b:Source>
  <b:Source>
    <b:Tag>Low09</b:Tag>
    <b:SourceType>BookSection</b:SourceType>
    <b:Guid>{F83C9F6F-B07F-4254-9455-893986D6A642}</b:Guid>
    <b:Title>New Institutionalism and Urban Politics</b:Title>
    <b:Year>2009</b:Year>
    <b:Pages>91-105</b:Pages>
    <b:City>Los Angeles</b:City>
    <b:Publisher>Sage</b:Publisher>
    <b:Author>
      <b:Author>
        <b:NameList>
          <b:Person>
            <b:Last>Lowndes</b:Last>
            <b:First>Vivien</b:First>
          </b:Person>
        </b:NameList>
      </b:Author>
      <b:BookAuthor>
        <b:NameList>
          <b:Person>
            <b:Last>Davis</b:Last>
            <b:Middle>s.</b:Middle>
            <b:First>Jonathan</b:First>
          </b:Person>
          <b:Person>
            <b:Last>Imbroscio</b:Last>
            <b:Middle>L.</b:Middle>
            <b:First>David</b:First>
          </b:Person>
        </b:NameList>
      </b:BookAuthor>
    </b:Author>
    <b:BookTitle>Theories of Urban Politics</b:BookTitle>
    <b:RefOrder>7</b:RefOrder>
  </b:Source>
  <b:Source>
    <b:Tag>Fio11</b:Tag>
    <b:SourceType>JournalArticle</b:SourceType>
    <b:Guid>{FD065967-7C33-466B-A3EC-0DEFD8BAC085}</b:Guid>
    <b:Title>Historical Institutionalism in International relations</b:Title>
    <b:Year>2011</b:Year>
    <b:Pages>367-399</b:Pages>
    <b:Publisher>cambridge university</b:Publisher>
    <b:PeriodicalTitle>International Organization</b:PeriodicalTitle>
    <b:Month>spring</b:Month>
    <b:Author>
      <b:Author>
        <b:NameList>
          <b:Person>
            <b:Last>Fioretos</b:Last>
            <b:First>Orfeo</b:First>
          </b:Person>
        </b:NameList>
      </b:Author>
    </b:Author>
    <b:LCID>he-IL</b:LCID>
    <b:Issue>65</b:Issue>
    <b:JournalName>International organizations</b:JournalName>
    <b:RefOrder>8</b:RefOrder>
  </b:Source>
  <b:Source>
    <b:Tag>גוט18</b:Tag>
    <b:SourceType>InternetSite</b:SourceType>
    <b:Guid>{FE5A0AEF-9E0E-4D37-9FE9-A99AF910D6CF}</b:Guid>
    <b:Title>"המרד נגד הגלובליזציה": כך קולע נדב איל לטעמו של מעמד הביניים הישראלי</b:Title>
    <b:Year>2018</b:Year>
    <b:InternetSiteTitle>הארץ</b:InternetSiteTitle>
    <b:Month>יולי</b:Month>
    <b:Day>25</b:Day>
    <b:URL>https://www.haaretz.co.il/literature/study/.premium-REVIEW-1.6311533</b:URL>
    <b:Author>
      <b:Author>
        <b:NameList>
          <b:Person>
            <b:Last>גוטוויין</b:Last>
            <b:First>דני</b:First>
          </b:Person>
        </b:NameList>
      </b:Author>
    </b:Author>
    <b:YearAccessed>2019</b:YearAccessed>
    <b:MonthAccessed>נובמבר</b:MonthAccessed>
    <b:DayAccessed>15</b:DayAccessed>
    <b:RefOrder>9</b:RefOrder>
  </b:Source>
  <b:Source>
    <b:Tag>יהב18</b:Tag>
    <b:SourceType>InternetSite</b:SourceType>
    <b:Guid>{F24E270F-739F-4906-95F6-B1DDFF07D6A9}</b:Guid>
    <b:Title>על ספרו של נדב איל 'המרד נגד הגלובליזציה': מהפך, מהפכה או מפץ?</b:Title>
    <b:InternetSiteTitle>המפלגה הקומוניסטית הישראלית</b:InternetSiteTitle>
    <b:Year>2018</b:Year>
    <b:Month>דצמבר</b:Month>
    <b:Day>15</b:Day>
    <b:URL>http://maki.org.il/%D7%A2%D7%9C-%D7%A1%D7%A4%D7%A8%D7%95-%D7%A9%D7%9C-%D7%A0%D7%93%D7%91-%D7%90%D7%99%D7%9C-%D7%94%D7%9E%D7%A8%D7%93-%D7%A0%D7%92%D7%93-%D7%94%D7%92%D7%9C%D7%95%D7%91%D7%9C%D7%99%D7%96%D7%A6%D7%99/</b:URL>
    <b:Author>
      <b:Author>
        <b:NameList>
          <b:Person>
            <b:Last>יהב</b:Last>
            <b:First>דן</b:First>
          </b:Person>
        </b:NameList>
      </b:Author>
    </b:Author>
    <b:YearAccessed>2019</b:YearAccessed>
    <b:MonthAccessed>נובמבר</b:MonthAccessed>
    <b:DayAccessed>19</b:DayAccessed>
    <b:RefOrder>10</b:RefOrder>
  </b:Source>
</b:Sources>
</file>

<file path=customXml/itemProps1.xml><?xml version="1.0" encoding="utf-8"?>
<ds:datastoreItem xmlns:ds="http://schemas.openxmlformats.org/officeDocument/2006/customXml" ds:itemID="{8B9BC573-51DD-4CE5-9AED-E53963D6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12</Pages>
  <Words>3542</Words>
  <Characters>17712</Characters>
  <Application>Microsoft Office Word</Application>
  <DocSecurity>0</DocSecurity>
  <Lines>147</Lines>
  <Paragraphs>42</Paragraphs>
  <ScaleCrop>false</ScaleCrop>
  <HeadingPairs>
    <vt:vector size="2" baseType="variant">
      <vt:variant>
        <vt:lpstr>שם</vt:lpstr>
      </vt:variant>
      <vt:variant>
        <vt:i4>1</vt:i4>
      </vt:variant>
    </vt:vector>
  </HeadingPairs>
  <TitlesOfParts>
    <vt:vector size="1" baseType="lpstr">
      <vt:lpstr>סיור קפריסין - 2019</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סיור קפריסין - 2019</dc:title>
  <dc:subject/>
  <dc:creator>Aviad Atia</dc:creator>
  <cp:keywords/>
  <dc:description/>
  <cp:lastModifiedBy>Aviad Atia</cp:lastModifiedBy>
  <cp:revision>8</cp:revision>
  <dcterms:created xsi:type="dcterms:W3CDTF">2019-10-20T10:25:00Z</dcterms:created>
  <dcterms:modified xsi:type="dcterms:W3CDTF">2019-11-24T19:39:00Z</dcterms:modified>
</cp:coreProperties>
</file>