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81A6" w14:textId="7973599A" w:rsidR="0091313F" w:rsidRPr="00EE613C" w:rsidRDefault="00A07004" w:rsidP="00EE613C">
      <w:pPr>
        <w:pStyle w:val="ListParagraph"/>
        <w:numPr>
          <w:ilvl w:val="0"/>
          <w:numId w:val="1"/>
        </w:numPr>
        <w:spacing w:line="360" w:lineRule="auto"/>
        <w:ind w:left="714" w:hanging="357"/>
        <w:contextualSpacing w:val="0"/>
        <w:jc w:val="both"/>
        <w:rPr>
          <w:sz w:val="24"/>
          <w:szCs w:val="24"/>
        </w:rPr>
      </w:pPr>
      <w:bookmarkStart w:id="0" w:name="_GoBack"/>
      <w:bookmarkEnd w:id="0"/>
      <w:r w:rsidRPr="00EE613C">
        <w:rPr>
          <w:rFonts w:hint="cs"/>
          <w:sz w:val="24"/>
          <w:szCs w:val="24"/>
          <w:rtl/>
        </w:rPr>
        <w:t xml:space="preserve">בתי המשפט הצבאיים פועלים באזור יהודה ושומרון מכוח דיני התפיסה </w:t>
      </w:r>
      <w:proofErr w:type="spellStart"/>
      <w:r w:rsidRPr="00EE613C">
        <w:rPr>
          <w:rFonts w:hint="cs"/>
          <w:sz w:val="24"/>
          <w:szCs w:val="24"/>
          <w:rtl/>
        </w:rPr>
        <w:t>הלוחמתית</w:t>
      </w:r>
      <w:proofErr w:type="spellEnd"/>
      <w:r w:rsidRPr="00EE613C">
        <w:rPr>
          <w:rFonts w:hint="cs"/>
          <w:sz w:val="24"/>
          <w:szCs w:val="24"/>
          <w:rtl/>
        </w:rPr>
        <w:t xml:space="preserve"> והמשפט הבינלאומי. עיסוקם המרכזי הוא טיפול בעבירות </w:t>
      </w:r>
      <w:r w:rsidR="00080C2D">
        <w:rPr>
          <w:rFonts w:hint="cs"/>
          <w:sz w:val="24"/>
          <w:szCs w:val="24"/>
          <w:rtl/>
        </w:rPr>
        <w:t>ביטחוניות</w:t>
      </w:r>
      <w:r w:rsidRPr="00EE613C">
        <w:rPr>
          <w:rFonts w:hint="cs"/>
          <w:sz w:val="24"/>
          <w:szCs w:val="24"/>
          <w:rtl/>
        </w:rPr>
        <w:t xml:space="preserve"> חמורות, אך בנוסף גם בעבירות שעניינן הפרות סדר (הפגנות לא חוקיות ויידוי אבנים), ועבירות פליליות אחרות.</w:t>
      </w:r>
    </w:p>
    <w:p w14:paraId="3834B783" w14:textId="77777777" w:rsidR="00A07004" w:rsidRPr="00EE613C" w:rsidRDefault="00A07004" w:rsidP="00EE613C">
      <w:pPr>
        <w:pStyle w:val="ListParagraph"/>
        <w:numPr>
          <w:ilvl w:val="0"/>
          <w:numId w:val="1"/>
        </w:numPr>
        <w:spacing w:line="360" w:lineRule="auto"/>
        <w:ind w:left="714" w:hanging="357"/>
        <w:contextualSpacing w:val="0"/>
        <w:jc w:val="both"/>
        <w:rPr>
          <w:sz w:val="24"/>
          <w:szCs w:val="24"/>
        </w:rPr>
      </w:pPr>
      <w:r w:rsidRPr="00EE613C">
        <w:rPr>
          <w:rFonts w:hint="cs"/>
          <w:sz w:val="24"/>
          <w:szCs w:val="24"/>
          <w:rtl/>
        </w:rPr>
        <w:t>ההליך המשפטי המתנהל בבתי המשפט הצבאיים פועל על פי עקרונות מוכרים ומקובלים במשפט הפלילי הישראלי, תוך הקפדה יתרה על זכויות נאשמים, קורבנות עבירה ושמירה על עקרונות ההליך הפלילי ההוגן. כמקובל בבתי משפט בישראל, מרבית הדיונים מתנהלים באופן פומבי ופתוחים לקהל.</w:t>
      </w:r>
    </w:p>
    <w:p w14:paraId="5971003E" w14:textId="77777777" w:rsidR="00A07004" w:rsidRPr="00EE613C" w:rsidRDefault="00A07004" w:rsidP="00EE613C">
      <w:pPr>
        <w:pStyle w:val="ListParagraph"/>
        <w:numPr>
          <w:ilvl w:val="0"/>
          <w:numId w:val="1"/>
        </w:numPr>
        <w:spacing w:line="360" w:lineRule="auto"/>
        <w:ind w:left="714" w:hanging="357"/>
        <w:contextualSpacing w:val="0"/>
        <w:jc w:val="both"/>
        <w:rPr>
          <w:sz w:val="24"/>
          <w:szCs w:val="24"/>
        </w:rPr>
      </w:pPr>
      <w:r w:rsidRPr="00EE613C">
        <w:rPr>
          <w:rFonts w:hint="cs"/>
          <w:sz w:val="24"/>
          <w:szCs w:val="24"/>
          <w:rtl/>
        </w:rPr>
        <w:t>לאורך השנים האחרונות חלה התעניינות גוברת והולכת בפעילות בתי המשפט הצבאיים, המתבטאת בהגעתם של גורמים חיצוניים רבים לבתי המשפט. יודגש כי אין הכוונה לנאשמים ובני משפחותיהם, או לקורבנות עבירה ובני משפחותיהם, אלא לגורמים כארגוני זכויות אדם, דיפלומטים זרים וגורמי תקשורת ישראלית וזרה.</w:t>
      </w:r>
    </w:p>
    <w:p w14:paraId="5F233AB1" w14:textId="55B282EC" w:rsidR="00A07004" w:rsidRPr="00EE613C" w:rsidRDefault="00A07004" w:rsidP="00EE613C">
      <w:pPr>
        <w:pStyle w:val="ListParagraph"/>
        <w:numPr>
          <w:ilvl w:val="0"/>
          <w:numId w:val="1"/>
        </w:numPr>
        <w:spacing w:line="360" w:lineRule="auto"/>
        <w:ind w:left="714" w:hanging="357"/>
        <w:contextualSpacing w:val="0"/>
        <w:jc w:val="both"/>
        <w:rPr>
          <w:sz w:val="24"/>
          <w:szCs w:val="24"/>
        </w:rPr>
      </w:pPr>
      <w:r w:rsidRPr="00EE613C">
        <w:rPr>
          <w:rFonts w:hint="cs"/>
          <w:sz w:val="24"/>
          <w:szCs w:val="24"/>
          <w:rtl/>
        </w:rPr>
        <w:t xml:space="preserve">כך למשל, בשנת 2018 ביקרו בבתי המשפט הצבאיים 72 דיפלומטים זרים, 614 אנשים </w:t>
      </w:r>
      <w:r w:rsidR="00EE613C" w:rsidRPr="00EE613C">
        <w:rPr>
          <w:rFonts w:hint="cs"/>
          <w:sz w:val="24"/>
          <w:szCs w:val="24"/>
          <w:rtl/>
        </w:rPr>
        <w:t xml:space="preserve">נוספים </w:t>
      </w:r>
      <w:r w:rsidRPr="00EE613C">
        <w:rPr>
          <w:rFonts w:hint="cs"/>
          <w:sz w:val="24"/>
          <w:szCs w:val="24"/>
          <w:rtl/>
        </w:rPr>
        <w:t>בעלי דרכון זר</w:t>
      </w:r>
      <w:r w:rsidR="00EE613C" w:rsidRPr="00EE613C">
        <w:rPr>
          <w:rFonts w:hint="cs"/>
          <w:sz w:val="24"/>
          <w:szCs w:val="24"/>
          <w:rtl/>
        </w:rPr>
        <w:t xml:space="preserve"> (שאינם דיפלומטים) ו-216 נציגי תקשורת זרה.</w:t>
      </w:r>
      <w:r w:rsidR="00080C2D">
        <w:rPr>
          <w:rFonts w:hint="cs"/>
          <w:sz w:val="24"/>
          <w:szCs w:val="24"/>
          <w:rtl/>
        </w:rPr>
        <w:t xml:space="preserve"> בשנת 2019, הגיעו 29 דיפלומטים זרים, 650 נוספים בעלי דרכון זר ועוד 57 נציגי תקשורת זרה.</w:t>
      </w:r>
    </w:p>
    <w:p w14:paraId="658F6EEA" w14:textId="77777777" w:rsidR="00A07004" w:rsidRPr="00EE613C" w:rsidRDefault="00A07004" w:rsidP="00EE613C">
      <w:pPr>
        <w:pStyle w:val="ListParagraph"/>
        <w:numPr>
          <w:ilvl w:val="0"/>
          <w:numId w:val="1"/>
        </w:numPr>
        <w:spacing w:line="360" w:lineRule="auto"/>
        <w:ind w:left="714" w:hanging="357"/>
        <w:contextualSpacing w:val="0"/>
        <w:jc w:val="both"/>
        <w:rPr>
          <w:sz w:val="24"/>
          <w:szCs w:val="24"/>
        </w:rPr>
      </w:pPr>
      <w:r w:rsidRPr="00EE613C">
        <w:rPr>
          <w:rFonts w:hint="cs"/>
          <w:sz w:val="24"/>
          <w:szCs w:val="24"/>
          <w:rtl/>
        </w:rPr>
        <w:t xml:space="preserve">מרבית הגורמים הזרים המגיעים לבתי המשפט מוזמנים ומלווים על ידי גורמים בעלי אינטרס מובהק להציג את מערכת הצדק הישראלית באור שלילי. כך למשל, חלק מהגורמים מלווים על ידי ארגונים כמו </w:t>
      </w:r>
      <w:r w:rsidRPr="00EE613C">
        <w:rPr>
          <w:sz w:val="24"/>
          <w:szCs w:val="24"/>
        </w:rPr>
        <w:t>military court watch</w:t>
      </w:r>
      <w:r w:rsidRPr="00EE613C">
        <w:rPr>
          <w:rFonts w:hint="cs"/>
          <w:sz w:val="24"/>
          <w:szCs w:val="24"/>
          <w:rtl/>
        </w:rPr>
        <w:t xml:space="preserve">, </w:t>
      </w:r>
      <w:r w:rsidRPr="00EE613C">
        <w:rPr>
          <w:rFonts w:hint="cs"/>
          <w:sz w:val="24"/>
          <w:szCs w:val="24"/>
        </w:rPr>
        <w:t>DCI</w:t>
      </w:r>
      <w:r w:rsidRPr="00EE613C">
        <w:rPr>
          <w:rFonts w:hint="cs"/>
          <w:sz w:val="24"/>
          <w:szCs w:val="24"/>
          <w:rtl/>
        </w:rPr>
        <w:t xml:space="preserve"> (</w:t>
      </w:r>
      <w:proofErr w:type="spellStart"/>
      <w:r w:rsidRPr="00EE613C">
        <w:rPr>
          <w:sz w:val="24"/>
          <w:szCs w:val="24"/>
        </w:rPr>
        <w:t>defence</w:t>
      </w:r>
      <w:proofErr w:type="spellEnd"/>
      <w:r w:rsidRPr="00EE613C">
        <w:rPr>
          <w:sz w:val="24"/>
          <w:szCs w:val="24"/>
        </w:rPr>
        <w:t xml:space="preserve"> for children international</w:t>
      </w:r>
      <w:r w:rsidRPr="00EE613C">
        <w:rPr>
          <w:rFonts w:hint="cs"/>
          <w:sz w:val="24"/>
          <w:szCs w:val="24"/>
          <w:rtl/>
        </w:rPr>
        <w:t xml:space="preserve">) וארגונים רבים אחרים המזוהים חלקם עם פעילות </w:t>
      </w:r>
      <w:r w:rsidRPr="00EE613C">
        <w:rPr>
          <w:rFonts w:hint="cs"/>
          <w:sz w:val="24"/>
          <w:szCs w:val="24"/>
        </w:rPr>
        <w:t>BDS</w:t>
      </w:r>
      <w:r w:rsidRPr="00EE613C">
        <w:rPr>
          <w:rFonts w:hint="cs"/>
          <w:sz w:val="24"/>
          <w:szCs w:val="24"/>
          <w:rtl/>
        </w:rPr>
        <w:t xml:space="preserve"> וחלקם עם גורמים מדיניים המבקשים לפגוע בלגיטימיות הפעולה של מדינת ישראל. בעת הביקור בבתי המשפט אין גורם מצד מדינת ישראל שפועל על מנת להציג את העמדה הישראלית ואת העמידה של ישראל בסטנדרטים בינלאומיים של עריכת משפט הוגן.</w:t>
      </w:r>
      <w:r w:rsidR="00EE613C" w:rsidRPr="00EE613C">
        <w:rPr>
          <w:rFonts w:hint="cs"/>
          <w:sz w:val="24"/>
          <w:szCs w:val="24"/>
          <w:rtl/>
        </w:rPr>
        <w:t xml:space="preserve"> </w:t>
      </w:r>
    </w:p>
    <w:p w14:paraId="4A9F0650" w14:textId="5BA1978E" w:rsidR="00EE613C" w:rsidRPr="00EE613C" w:rsidRDefault="00EE613C" w:rsidP="00EE613C">
      <w:pPr>
        <w:pStyle w:val="ListParagraph"/>
        <w:numPr>
          <w:ilvl w:val="0"/>
          <w:numId w:val="1"/>
        </w:numPr>
        <w:spacing w:line="360" w:lineRule="auto"/>
        <w:ind w:left="714" w:hanging="357"/>
        <w:contextualSpacing w:val="0"/>
        <w:jc w:val="both"/>
        <w:rPr>
          <w:sz w:val="24"/>
          <w:szCs w:val="24"/>
        </w:rPr>
      </w:pPr>
      <w:r w:rsidRPr="00EE613C">
        <w:rPr>
          <w:rFonts w:hint="cs"/>
          <w:sz w:val="24"/>
          <w:szCs w:val="24"/>
          <w:rtl/>
        </w:rPr>
        <w:t>המטרה המרכזית של אותם גורמים היא להשפיע על מעצבי דעת קהל וגורמים דיפלומטיים במדינות שונות כנגד ישראל ופעולותיה.</w:t>
      </w:r>
      <w:r>
        <w:rPr>
          <w:rFonts w:hint="cs"/>
          <w:sz w:val="24"/>
          <w:szCs w:val="24"/>
          <w:rtl/>
        </w:rPr>
        <w:t xml:space="preserve"> מצב עניינים זה הוביל מספר פעמים בעבר לשאילתות שהגיעו למשרד החוץ מפרלמנטים של מדינות ידידותיות לגבי התנהלותה המשפטית של מדינת ישראל כלפי נאשמים פלסטינים (בעיקר קטינים)</w:t>
      </w:r>
      <w:r w:rsidR="00CC698D">
        <w:rPr>
          <w:rFonts w:hint="cs"/>
          <w:sz w:val="24"/>
          <w:szCs w:val="24"/>
          <w:rtl/>
        </w:rPr>
        <w:t xml:space="preserve"> וכן לדו"חות </w:t>
      </w:r>
      <w:r w:rsidR="00F31B20">
        <w:rPr>
          <w:rFonts w:hint="cs"/>
          <w:sz w:val="24"/>
          <w:szCs w:val="24"/>
          <w:rtl/>
        </w:rPr>
        <w:t>אנטי-ישראליים עמם נאלצה מדינת ישראל להתמודד</w:t>
      </w:r>
      <w:r>
        <w:rPr>
          <w:rFonts w:hint="cs"/>
          <w:sz w:val="24"/>
          <w:szCs w:val="24"/>
          <w:rtl/>
        </w:rPr>
        <w:t>.</w:t>
      </w:r>
    </w:p>
    <w:p w14:paraId="51C1F5D7" w14:textId="77777777" w:rsidR="00A07004" w:rsidRPr="00EE613C" w:rsidRDefault="00EE613C" w:rsidP="00EE613C">
      <w:pPr>
        <w:pStyle w:val="ListParagraph"/>
        <w:numPr>
          <w:ilvl w:val="0"/>
          <w:numId w:val="1"/>
        </w:numPr>
        <w:spacing w:line="360" w:lineRule="auto"/>
        <w:ind w:left="714" w:hanging="357"/>
        <w:contextualSpacing w:val="0"/>
        <w:jc w:val="both"/>
        <w:rPr>
          <w:sz w:val="24"/>
          <w:szCs w:val="24"/>
        </w:rPr>
      </w:pPr>
      <w:r w:rsidRPr="00EE613C">
        <w:rPr>
          <w:rFonts w:hint="cs"/>
          <w:sz w:val="24"/>
          <w:szCs w:val="24"/>
          <w:rtl/>
        </w:rPr>
        <w:t xml:space="preserve">מצב עניינים זה בו קיימת פעילות דיפלומטית ודעת קהל ענפה שמטרתה שלילית, שאינה זוכה למענה כלשהו מצד מדינת ישראל, פוגעת במאמצים הדיפלומטיים </w:t>
      </w:r>
      <w:r w:rsidRPr="00EE613C">
        <w:rPr>
          <w:rFonts w:hint="cs"/>
          <w:sz w:val="24"/>
          <w:szCs w:val="24"/>
          <w:rtl/>
        </w:rPr>
        <w:lastRenderedPageBreak/>
        <w:t xml:space="preserve">להראות כי מדינת ישראל פועלת באופן הגון, הולם ובהתאם לעקרונות אוניברסליים בינלאומיים של הבטחת הליך הוגן ומשפט צדק. </w:t>
      </w:r>
    </w:p>
    <w:p w14:paraId="19011D96" w14:textId="562CAABE" w:rsidR="00EE613C" w:rsidRPr="00EE613C" w:rsidRDefault="009C5E8C" w:rsidP="00EE613C">
      <w:pPr>
        <w:pStyle w:val="ListParagraph"/>
        <w:numPr>
          <w:ilvl w:val="0"/>
          <w:numId w:val="1"/>
        </w:numPr>
        <w:spacing w:line="360" w:lineRule="auto"/>
        <w:ind w:left="714" w:hanging="357"/>
        <w:contextualSpacing w:val="0"/>
        <w:jc w:val="both"/>
        <w:rPr>
          <w:sz w:val="24"/>
          <w:szCs w:val="24"/>
        </w:rPr>
      </w:pPr>
      <w:r>
        <w:rPr>
          <w:rFonts w:hint="cs"/>
          <w:sz w:val="24"/>
          <w:szCs w:val="24"/>
          <w:rtl/>
        </w:rPr>
        <w:t>נבקש לפיכך, להפנות את תשומת ל</w:t>
      </w:r>
      <w:r w:rsidR="00206910">
        <w:rPr>
          <w:rFonts w:hint="cs"/>
          <w:sz w:val="24"/>
          <w:szCs w:val="24"/>
          <w:rtl/>
        </w:rPr>
        <w:t>י</w:t>
      </w:r>
      <w:r>
        <w:rPr>
          <w:rFonts w:hint="cs"/>
          <w:sz w:val="24"/>
          <w:szCs w:val="24"/>
          <w:rtl/>
        </w:rPr>
        <w:t>בך לעניי</w:t>
      </w:r>
      <w:r w:rsidR="00206910">
        <w:rPr>
          <w:rFonts w:hint="cs"/>
          <w:sz w:val="24"/>
          <w:szCs w:val="24"/>
          <w:rtl/>
        </w:rPr>
        <w:t>נים</w:t>
      </w:r>
      <w:r>
        <w:rPr>
          <w:rFonts w:hint="cs"/>
          <w:sz w:val="24"/>
          <w:szCs w:val="24"/>
          <w:rtl/>
        </w:rPr>
        <w:t xml:space="preserve"> שפורטו לעיל, על מנת שתיבחן האפשרות, ככל שתראה זאת לנכון, </w:t>
      </w:r>
      <w:r w:rsidR="00D41F7C">
        <w:rPr>
          <w:rFonts w:hint="cs"/>
          <w:sz w:val="24"/>
          <w:szCs w:val="24"/>
          <w:rtl/>
        </w:rPr>
        <w:t>למצוא לתופעה זו מענה הולם.</w:t>
      </w:r>
    </w:p>
    <w:sectPr w:rsidR="00EE613C" w:rsidRPr="00EE613C" w:rsidSect="00EB74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1CDC"/>
    <w:multiLevelType w:val="hybridMultilevel"/>
    <w:tmpl w:val="B23AD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68"/>
    <w:rsid w:val="00080C2D"/>
    <w:rsid w:val="00087BEB"/>
    <w:rsid w:val="00206910"/>
    <w:rsid w:val="003D06B0"/>
    <w:rsid w:val="00536482"/>
    <w:rsid w:val="006232B6"/>
    <w:rsid w:val="00786B33"/>
    <w:rsid w:val="0082287F"/>
    <w:rsid w:val="0091313F"/>
    <w:rsid w:val="009C5E8C"/>
    <w:rsid w:val="00A07004"/>
    <w:rsid w:val="00CC698D"/>
    <w:rsid w:val="00D41F7C"/>
    <w:rsid w:val="00EB740C"/>
    <w:rsid w:val="00EE613C"/>
    <w:rsid w:val="00F31B20"/>
    <w:rsid w:val="00F52E9F"/>
    <w:rsid w:val="00FF56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D35B"/>
  <w15:chartTrackingRefBased/>
  <w15:docId w15:val="{E73D21F5-7747-4E12-8D13-5123A45E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לקח</dc:creator>
  <cp:keywords/>
  <dc:description/>
  <cp:lastModifiedBy>u26632</cp:lastModifiedBy>
  <cp:revision>2</cp:revision>
  <dcterms:created xsi:type="dcterms:W3CDTF">2020-02-23T08:55:00Z</dcterms:created>
  <dcterms:modified xsi:type="dcterms:W3CDTF">2020-02-23T08:55:00Z</dcterms:modified>
</cp:coreProperties>
</file>