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618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 xml:space="preserve">ומקיפים </w:t>
      </w:r>
      <w:r w:rsidR="00261896">
        <w:rPr>
          <w:rFonts w:cs="David" w:hint="cs"/>
          <w:sz w:val="24"/>
          <w:szCs w:val="24"/>
          <w:rtl/>
        </w:rPr>
        <w:t>חמישה</w:t>
      </w:r>
      <w:r w:rsidR="003A0974">
        <w:rPr>
          <w:rFonts w:cs="David" w:hint="cs"/>
          <w:sz w:val="24"/>
          <w:szCs w:val="24"/>
          <w:rtl/>
        </w:rPr>
        <w:t xml:space="preserve">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</w:t>
      </w:r>
      <w:r w:rsidR="00261896">
        <w:rPr>
          <w:rFonts w:cs="David" w:hint="cs"/>
          <w:sz w:val="24"/>
          <w:szCs w:val="24"/>
          <w:rtl/>
        </w:rPr>
        <w:t>,</w:t>
      </w:r>
      <w:r w:rsidRPr="008B0B9E">
        <w:rPr>
          <w:rFonts w:cs="David" w:hint="cs"/>
          <w:sz w:val="24"/>
          <w:szCs w:val="24"/>
          <w:rtl/>
        </w:rPr>
        <w:t xml:space="preserve"> חברה</w:t>
      </w:r>
      <w:r w:rsidR="00261896">
        <w:rPr>
          <w:rFonts w:cs="David" w:hint="cs"/>
          <w:sz w:val="24"/>
          <w:szCs w:val="24"/>
          <w:rtl/>
        </w:rPr>
        <w:t xml:space="preserve"> וטכנולוגיה</w:t>
      </w:r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ליטא</w:t>
      </w:r>
      <w:r w:rsidR="00BA46E0">
        <w:rPr>
          <w:rFonts w:cs="David" w:hint="cs"/>
          <w:sz w:val="24"/>
          <w:szCs w:val="24"/>
          <w:rtl/>
        </w:rPr>
        <w:t xml:space="preserve">, </w:t>
      </w:r>
      <w:r w:rsidR="00D31508">
        <w:rPr>
          <w:rFonts w:cs="David" w:hint="cs"/>
          <w:sz w:val="24"/>
          <w:szCs w:val="24"/>
          <w:rtl/>
        </w:rPr>
        <w:t>סרביה</w:t>
      </w:r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 w:rsidR="008302A4">
        <w:rPr>
          <w:rFonts w:cs="David" w:hint="cs"/>
          <w:sz w:val="24"/>
          <w:szCs w:val="24"/>
          <w:rtl/>
        </w:rPr>
        <w:t>כן</w:t>
      </w:r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</w:t>
      </w:r>
      <w:r w:rsidR="00417FA7">
        <w:rPr>
          <w:rFonts w:cs="David" w:hint="cs"/>
          <w:sz w:val="24"/>
          <w:szCs w:val="24"/>
          <w:rtl/>
        </w:rPr>
        <w:lastRenderedPageBreak/>
        <w:t>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>במסגרתו מתבצעת אינטגרציה של מספר דיסציפלינות סביב 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372EE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372EEA">
        <w:rPr>
          <w:rFonts w:cs="David" w:hint="cs"/>
          <w:sz w:val="24"/>
          <w:szCs w:val="24"/>
          <w:rtl/>
        </w:rPr>
        <w:t>ד"ר</w:t>
      </w:r>
      <w:r w:rsidR="00B036A7">
        <w:rPr>
          <w:rFonts w:cs="David" w:hint="cs"/>
          <w:sz w:val="24"/>
          <w:szCs w:val="24"/>
          <w:rtl/>
        </w:rPr>
        <w:t xml:space="preserve">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16596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222C1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proofErr w:type="spellStart"/>
      <w:r w:rsidR="00165963">
        <w:rPr>
          <w:rFonts w:cs="David" w:hint="cs"/>
          <w:sz w:val="24"/>
          <w:szCs w:val="24"/>
          <w:rtl/>
        </w:rPr>
        <w:t>נצ"ם</w:t>
      </w:r>
      <w:proofErr w:type="spellEnd"/>
      <w:r w:rsidR="00165963">
        <w:rPr>
          <w:rFonts w:cs="David" w:hint="cs"/>
          <w:sz w:val="24"/>
          <w:szCs w:val="24"/>
          <w:rtl/>
        </w:rPr>
        <w:t xml:space="preserve"> </w:t>
      </w:r>
      <w:r w:rsidR="00372EEA">
        <w:rPr>
          <w:rFonts w:cs="David" w:hint="cs"/>
          <w:sz w:val="24"/>
          <w:szCs w:val="24"/>
          <w:rtl/>
        </w:rPr>
        <w:t>ד"ר בש</w:t>
      </w:r>
      <w:r w:rsidR="00165963">
        <w:rPr>
          <w:rFonts w:cs="David" w:hint="cs"/>
          <w:sz w:val="24"/>
          <w:szCs w:val="24"/>
          <w:rtl/>
        </w:rPr>
        <w:t>ו</w:t>
      </w:r>
      <w:r w:rsidR="00372EEA">
        <w:rPr>
          <w:rFonts w:cs="David" w:hint="cs"/>
          <w:sz w:val="24"/>
          <w:szCs w:val="24"/>
          <w:rtl/>
        </w:rPr>
        <w:t xml:space="preserve">רה רגב </w:t>
      </w:r>
      <w:bookmarkStart w:id="0" w:name="_GoBack"/>
      <w:bookmarkEnd w:id="0"/>
      <w:r w:rsidR="00B036A7">
        <w:rPr>
          <w:rFonts w:cs="David" w:hint="cs"/>
          <w:sz w:val="24"/>
          <w:szCs w:val="24"/>
          <w:rtl/>
        </w:rPr>
        <w:t>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C0FA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CC0FAF">
        <w:rPr>
          <w:rFonts w:cs="David" w:hint="cs"/>
          <w:sz w:val="24"/>
          <w:szCs w:val="24"/>
          <w:rtl/>
        </w:rPr>
        <w:t xml:space="preserve"> </w:t>
      </w:r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372E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אלון מצליח</w:t>
            </w:r>
          </w:p>
        </w:tc>
        <w:tc>
          <w:tcPr>
            <w:tcW w:w="2261" w:type="dxa"/>
          </w:tcPr>
          <w:p w:rsidR="00DA5FA2" w:rsidRPr="00420595" w:rsidRDefault="00372EEA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השלישות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אולגה פוליאקוב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53D2C"/>
    <w:rsid w:val="00165963"/>
    <w:rsid w:val="001B6517"/>
    <w:rsid w:val="001C0614"/>
    <w:rsid w:val="00261896"/>
    <w:rsid w:val="002A0BA9"/>
    <w:rsid w:val="003111B1"/>
    <w:rsid w:val="0034312F"/>
    <w:rsid w:val="00363D3F"/>
    <w:rsid w:val="00372EEA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222C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9EDE8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DB95-25E8-47A1-8B47-4E50DE68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4215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3</cp:revision>
  <dcterms:created xsi:type="dcterms:W3CDTF">2020-09-13T04:57:00Z</dcterms:created>
  <dcterms:modified xsi:type="dcterms:W3CDTF">2020-09-13T05:00:00Z</dcterms:modified>
</cp:coreProperties>
</file>