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D51D" w14:textId="611C0A7A" w:rsidR="00346FD0" w:rsidRPr="00207809" w:rsidRDefault="00346FD0" w:rsidP="00207809">
      <w:pPr>
        <w:spacing w:line="240" w:lineRule="auto"/>
        <w:jc w:val="center"/>
        <w:rPr>
          <w:rFonts w:asciiTheme="minorBidi" w:hAnsiTheme="minorBidi"/>
          <w:sz w:val="26"/>
          <w:szCs w:val="26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מבוא 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גיאו-פוליטיקה 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גיאו-אסטרטגיה</w:t>
      </w:r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בראי הבטל"מ</w:t>
      </w:r>
      <w:r w:rsidR="00207809">
        <w:rPr>
          <w:rFonts w:asciiTheme="minorBidi" w:hAnsiTheme="minorBidi"/>
          <w:b/>
          <w:bCs/>
          <w:sz w:val="26"/>
          <w:szCs w:val="26"/>
          <w:u w:val="single"/>
          <w:rtl/>
        </w:rPr>
        <w:br/>
      </w:r>
      <w:r w:rsidRPr="00207809">
        <w:rPr>
          <w:rFonts w:asciiTheme="minorBidi" w:hAnsiTheme="minorBidi"/>
          <w:sz w:val="24"/>
          <w:szCs w:val="24"/>
          <w:rtl/>
        </w:rPr>
        <w:t xml:space="preserve">מובילים: </w:t>
      </w:r>
      <w:r w:rsidR="00207809">
        <w:rPr>
          <w:rFonts w:asciiTheme="minorBidi" w:hAnsiTheme="minorBidi" w:hint="cs"/>
          <w:sz w:val="24"/>
          <w:szCs w:val="24"/>
          <w:rtl/>
        </w:rPr>
        <w:t xml:space="preserve">פרופ' יוסי בן ארצי, </w:t>
      </w:r>
      <w:r w:rsidR="00207809">
        <w:rPr>
          <w:rFonts w:asciiTheme="minorBidi" w:hAnsiTheme="minorBidi"/>
          <w:sz w:val="24"/>
          <w:szCs w:val="24"/>
          <w:rtl/>
        </w:rPr>
        <w:t>מירב צפרי-אודיז</w:t>
      </w:r>
    </w:p>
    <w:p w14:paraId="6A86F06D" w14:textId="77777777" w:rsidR="00B61683" w:rsidRDefault="00B61683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05C8A82" w14:textId="575171C8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r w:rsidR="00BE060B" w:rsidRPr="00F74D16">
        <w:rPr>
          <w:rFonts w:asciiTheme="minorBidi" w:hAnsiTheme="minorBidi"/>
          <w:sz w:val="24"/>
          <w:szCs w:val="24"/>
          <w:rtl/>
        </w:rPr>
        <w:t>הגיאו-פוליטיקה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F74D16">
        <w:rPr>
          <w:rFonts w:asciiTheme="minorBidi" w:hAnsiTheme="minorBidi"/>
          <w:sz w:val="24"/>
          <w:szCs w:val="24"/>
          <w:rtl/>
        </w:rPr>
        <w:t>הגיאו-אסטרטגיה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>כלול היחסים 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r w:rsidR="00D05068">
        <w:rPr>
          <w:rFonts w:asciiTheme="minorBidi" w:hAnsiTheme="minorBidi" w:hint="cs"/>
          <w:sz w:val="24"/>
          <w:szCs w:val="24"/>
          <w:rtl/>
        </w:rPr>
        <w:t>בגיאו-פוליטיקה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>מושגי יסוד: גיאוגרפיה, גיאו-פוליטיקה, גיאו-אסטרטגיה</w:t>
      </w:r>
    </w:p>
    <w:p w14:paraId="07C937F2" w14:textId="77777777" w:rsidR="006B1FF9" w:rsidRPr="00BB2A49" w:rsidRDefault="006B1FF9" w:rsidP="006B1FF9">
      <w:pPr>
        <w:pStyle w:val="a3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בגיאו-פוליטיקה </w:t>
      </w:r>
    </w:p>
    <w:p w14:paraId="1332D8B3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BB2A49">
        <w:rPr>
          <w:rFonts w:asciiTheme="minorBidi" w:hAnsiTheme="minorBidi"/>
          <w:sz w:val="24"/>
          <w:szCs w:val="24"/>
          <w:rtl/>
        </w:rPr>
        <w:t>דגנית פייקובסקי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BB2A49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BB2A49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73AEDEC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A8B13FB" w14:textId="00290DD6" w:rsidR="0017790A" w:rsidRPr="004D6253" w:rsidRDefault="0017790A" w:rsidP="004D6253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1D4E09">
        <w:rPr>
          <w:rFonts w:asciiTheme="minorBidi" w:hAnsiTheme="minorBidi" w:hint="cs"/>
          <w:sz w:val="24"/>
          <w:szCs w:val="24"/>
          <w:rtl/>
        </w:rPr>
        <w:t xml:space="preserve">השגריר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>צבי מגן: הדוקטרינה של פוטין בהקשרים גיאו-אסטרטגיים</w:t>
      </w:r>
    </w:p>
    <w:p w14:paraId="31C92484" w14:textId="77777777" w:rsidR="0017790A" w:rsidRPr="0017790A" w:rsidRDefault="0017790A" w:rsidP="0017790A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334D42A9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7CC8AE9C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>ברמה 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a3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מטלת הקורס הינה צוותית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גיאו-אסטרטגיים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דוגמאות: הסכר על הנילוס; רפובליקת ארצנאך (נגורנו-קרבך);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יעודי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השלישי תיערך המצגת ותשופר לאור כל אלה, ותוגש כעבודת סיכום צוותית</w:t>
      </w:r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21E2AE8F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F9A599B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056D4C" w14:textId="104F5C73" w:rsidR="00264C5D" w:rsidRPr="00744530" w:rsidRDefault="00264C5D" w:rsidP="00F0005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4B1CD7CD" w:rsidR="00DF5D0B" w:rsidRPr="00DD0F4F" w:rsidRDefault="00DD0F4F" w:rsidP="0058026E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מאמרי</w:t>
      </w:r>
      <w:r w:rsidR="0058026E">
        <w:rPr>
          <w:rFonts w:asciiTheme="minorBidi" w:hAnsiTheme="minorBidi" w:hint="cs"/>
          <w:sz w:val="24"/>
          <w:szCs w:val="24"/>
          <w:rtl/>
        </w:rPr>
        <w:t xml:space="preserve"> החובה</w:t>
      </w:r>
      <w:r w:rsidR="00DF5D0B" w:rsidRPr="00DD0F4F">
        <w:rPr>
          <w:rFonts w:asciiTheme="minorBidi" w:hAnsiTheme="minorBidi"/>
          <w:sz w:val="24"/>
          <w:szCs w:val="24"/>
          <w:rtl/>
        </w:rPr>
        <w:t xml:space="preserve">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0AB92411" w14:textId="77777777" w:rsidR="00F00059" w:rsidRDefault="00F00059" w:rsidP="00DF5D0B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C5FB1B0" w14:textId="7D178794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764B6C2E" w14:textId="77777777" w:rsidR="0054512D" w:rsidRDefault="0054512D" w:rsidP="00DE10FB">
      <w:pPr>
        <w:bidi w:val="0"/>
        <w:spacing w:line="240" w:lineRule="auto"/>
        <w:rPr>
          <w:rFonts w:asciiTheme="minorBidi" w:hAnsiTheme="minorBidi"/>
          <w:sz w:val="24"/>
          <w:szCs w:val="24"/>
          <w:u w:val="single"/>
        </w:rPr>
      </w:pPr>
    </w:p>
    <w:p w14:paraId="63D6B5D1" w14:textId="163E7CEE" w:rsidR="00DF5D0B" w:rsidRPr="00DE10FB" w:rsidRDefault="00DF5D0B" w:rsidP="0054512D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50D9BBC8" w:rsidR="00DF5D0B" w:rsidRPr="00DD3DFD" w:rsidRDefault="0054512D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 xml:space="preserve">להעשרה: 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Haass, </w:t>
      </w:r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47FA5F1D" w14:textId="77777777" w:rsidR="00A825A8" w:rsidRDefault="00A825A8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95A5291" w14:textId="55C37F60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>uclear proliferation', in: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s,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 w:rsidRPr="007F3083">
        <w:rPr>
          <w:rFonts w:asciiTheme="minorBidi" w:hAnsiTheme="minorBidi"/>
          <w:i/>
          <w:iCs/>
          <w:sz w:val="24"/>
          <w:szCs w:val="24"/>
        </w:rPr>
        <w:t>The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r w:rsidRPr="00DA07F2">
        <w:rPr>
          <w:rFonts w:asciiTheme="minorBidi" w:hAnsiTheme="minorBidi"/>
          <w:sz w:val="24"/>
          <w:szCs w:val="24"/>
        </w:rPr>
        <w:t>Is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for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r>
        <w:rPr>
          <w:rFonts w:asciiTheme="minorBidi" w:hAnsiTheme="minorBidi"/>
          <w:color w:val="000000"/>
          <w:sz w:val="24"/>
          <w:szCs w:val="24"/>
        </w:rPr>
        <w:t>,767-787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>Asia-Pacific Programme</w:t>
      </w:r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עילי רטיג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1D4E09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1D4E09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סלרייה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 וגיאוסטרטגיה</w:t>
      </w:r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Blacksell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Blouet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Global Geostrategy – Mackinder and the defence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Dodds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Guzzini Staefano (ed.).,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and Geoculture</w:t>
      </w:r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>, Ny 2012</w:t>
      </w:r>
    </w:p>
    <w:p w14:paraId="6A15FAC9" w14:textId="0EE74811" w:rsidR="0009007D" w:rsidRPr="00F74D16" w:rsidRDefault="0009007D" w:rsidP="004A659A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</w:t>
      </w:r>
      <w:r w:rsidRPr="00F74D16">
        <w:rPr>
          <w:rFonts w:asciiTheme="minorBidi" w:hAnsiTheme="minorBidi"/>
          <w:sz w:val="24"/>
          <w:szCs w:val="24"/>
        </w:rPr>
        <w:t>Washington, D.C.:,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D4E09"/>
    <w:rsid w:val="001E2153"/>
    <w:rsid w:val="001F398A"/>
    <w:rsid w:val="001F3DD6"/>
    <w:rsid w:val="00205B1C"/>
    <w:rsid w:val="00207809"/>
    <w:rsid w:val="00231F75"/>
    <w:rsid w:val="002535E9"/>
    <w:rsid w:val="0025444E"/>
    <w:rsid w:val="00264B89"/>
    <w:rsid w:val="00264C5D"/>
    <w:rsid w:val="00265903"/>
    <w:rsid w:val="00273F56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A659A"/>
    <w:rsid w:val="004B3864"/>
    <w:rsid w:val="004D0E27"/>
    <w:rsid w:val="004D6253"/>
    <w:rsid w:val="004D7673"/>
    <w:rsid w:val="00507329"/>
    <w:rsid w:val="00523C0D"/>
    <w:rsid w:val="00524ECD"/>
    <w:rsid w:val="00537C26"/>
    <w:rsid w:val="0054512D"/>
    <w:rsid w:val="00545C3C"/>
    <w:rsid w:val="00550868"/>
    <w:rsid w:val="00563F71"/>
    <w:rsid w:val="005753D9"/>
    <w:rsid w:val="00577C8F"/>
    <w:rsid w:val="0058026E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54DBA"/>
    <w:rsid w:val="00762EFA"/>
    <w:rsid w:val="007A1BC3"/>
    <w:rsid w:val="007E46DF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25A8"/>
    <w:rsid w:val="00A86FAF"/>
    <w:rsid w:val="00AA4E65"/>
    <w:rsid w:val="00AC1166"/>
    <w:rsid w:val="00AC48DF"/>
    <w:rsid w:val="00AD5B47"/>
    <w:rsid w:val="00AE5083"/>
    <w:rsid w:val="00B538D9"/>
    <w:rsid w:val="00B61683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00059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D2C6E78F-58A4-434B-9293-90F3713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E535-E0E1-4CBD-81D3-58113E9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1270</Words>
  <Characters>6354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13</cp:revision>
  <cp:lastPrinted>2020-09-06T05:01:00Z</cp:lastPrinted>
  <dcterms:created xsi:type="dcterms:W3CDTF">2020-09-09T10:29:00Z</dcterms:created>
  <dcterms:modified xsi:type="dcterms:W3CDTF">2020-09-10T19:44:00Z</dcterms:modified>
</cp:coreProperties>
</file>