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C5" w:rsidRDefault="00D009C5" w:rsidP="00D009C5">
      <w:pPr>
        <w:jc w:val="center"/>
        <w:rPr>
          <w:sz w:val="144"/>
          <w:szCs w:val="144"/>
          <w:rtl/>
        </w:rPr>
      </w:pPr>
      <w:r>
        <w:rPr>
          <w:noProof/>
          <w:sz w:val="144"/>
          <w:szCs w:val="144"/>
        </w:rPr>
        <w:drawing>
          <wp:inline distT="0" distB="0" distL="0" distR="0">
            <wp:extent cx="1943100" cy="2352675"/>
            <wp:effectExtent l="0" t="0" r="0" b="9525"/>
            <wp:docPr id="2" name="תמונה 2" descr="C:\Users\אטיה\AppData\Local\Microsoft\Windows\INetCache\Content.MSO\887FD4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אטיה\AppData\Local\Microsoft\Windows\INetCache\Content.MSO\887FD45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CC6" w:rsidRPr="00D009C5" w:rsidRDefault="00D009C5" w:rsidP="00D009C5">
      <w:pPr>
        <w:jc w:val="center"/>
        <w:rPr>
          <w:sz w:val="56"/>
          <w:szCs w:val="56"/>
          <w:rtl/>
        </w:rPr>
      </w:pPr>
      <w:r w:rsidRPr="00D009C5">
        <w:rPr>
          <w:rFonts w:hint="cs"/>
          <w:sz w:val="56"/>
          <w:szCs w:val="56"/>
          <w:rtl/>
        </w:rPr>
        <w:t>מכללה לביטחון לאומי</w:t>
      </w:r>
    </w:p>
    <w:p w:rsidR="00D009C5" w:rsidRDefault="00D009C5" w:rsidP="00D009C5">
      <w:pPr>
        <w:jc w:val="center"/>
        <w:rPr>
          <w:sz w:val="56"/>
          <w:szCs w:val="56"/>
          <w:rtl/>
        </w:rPr>
      </w:pPr>
    </w:p>
    <w:p w:rsidR="00722125" w:rsidRDefault="009312E3" w:rsidP="009B143B">
      <w:pPr>
        <w:jc w:val="center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סיור אירופה</w:t>
      </w:r>
    </w:p>
    <w:p w:rsidR="009312E3" w:rsidRDefault="009312E3" w:rsidP="009B143B">
      <w:pPr>
        <w:jc w:val="center"/>
        <w:rPr>
          <w:b/>
          <w:bCs/>
          <w:sz w:val="56"/>
          <w:szCs w:val="56"/>
          <w:rtl/>
        </w:rPr>
      </w:pPr>
      <w:r>
        <w:rPr>
          <w:rFonts w:hint="cs"/>
          <w:b/>
          <w:bCs/>
          <w:sz w:val="56"/>
          <w:szCs w:val="56"/>
          <w:rtl/>
        </w:rPr>
        <w:t>מסמך מסכם צוות קפריסין</w:t>
      </w:r>
    </w:p>
    <w:p w:rsidR="00D009C5" w:rsidRDefault="00D009C5" w:rsidP="00D009C5">
      <w:pPr>
        <w:jc w:val="center"/>
        <w:rPr>
          <w:sz w:val="144"/>
          <w:szCs w:val="144"/>
          <w:rtl/>
        </w:rPr>
      </w:pPr>
    </w:p>
    <w:p w:rsidR="00D009C5" w:rsidRDefault="00D009C5" w:rsidP="00D009C5">
      <w:pPr>
        <w:jc w:val="center"/>
        <w:rPr>
          <w:sz w:val="36"/>
          <w:szCs w:val="36"/>
          <w:rtl/>
        </w:rPr>
      </w:pPr>
      <w:r w:rsidRPr="00D009C5">
        <w:rPr>
          <w:rFonts w:hint="cs"/>
          <w:sz w:val="36"/>
          <w:szCs w:val="36"/>
          <w:rtl/>
        </w:rPr>
        <w:t>מחזור מ"ז</w:t>
      </w:r>
    </w:p>
    <w:p w:rsidR="009312E3" w:rsidRDefault="009312E3" w:rsidP="00D009C5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שחר </w:t>
      </w:r>
      <w:proofErr w:type="spellStart"/>
      <w:r>
        <w:rPr>
          <w:rFonts w:hint="cs"/>
          <w:sz w:val="36"/>
          <w:szCs w:val="36"/>
          <w:rtl/>
        </w:rPr>
        <w:t>בץ</w:t>
      </w:r>
      <w:proofErr w:type="spellEnd"/>
    </w:p>
    <w:p w:rsidR="009312E3" w:rsidRPr="00D009C5" w:rsidRDefault="009312E3" w:rsidP="00D009C5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שלומי בן-מוחה</w:t>
      </w:r>
    </w:p>
    <w:p w:rsidR="009312E3" w:rsidRDefault="004B5A27" w:rsidP="009312E3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אביעד אטיה</w:t>
      </w:r>
    </w:p>
    <w:p w:rsidR="00D009C5" w:rsidRDefault="00D009C5" w:rsidP="00D009C5">
      <w:pPr>
        <w:jc w:val="center"/>
        <w:rPr>
          <w:sz w:val="36"/>
          <w:szCs w:val="36"/>
          <w:rtl/>
        </w:rPr>
      </w:pPr>
    </w:p>
    <w:p w:rsidR="004B5A27" w:rsidRDefault="004B5A27">
      <w:pPr>
        <w:pStyle w:val="TOC3"/>
        <w:ind w:left="446"/>
        <w:rPr>
          <w:cs w:val="0"/>
        </w:rPr>
      </w:pPr>
    </w:p>
    <w:p w:rsidR="004B5A27" w:rsidRDefault="004B5A27">
      <w:pPr>
        <w:pStyle w:val="TOC3"/>
        <w:ind w:left="446"/>
        <w:rPr>
          <w:cs w:val="0"/>
        </w:rPr>
      </w:pPr>
    </w:p>
    <w:p w:rsidR="004B5A27" w:rsidRDefault="004B5A27">
      <w:pPr>
        <w:pStyle w:val="TOC3"/>
        <w:ind w:left="446"/>
        <w:rPr>
          <w:cs w:val="0"/>
        </w:rPr>
      </w:pPr>
    </w:p>
    <w:p w:rsidR="004B5A27" w:rsidRDefault="004B5A27">
      <w:pPr>
        <w:pStyle w:val="TOC3"/>
        <w:ind w:left="446"/>
        <w:rPr>
          <w:cs w:val="0"/>
        </w:rPr>
      </w:pPr>
    </w:p>
    <w:p w:rsidR="004B5A27" w:rsidRDefault="004B5A27">
      <w:pPr>
        <w:pStyle w:val="TOC3"/>
        <w:ind w:left="446"/>
        <w:rPr>
          <w:cs w:val="0"/>
        </w:rPr>
      </w:pPr>
    </w:p>
    <w:p w:rsidR="00962871" w:rsidRDefault="009312E3" w:rsidP="00962871">
      <w:pPr>
        <w:pStyle w:val="Heading1"/>
        <w:rPr>
          <w:rtl/>
        </w:rPr>
      </w:pPr>
      <w:r>
        <w:rPr>
          <w:rFonts w:hint="cs"/>
          <w:rtl/>
        </w:rPr>
        <w:lastRenderedPageBreak/>
        <w:t>כללי</w:t>
      </w:r>
    </w:p>
    <w:p w:rsidR="009312E3" w:rsidRDefault="009312E3" w:rsidP="009312E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סמינר אירופה היווה אירוע מסכם לעונה הגלובלית.  הסמינר הורכב משני  חלקים מרכזיים- סמינר צוותי בקפריסין, סמינר מחזורי בבריסל (איחוד אירופאי ונאט"ו).</w:t>
      </w:r>
    </w:p>
    <w:p w:rsidR="00D9285E" w:rsidRDefault="009312E3" w:rsidP="009312E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הסיור באירופה התחלק לשניים- 10-12/11/19 סיור קפריסין, 12-14/11/19 בריסל.</w:t>
      </w:r>
    </w:p>
    <w:p w:rsidR="009312E3" w:rsidRDefault="009312E3" w:rsidP="009312E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מסמך זה יעסוק בתובנות ובלקחים בשלב הטעינה והביצוע של סמינר קפריסין. התובנות הקשורות לסיור המחזורי הועברו וסוכמו בנפרד.</w:t>
      </w:r>
    </w:p>
    <w:p w:rsidR="009312E3" w:rsidRPr="009312E3" w:rsidRDefault="009312E3" w:rsidP="009312E3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החומרים הגולמיים של שלב ההכנה מצויים באתר ה</w:t>
      </w:r>
      <w:r>
        <w:rPr>
          <w:rFonts w:ascii="David" w:hAnsi="David" w:cs="David" w:hint="cs"/>
          <w:sz w:val="28"/>
          <w:szCs w:val="28"/>
        </w:rPr>
        <w:t>TEAMS</w:t>
      </w:r>
      <w:r>
        <w:rPr>
          <w:rFonts w:ascii="David" w:hAnsi="David" w:cs="David" w:hint="cs"/>
          <w:sz w:val="28"/>
          <w:szCs w:val="28"/>
          <w:rtl/>
        </w:rPr>
        <w:t xml:space="preserve"> של </w:t>
      </w:r>
      <w:proofErr w:type="spellStart"/>
      <w:r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תחת </w:t>
      </w:r>
      <w:hyperlink r:id="rId9" w:anchor="/files/1.%20%D7%A1%D7%9E%D7%99%D7%A0%D7%A8%20%D7%90%D7%99%D7%A8%D7%95%D7%A4%D7%94?threadId=19:ccff84c1a8bf4d889644345e5f8665ca@thread.skype&amp;ctx=channel&amp;context=%25D7%25A7%25D7%25A4%25D7%25A8%25D7%2599%25D7%25A1%25D7%2599%25D7%259F" w:history="1">
        <w:r w:rsidRPr="009312E3">
          <w:rPr>
            <w:rStyle w:val="Hyperlink"/>
            <w:rFonts w:ascii="David" w:hAnsi="David" w:cs="David" w:hint="cs"/>
            <w:sz w:val="28"/>
            <w:szCs w:val="28"/>
            <w:rtl/>
          </w:rPr>
          <w:t>מחזור מ"ז &gt; סמינר אירופה &gt; צוות קפריסין</w:t>
        </w:r>
      </w:hyperlink>
      <w:r>
        <w:rPr>
          <w:rFonts w:ascii="David" w:hAnsi="David" w:cs="David" w:hint="cs"/>
          <w:sz w:val="28"/>
          <w:szCs w:val="28"/>
          <w:rtl/>
        </w:rPr>
        <w:t>.</w:t>
      </w:r>
    </w:p>
    <w:p w:rsidR="00722125" w:rsidRDefault="009312E3" w:rsidP="00722125">
      <w:pPr>
        <w:pStyle w:val="Heading1"/>
        <w:jc w:val="both"/>
        <w:rPr>
          <w:rtl/>
        </w:rPr>
      </w:pPr>
      <w:r>
        <w:rPr>
          <w:rFonts w:hint="cs"/>
          <w:rtl/>
        </w:rPr>
        <w:t>תובנות מרכזיות</w:t>
      </w:r>
      <w:r w:rsidR="0016762D">
        <w:rPr>
          <w:rFonts w:hint="cs"/>
          <w:rtl/>
        </w:rPr>
        <w:t xml:space="preserve"> לתכנון וניהול הסמינר</w:t>
      </w:r>
    </w:p>
    <w:p w:rsidR="004034DF" w:rsidRDefault="004034DF" w:rsidP="009312E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שלב הטעינה הינו חלק אינטגרלי ומרכזי בסמינר. יש לתכנן אותו היטב כך ש:</w:t>
      </w:r>
    </w:p>
    <w:p w:rsidR="004034DF" w:rsidRDefault="004034DF" w:rsidP="004034DF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יבנה את הבסיס להבנה בסיור .</w:t>
      </w:r>
    </w:p>
    <w:p w:rsidR="004034DF" w:rsidRDefault="004034DF" w:rsidP="004034DF">
      <w:pPr>
        <w:pStyle w:val="ListParagraph"/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ישלים חלקים שלא ניתן לראות/להספיק במהלך הסיור.</w:t>
      </w:r>
    </w:p>
    <w:p w:rsidR="009312E3" w:rsidRDefault="004034DF" w:rsidP="009312E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המרכיב העיקרי בהצלחת הסמינר הוא היכולת לרתום את כלל חברי הצוות לכדי עשייה. ביריית הפתיחה חולקה אחריות לכל זוג משתתפים בצוות כך שהם יכסו תחום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בבטל"מ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עם הכוונה לשאלת המחקר.</w:t>
      </w:r>
    </w:p>
    <w:p w:rsidR="004034DF" w:rsidRDefault="0016762D" w:rsidP="009312E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שאלת המחקר חייבת להיות ממוקדת ותכליתית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לא ניתן לכסות תחום רחב ביומיים וחצי ברוטו. </w:t>
      </w:r>
      <w:r w:rsidR="00757A7B">
        <w:rPr>
          <w:rFonts w:ascii="David" w:hAnsi="David" w:cs="David" w:hint="cs"/>
          <w:sz w:val="28"/>
          <w:szCs w:val="28"/>
          <w:rtl/>
        </w:rPr>
        <w:t>המלצתנו היא גיבוש תחום ראשוני בו תעסקו ומיקוד שאלת המחקר אחרי יום טעינה ראשון בו תכירו טוב יותר את המדינה והתחום.</w:t>
      </w:r>
    </w:p>
    <w:p w:rsidR="00F6231B" w:rsidRDefault="00F6231B" w:rsidP="00F6231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איך לומדים זו שאלת מפתח. מומלץ להשקיע מחשבה בתכנון אופן הלמידה כך שיהיה מגוון, מעניין ויביא לידי ביטוי את חברי הצוות השונים. שיטות הלמידה כוללות לימוד </w:t>
      </w:r>
      <w:r>
        <w:rPr>
          <w:rFonts w:ascii="David" w:hAnsi="David" w:cs="David" w:hint="cs"/>
          <w:sz w:val="28"/>
          <w:szCs w:val="28"/>
          <w:rtl/>
        </w:rPr>
        <w:t xml:space="preserve">אינטראקטיבי, סיור רגלי, שיחה </w:t>
      </w:r>
      <w:proofErr w:type="spellStart"/>
      <w:r>
        <w:rPr>
          <w:rFonts w:ascii="David" w:hAnsi="David" w:cs="David" w:hint="cs"/>
          <w:sz w:val="28"/>
          <w:szCs w:val="28"/>
          <w:rtl/>
        </w:rPr>
        <w:t>צוותית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משחק תפקידים, קבוצות למידה קטנות ועוד. יש להתייעץ עם המדריך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הצוותי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וסגל </w:t>
      </w:r>
      <w:proofErr w:type="spellStart"/>
      <w:r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שיעזרו בתכנון </w:t>
      </w:r>
      <w:r>
        <w:rPr>
          <w:rFonts w:ascii="David" w:hAnsi="David" w:cs="David" w:hint="cs"/>
          <w:sz w:val="28"/>
          <w:szCs w:val="28"/>
          <w:rtl/>
        </w:rPr>
        <w:t>ומיקוד</w:t>
      </w:r>
      <w:r>
        <w:rPr>
          <w:rFonts w:ascii="David" w:hAnsi="David" w:cs="David" w:hint="cs"/>
          <w:sz w:val="28"/>
          <w:szCs w:val="28"/>
          <w:rtl/>
        </w:rPr>
        <w:t>. יש ערך רב גם ללמידה איך ללמוד.</w:t>
      </w:r>
    </w:p>
    <w:p w:rsidR="0016762D" w:rsidRDefault="0016762D" w:rsidP="0016762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מבנה הסיור בשטח צריך להיות מגוון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שיח עם בכירים, שיח עם דמויות א-פורמליות, זמן שטח וזמן צוותי לגיבוש. ככלל עדיף מראה עיניים ממשמע אוזניים.</w:t>
      </w:r>
    </w:p>
    <w:p w:rsidR="0016762D" w:rsidRDefault="0016762D" w:rsidP="0016762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בחירת המדינה בסמינר צריכה להיות ברדיוס שמאפשר ניצול </w:t>
      </w:r>
      <w:proofErr w:type="spellStart"/>
      <w:r>
        <w:rPr>
          <w:rFonts w:ascii="David" w:hAnsi="David" w:cs="David" w:hint="cs"/>
          <w:sz w:val="28"/>
          <w:szCs w:val="28"/>
          <w:rtl/>
        </w:rPr>
        <w:t>מירבי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של השבוע (המלצתנו עד שלוש שעות הגעה לבריסל). הבחירה בקפריסין הייתה </w:t>
      </w:r>
      <w:r>
        <w:rPr>
          <w:rFonts w:ascii="David" w:hAnsi="David" w:cs="David" w:hint="cs"/>
          <w:sz w:val="28"/>
          <w:szCs w:val="28"/>
          <w:rtl/>
        </w:rPr>
        <w:lastRenderedPageBreak/>
        <w:t>מעניינת מאוד לימודית אבל גררה אובדן של יום שלם במהלך השבוע (1/5 מאורך סמינר אירופה).</w:t>
      </w:r>
    </w:p>
    <w:p w:rsidR="0016762D" w:rsidRDefault="0016762D" w:rsidP="0016762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את יריית הפתיחה לסמינר יש לתכנן בתדריך לכלל המובילים הצוותים ביחד. התדריך צריך לכלול את המעטפת: </w:t>
      </w:r>
      <w:proofErr w:type="spellStart"/>
      <w:r>
        <w:rPr>
          <w:rFonts w:ascii="David" w:hAnsi="David" w:cs="David" w:hint="cs"/>
          <w:sz w:val="28"/>
          <w:szCs w:val="28"/>
          <w:rtl/>
        </w:rPr>
        <w:t>גאנט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זמנים, אלמנטים מחייבים (אישור שאלת מחקר, הצגה לאלוף, העברת מנהלות וכו'), לקחים מרכזיים, גישה לחומרי גלם וטיפים להצלחה.</w:t>
      </w:r>
    </w:p>
    <w:p w:rsidR="0016762D" w:rsidRDefault="0016762D" w:rsidP="0016762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proofErr w:type="spellStart"/>
      <w:r>
        <w:rPr>
          <w:rFonts w:ascii="David" w:hAnsi="David" w:cs="David" w:hint="cs"/>
          <w:sz w:val="28"/>
          <w:szCs w:val="28"/>
          <w:rtl/>
        </w:rPr>
        <w:t>הלו"ז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דינמי ומהווה נגזרת של התקדמות בידע (לימוד מתמשך) ויכולת מימוש (לו"ז, </w:t>
      </w:r>
      <w:proofErr w:type="spellStart"/>
      <w:r>
        <w:rPr>
          <w:rFonts w:ascii="David" w:hAnsi="David" w:cs="David" w:hint="cs"/>
          <w:sz w:val="28"/>
          <w:szCs w:val="28"/>
          <w:rtl/>
        </w:rPr>
        <w:t>מז"א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מגבלות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בטחוניות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וכו'). יש לתכנן לו"ז ראשוני המכוון גבוה ולעדכנו עפ"י רשימת דרדור מוגדרת.</w:t>
      </w:r>
    </w:p>
    <w:p w:rsidR="0016762D" w:rsidRDefault="0016762D" w:rsidP="0016762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ניהול הידע הינו מפתח להצלחה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המלצתנו היא לרכז את כלל החומרים באתר ולעבוד בקישורים. שינויים גדולים יש ללוות במסמך מרכז המופץ לצוות (</w:t>
      </w:r>
      <w:hyperlink r:id="rId10" w:history="1">
        <w:r w:rsidRPr="0016762D">
          <w:rPr>
            <w:rStyle w:val="Hyperlink"/>
            <w:rFonts w:ascii="David" w:hAnsi="David" w:cs="David" w:hint="cs"/>
            <w:sz w:val="28"/>
            <w:szCs w:val="28"/>
            <w:rtl/>
          </w:rPr>
          <w:t>דוגמא למסמך</w:t>
        </w:r>
      </w:hyperlink>
      <w:r>
        <w:rPr>
          <w:rFonts w:ascii="David" w:hAnsi="David" w:cs="David" w:hint="cs"/>
          <w:sz w:val="28"/>
          <w:szCs w:val="28"/>
          <w:rtl/>
        </w:rPr>
        <w:t>).</w:t>
      </w:r>
    </w:p>
    <w:p w:rsidR="0016762D" w:rsidRDefault="0016762D" w:rsidP="0016762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תיאומים ומנהלות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יש להגדיר חבר צוות מוביל אחד שמרכז את כלל הזימונים במהלך הטעינה בארץ ובשלב הסיור בחו"ל. הוא יעבוד באופן מרוכז מול הנציגים ברלוונטיים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במב"ל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ובתיאום מולם גם מול הנספח הצבאי הרלוונטי בחו"ל. כל פגישה או תיאום שיבוצעו שלא דרך </w:t>
      </w:r>
      <w:r>
        <w:rPr>
          <w:rFonts w:ascii="David" w:hAnsi="David" w:cs="David" w:hint="cs"/>
          <w:sz w:val="28"/>
          <w:szCs w:val="28"/>
        </w:rPr>
        <w:t>POC</w:t>
      </w:r>
      <w:r>
        <w:rPr>
          <w:rFonts w:ascii="David" w:hAnsi="David" w:cs="David" w:hint="cs"/>
          <w:sz w:val="28"/>
          <w:szCs w:val="28"/>
          <w:rtl/>
        </w:rPr>
        <w:t xml:space="preserve"> אחד קבוע הינם מתכון </w:t>
      </w:r>
      <w:r w:rsidR="00757A7B">
        <w:rPr>
          <w:rFonts w:ascii="David" w:hAnsi="David" w:cs="David" w:hint="cs"/>
          <w:sz w:val="28"/>
          <w:szCs w:val="28"/>
          <w:rtl/>
        </w:rPr>
        <w:t>לבל</w:t>
      </w:r>
      <w:r>
        <w:rPr>
          <w:rFonts w:ascii="David" w:hAnsi="David" w:cs="David" w:hint="cs"/>
          <w:sz w:val="28"/>
          <w:szCs w:val="28"/>
          <w:rtl/>
        </w:rPr>
        <w:t>גן וחוסר הבנה.</w:t>
      </w:r>
    </w:p>
    <w:p w:rsidR="0016762D" w:rsidRDefault="00757A7B" w:rsidP="0016762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הגיבוש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הצוותי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בטעינה ובחו"ל הינו ערך משמעותי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יש להשקיע בכך מחשבה ותכנון.</w:t>
      </w:r>
    </w:p>
    <w:p w:rsidR="00757A7B" w:rsidRDefault="00757A7B" w:rsidP="004A214B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תיעוד הינו קריטי הן ב</w:t>
      </w:r>
      <w:r w:rsidR="004A214B">
        <w:rPr>
          <w:rFonts w:ascii="David" w:hAnsi="David" w:cs="David" w:hint="cs"/>
          <w:sz w:val="28"/>
          <w:szCs w:val="28"/>
          <w:rtl/>
        </w:rPr>
        <w:t>פן הלימודי (</w:t>
      </w:r>
      <w:r>
        <w:rPr>
          <w:rFonts w:ascii="David" w:hAnsi="David" w:cs="David" w:hint="cs"/>
          <w:sz w:val="28"/>
          <w:szCs w:val="28"/>
          <w:rtl/>
        </w:rPr>
        <w:t>איסוף החומרים והתובנות</w:t>
      </w:r>
      <w:r w:rsidR="004A214B">
        <w:rPr>
          <w:rFonts w:ascii="David" w:hAnsi="David" w:cs="David" w:hint="cs"/>
          <w:sz w:val="28"/>
          <w:szCs w:val="28"/>
          <w:rtl/>
        </w:rPr>
        <w:t>)</w:t>
      </w:r>
      <w:r>
        <w:rPr>
          <w:rFonts w:ascii="David" w:hAnsi="David" w:cs="David" w:hint="cs"/>
          <w:sz w:val="28"/>
          <w:szCs w:val="28"/>
          <w:rtl/>
        </w:rPr>
        <w:t xml:space="preserve"> והן</w:t>
      </w:r>
      <w:r w:rsidR="004A214B">
        <w:rPr>
          <w:rFonts w:ascii="David" w:hAnsi="David" w:cs="David" w:hint="cs"/>
          <w:sz w:val="28"/>
          <w:szCs w:val="28"/>
          <w:rtl/>
        </w:rPr>
        <w:t xml:space="preserve"> בפן החברתי 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A214B">
        <w:rPr>
          <w:rFonts w:ascii="David" w:hAnsi="David" w:cs="David" w:hint="cs"/>
          <w:sz w:val="28"/>
          <w:szCs w:val="28"/>
          <w:rtl/>
        </w:rPr>
        <w:t>(</w:t>
      </w:r>
      <w:r>
        <w:rPr>
          <w:rFonts w:ascii="David" w:hAnsi="David" w:cs="David" w:hint="cs"/>
          <w:sz w:val="28"/>
          <w:szCs w:val="28"/>
          <w:rtl/>
        </w:rPr>
        <w:t>תמונות וסרטים המתעדים את החוויה</w:t>
      </w:r>
      <w:r w:rsidR="004A214B">
        <w:rPr>
          <w:rFonts w:ascii="David" w:hAnsi="David" w:cs="David" w:hint="cs"/>
          <w:sz w:val="28"/>
          <w:szCs w:val="28"/>
          <w:rtl/>
        </w:rPr>
        <w:t>)</w:t>
      </w:r>
      <w:r>
        <w:rPr>
          <w:rFonts w:ascii="David" w:hAnsi="David" w:cs="David" w:hint="cs"/>
          <w:sz w:val="28"/>
          <w:szCs w:val="28"/>
          <w:rtl/>
        </w:rPr>
        <w:t>.</w:t>
      </w:r>
    </w:p>
    <w:p w:rsidR="00757A7B" w:rsidRDefault="006E0958" w:rsidP="00757A7B">
      <w:pPr>
        <w:pStyle w:val="Heading1"/>
        <w:jc w:val="both"/>
        <w:rPr>
          <w:rtl/>
        </w:rPr>
      </w:pPr>
      <w:r>
        <w:rPr>
          <w:rFonts w:hint="cs"/>
          <w:rtl/>
        </w:rPr>
        <w:t>שאלת המחקר</w:t>
      </w:r>
    </w:p>
    <w:p w:rsidR="0095777B" w:rsidRDefault="00757A7B" w:rsidP="0095777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ביציאה </w:t>
      </w:r>
      <w:r w:rsidR="0095777B">
        <w:rPr>
          <w:rFonts w:ascii="David" w:hAnsi="David" w:cs="David" w:hint="cs"/>
          <w:sz w:val="28"/>
          <w:szCs w:val="28"/>
          <w:rtl/>
        </w:rPr>
        <w:t xml:space="preserve">לדרך כיוונו </w:t>
      </w:r>
      <w:r w:rsidR="0095777B" w:rsidRPr="00D90C46">
        <w:rPr>
          <w:rFonts w:ascii="David" w:hAnsi="David" w:cs="David" w:hint="cs"/>
          <w:b/>
          <w:bCs/>
          <w:sz w:val="28"/>
          <w:szCs w:val="28"/>
          <w:rtl/>
        </w:rPr>
        <w:t>לשאלת מחקר</w:t>
      </w:r>
      <w:r w:rsidR="0095777B">
        <w:rPr>
          <w:rFonts w:ascii="David" w:hAnsi="David" w:cs="David" w:hint="cs"/>
          <w:sz w:val="28"/>
          <w:szCs w:val="28"/>
          <w:rtl/>
        </w:rPr>
        <w:t xml:space="preserve"> רחבה. כך היא הוצגה במעמד אישור תכניות ראשוני לאלוף :</w:t>
      </w:r>
    </w:p>
    <w:p w:rsidR="0095777B" w:rsidRPr="0095777B" w:rsidRDefault="0095777B" w:rsidP="0095777B">
      <w:pPr>
        <w:pStyle w:val="ListParagraph"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518671</wp:posOffset>
            </wp:positionH>
            <wp:positionV relativeFrom="paragraph">
              <wp:posOffset>-64614</wp:posOffset>
            </wp:positionV>
            <wp:extent cx="3966358" cy="2230062"/>
            <wp:effectExtent l="0" t="0" r="0" b="0"/>
            <wp:wrapTight wrapText="bothSides">
              <wp:wrapPolygon edited="0">
                <wp:start x="0" y="0"/>
                <wp:lineTo x="0" y="21409"/>
                <wp:lineTo x="21476" y="21409"/>
                <wp:lineTo x="214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358" cy="223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 </w:t>
      </w:r>
    </w:p>
    <w:p w:rsidR="0095777B" w:rsidRDefault="0095777B" w:rsidP="0095777B">
      <w:pPr>
        <w:pStyle w:val="ListParagraph"/>
        <w:spacing w:line="360" w:lineRule="auto"/>
        <w:jc w:val="both"/>
        <w:rPr>
          <w:rFonts w:ascii="David" w:hAnsi="David" w:cs="David"/>
          <w:sz w:val="28"/>
          <w:szCs w:val="28"/>
        </w:rPr>
      </w:pPr>
    </w:p>
    <w:p w:rsidR="0095777B" w:rsidRPr="0095777B" w:rsidRDefault="0095777B" w:rsidP="0095777B">
      <w:pPr>
        <w:pStyle w:val="ListParagraph"/>
        <w:rPr>
          <w:rFonts w:ascii="David" w:hAnsi="David" w:cs="David"/>
          <w:sz w:val="28"/>
          <w:szCs w:val="28"/>
          <w:rtl/>
        </w:rPr>
      </w:pPr>
    </w:p>
    <w:p w:rsidR="00757A7B" w:rsidRDefault="0095777B" w:rsidP="00757A7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במהלך הלמידה שכללנו ומיקדנו את השאלה כך שתוכל להיות ממוקדת דיה להתאים לסיור בן יומיים בקפריסין.  </w:t>
      </w:r>
      <w:r w:rsidR="00757A7B">
        <w:rPr>
          <w:rFonts w:ascii="David" w:hAnsi="David" w:cs="David" w:hint="cs"/>
          <w:sz w:val="28"/>
          <w:szCs w:val="28"/>
          <w:rtl/>
        </w:rPr>
        <w:t>שאלת המחקר הסופית הייתה:</w:t>
      </w:r>
    </w:p>
    <w:p w:rsidR="00757A7B" w:rsidRDefault="00757A7B" w:rsidP="00757A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האם מימוש פוטנציאל הגז יכול להשפיע על פתרון הסכסוך האתני ובאיזו מידה?</w:t>
      </w:r>
    </w:p>
    <w:p w:rsidR="00757A7B" w:rsidRDefault="00757A7B" w:rsidP="00757A7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המענה לשאלה נותר באופן מסוים לא חד-משמעי. חברי צוות שונים ראו את הפתרון באופן שונה. עם זאת במהלך הלמידה התחוור לנו עד כמה המשמעות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הגיאו</w:t>
      </w:r>
      <w:proofErr w:type="spellEnd"/>
      <w:r>
        <w:rPr>
          <w:rFonts w:ascii="David" w:hAnsi="David" w:cs="David" w:hint="cs"/>
          <w:sz w:val="28"/>
          <w:szCs w:val="28"/>
          <w:rtl/>
        </w:rPr>
        <w:t>-אסטרטגית הינה משמעותית בהבנת הלחצים והכיוונים של השחקן המדינתי.</w:t>
      </w:r>
    </w:p>
    <w:p w:rsidR="00196BBC" w:rsidRDefault="00196BBC" w:rsidP="00196BBC">
      <w:pPr>
        <w:pStyle w:val="Heading1"/>
        <w:jc w:val="both"/>
        <w:rPr>
          <w:rtl/>
        </w:rPr>
      </w:pPr>
      <w:r>
        <w:rPr>
          <w:rFonts w:hint="cs"/>
          <w:rtl/>
        </w:rPr>
        <w:t>מבנה הטעינה ומבנה הסיור</w:t>
      </w:r>
    </w:p>
    <w:p w:rsidR="00196BBC" w:rsidRPr="00196BBC" w:rsidRDefault="00196BBC" w:rsidP="00196BB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יש לראות את שלב הטעינה ושלב הסיור כמקשה אחת. ככלל, מטרת הטעינה להוביל לידע מעמיק על מנת שלמצות את ימי הסיור בחו"ל. </w:t>
      </w:r>
    </w:p>
    <w:p w:rsidR="00177A44" w:rsidRDefault="00177A44" w:rsidP="00196BB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D90C46">
        <w:rPr>
          <w:rFonts w:ascii="David" w:hAnsi="David" w:cs="David" w:hint="cs"/>
          <w:b/>
          <w:bCs/>
          <w:sz w:val="28"/>
          <w:szCs w:val="28"/>
          <w:rtl/>
        </w:rPr>
        <w:t>הגיונות מרכזיים ב</w:t>
      </w:r>
      <w:r w:rsidR="0095777B" w:rsidRPr="00D90C46">
        <w:rPr>
          <w:rFonts w:ascii="David" w:hAnsi="David" w:cs="David" w:hint="cs"/>
          <w:b/>
          <w:bCs/>
          <w:sz w:val="28"/>
          <w:szCs w:val="28"/>
          <w:rtl/>
        </w:rPr>
        <w:t>שלב הטעינה</w:t>
      </w:r>
      <w:r w:rsidR="00F57494">
        <w:rPr>
          <w:rFonts w:ascii="David" w:hAnsi="David" w:cs="David" w:hint="cs"/>
          <w:b/>
          <w:bCs/>
          <w:sz w:val="28"/>
          <w:szCs w:val="28"/>
          <w:rtl/>
        </w:rPr>
        <w:t xml:space="preserve"> והסיור</w:t>
      </w:r>
      <w:r w:rsidR="0095777B">
        <w:rPr>
          <w:rFonts w:ascii="David" w:hAnsi="David" w:cs="David" w:hint="cs"/>
          <w:sz w:val="28"/>
          <w:szCs w:val="28"/>
          <w:rtl/>
        </w:rPr>
        <w:t>:</w:t>
      </w:r>
    </w:p>
    <w:p w:rsidR="0095777B" w:rsidRDefault="0095777B" w:rsidP="00196BBC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 היום הראשון הוקדש ללימוד עם קפריסין, השלב השני כלל הצגות שהובלו על ידי תתי-הקבוצות השונות, חלק שלישי משחק תפקידים אסטרטגי שבו כל חבר צוות גילם מדינה, סיכום בפגישה עם השגרירה הקפריסאית בישראל.</w:t>
      </w:r>
    </w:p>
    <w:p w:rsidR="00177A44" w:rsidRDefault="00177A44" w:rsidP="00196BBC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מפגשים חולקו בין ימים ממוקדים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במב"ל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לבין ימים מחוץ </w:t>
      </w:r>
      <w:proofErr w:type="spellStart"/>
      <w:r>
        <w:rPr>
          <w:rFonts w:ascii="David" w:hAnsi="David" w:cs="David" w:hint="cs"/>
          <w:sz w:val="28"/>
          <w:szCs w:val="28"/>
          <w:rtl/>
        </w:rPr>
        <w:t>למב"ל</w:t>
      </w:r>
      <w:proofErr w:type="spellEnd"/>
      <w:r>
        <w:rPr>
          <w:rFonts w:ascii="David" w:hAnsi="David" w:cs="David" w:hint="cs"/>
          <w:sz w:val="28"/>
          <w:szCs w:val="28"/>
          <w:rtl/>
        </w:rPr>
        <w:t>.</w:t>
      </w:r>
    </w:p>
    <w:p w:rsidR="00177A44" w:rsidRDefault="00D90C46" w:rsidP="00196BBC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שילוב אירועי גיבוש  צוותי</w:t>
      </w:r>
      <w:r w:rsidR="00F57494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בשלב הטעינה</w:t>
      </w:r>
      <w:r w:rsidR="00F57494">
        <w:rPr>
          <w:rFonts w:ascii="David" w:hAnsi="David" w:cs="David" w:hint="cs"/>
          <w:sz w:val="28"/>
          <w:szCs w:val="28"/>
          <w:rtl/>
        </w:rPr>
        <w:t xml:space="preserve"> והסיור</w:t>
      </w:r>
      <w:r>
        <w:rPr>
          <w:rFonts w:ascii="David" w:hAnsi="David" w:cs="David" w:hint="cs"/>
          <w:sz w:val="28"/>
          <w:szCs w:val="28"/>
          <w:rtl/>
        </w:rPr>
        <w:t>.</w:t>
      </w:r>
    </w:p>
    <w:p w:rsidR="00D90C46" w:rsidRDefault="00D90C46" w:rsidP="00196BBC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ניהול ידע- כלל המצגות ב</w:t>
      </w:r>
      <w:r>
        <w:rPr>
          <w:rFonts w:ascii="David" w:hAnsi="David" w:cs="David" w:hint="cs"/>
          <w:sz w:val="28"/>
          <w:szCs w:val="28"/>
        </w:rPr>
        <w:t>TEAM</w:t>
      </w:r>
      <w:r>
        <w:rPr>
          <w:rFonts w:ascii="David" w:hAnsi="David" w:cs="David" w:hint="cs"/>
          <w:sz w:val="28"/>
          <w:szCs w:val="28"/>
          <w:rtl/>
        </w:rPr>
        <w:t>, כל פגישה מסוכמת ומתועדת.</w:t>
      </w:r>
    </w:p>
    <w:p w:rsidR="00F57494" w:rsidRDefault="00F57494" w:rsidP="00196BBC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בניית הטעינה </w:t>
      </w:r>
      <w:proofErr w:type="spellStart"/>
      <w:r>
        <w:rPr>
          <w:rFonts w:ascii="David" w:hAnsi="David" w:cs="David" w:hint="cs"/>
          <w:sz w:val="28"/>
          <w:szCs w:val="28"/>
          <w:rtl/>
        </w:rPr>
        <w:t>ולו"ז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הסיור הינה בנייה אחודה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זמן הוא משאב יקר, לא חוזרים פעמיים על אותו נושא.</w:t>
      </w:r>
    </w:p>
    <w:p w:rsidR="00F57494" w:rsidRDefault="00F57494" w:rsidP="00196BBC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במהלך הסיור בקפריסין העדיפות היא לסיור בשטח ושיחות בנקודות עניין.</w:t>
      </w:r>
    </w:p>
    <w:p w:rsidR="00F57494" w:rsidRDefault="00F57494" w:rsidP="00196BBC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תכנון לו"ז הסיור חייב לקחת מגבלות פיזיות ואילוצים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זמני נסיעה, זמינות אנשי מפתח, </w:t>
      </w:r>
      <w:proofErr w:type="spellStart"/>
      <w:r>
        <w:rPr>
          <w:rFonts w:ascii="David" w:hAnsi="David" w:cs="David" w:hint="cs"/>
          <w:sz w:val="28"/>
          <w:szCs w:val="28"/>
          <w:rtl/>
        </w:rPr>
        <w:t>מז"א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, זמני תאורה, מגבלות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בטחוניות</w:t>
      </w:r>
      <w:proofErr w:type="spellEnd"/>
      <w:r>
        <w:rPr>
          <w:rFonts w:ascii="David" w:hAnsi="David" w:cs="David" w:hint="cs"/>
          <w:sz w:val="28"/>
          <w:szCs w:val="28"/>
          <w:rtl/>
        </w:rPr>
        <w:t>.</w:t>
      </w:r>
    </w:p>
    <w:p w:rsidR="000760C5" w:rsidRDefault="00196BBC" w:rsidP="00196BB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שיטת הלימוד שבחרנו הייתה בניית </w:t>
      </w:r>
      <w:r w:rsidR="000760C5">
        <w:rPr>
          <w:rFonts w:ascii="David" w:hAnsi="David" w:cs="David" w:hint="cs"/>
          <w:sz w:val="28"/>
          <w:szCs w:val="28"/>
          <w:rtl/>
        </w:rPr>
        <w:t xml:space="preserve">תתי הקבוצות </w:t>
      </w:r>
      <w:r>
        <w:rPr>
          <w:rFonts w:ascii="David" w:hAnsi="David" w:cs="David" w:hint="cs"/>
          <w:sz w:val="28"/>
          <w:szCs w:val="28"/>
          <w:rtl/>
        </w:rPr>
        <w:t>בתוך הצוות. כל תת קבוצה העמיקה בנושא מוגדר והביאה את התובנות לכיתה. תתי הקבוצות היו</w:t>
      </w:r>
      <w:r w:rsidR="000760C5">
        <w:rPr>
          <w:rFonts w:ascii="David" w:hAnsi="David" w:cs="David" w:hint="cs"/>
          <w:sz w:val="28"/>
          <w:szCs w:val="28"/>
          <w:rtl/>
        </w:rPr>
        <w:t>:</w:t>
      </w:r>
    </w:p>
    <w:p w:rsidR="000760C5" w:rsidRDefault="000760C5" w:rsidP="00196BBC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זירה המדינית והבינ"ל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הובלת התרגיל האסטרטגי.</w:t>
      </w:r>
    </w:p>
    <w:p w:rsidR="000760C5" w:rsidRDefault="000760C5" w:rsidP="00196BBC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סכסוך אתני- מקורות וניסיונות פתרון.</w:t>
      </w:r>
    </w:p>
    <w:p w:rsidR="000760C5" w:rsidRDefault="000760C5" w:rsidP="00196BBC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משאב הגז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רקע, נק' מצב נוכחי, תיאוריית שלום כלכלי.</w:t>
      </w:r>
    </w:p>
    <w:p w:rsidR="000760C5" w:rsidRDefault="000760C5" w:rsidP="00196BBC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גדר ההפרדה ונעדרים.</w:t>
      </w:r>
    </w:p>
    <w:p w:rsidR="000760C5" w:rsidRDefault="000760C5" w:rsidP="00196BB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לו"ז הטעינה</w:t>
      </w:r>
      <w:r w:rsidR="00D90C46">
        <w:rPr>
          <w:rFonts w:ascii="David" w:hAnsi="David" w:cs="David" w:hint="cs"/>
          <w:sz w:val="28"/>
          <w:szCs w:val="28"/>
          <w:rtl/>
        </w:rPr>
        <w:t xml:space="preserve"> מובא בנספח תחת סעיף 1.</w:t>
      </w:r>
    </w:p>
    <w:p w:rsidR="004A214B" w:rsidRDefault="00D90C46" w:rsidP="00196BB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4A214B">
        <w:rPr>
          <w:rFonts w:ascii="David" w:hAnsi="David" w:cs="David" w:hint="cs"/>
          <w:b/>
          <w:bCs/>
          <w:sz w:val="28"/>
          <w:szCs w:val="28"/>
          <w:rtl/>
        </w:rPr>
        <w:lastRenderedPageBreak/>
        <w:t>לו"ז הסיור</w:t>
      </w:r>
      <w:r>
        <w:rPr>
          <w:rFonts w:ascii="David" w:hAnsi="David" w:cs="David" w:hint="cs"/>
          <w:sz w:val="28"/>
          <w:szCs w:val="28"/>
          <w:rtl/>
        </w:rPr>
        <w:t xml:space="preserve"> נבנה בתכנון צוותי ובסיוע פרופסור בן ארצי כמומחה תוכן</w:t>
      </w:r>
      <w:r w:rsidR="004A214B">
        <w:rPr>
          <w:rFonts w:ascii="David" w:hAnsi="David" w:cs="David" w:hint="cs"/>
          <w:sz w:val="28"/>
          <w:szCs w:val="28"/>
          <w:rtl/>
        </w:rPr>
        <w:t>.</w:t>
      </w:r>
    </w:p>
    <w:p w:rsidR="00D90C46" w:rsidRDefault="00D90C46" w:rsidP="00196BB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A214B">
        <w:rPr>
          <w:rFonts w:ascii="David" w:hAnsi="David" w:cs="David" w:hint="cs"/>
          <w:sz w:val="28"/>
          <w:szCs w:val="28"/>
          <w:rtl/>
        </w:rPr>
        <w:t xml:space="preserve">על מנת לבנות את </w:t>
      </w:r>
      <w:proofErr w:type="spellStart"/>
      <w:r w:rsidR="004A214B">
        <w:rPr>
          <w:rFonts w:ascii="David" w:hAnsi="David" w:cs="David" w:hint="cs"/>
          <w:sz w:val="28"/>
          <w:szCs w:val="28"/>
          <w:rtl/>
        </w:rPr>
        <w:t>הלו"ז</w:t>
      </w:r>
      <w:proofErr w:type="spellEnd"/>
      <w:r w:rsidR="004A214B">
        <w:rPr>
          <w:rFonts w:ascii="David" w:hAnsi="David" w:cs="David" w:hint="cs"/>
          <w:sz w:val="28"/>
          <w:szCs w:val="28"/>
          <w:rtl/>
        </w:rPr>
        <w:t xml:space="preserve"> התנהל שיח מתמשך וישיר מול הנספח הצבאי ביוון. הנושא דינמי עם זאת יש הכרח לייצר עקרונות וחלופות. קרי, פגישה עם בכיר בתחום הצבאי ומתן חלופות </w:t>
      </w:r>
      <w:r w:rsidR="004A214B">
        <w:rPr>
          <w:rFonts w:ascii="David" w:hAnsi="David" w:cs="David"/>
          <w:sz w:val="28"/>
          <w:szCs w:val="28"/>
          <w:rtl/>
        </w:rPr>
        <w:t>–</w:t>
      </w:r>
      <w:r w:rsidR="004A214B">
        <w:rPr>
          <w:rFonts w:ascii="David" w:hAnsi="David" w:cs="David" w:hint="cs"/>
          <w:sz w:val="28"/>
          <w:szCs w:val="28"/>
          <w:rtl/>
        </w:rPr>
        <w:t xml:space="preserve"> רמטכ"ל, שר בטחון </w:t>
      </w:r>
      <w:proofErr w:type="spellStart"/>
      <w:r w:rsidR="004A214B">
        <w:rPr>
          <w:rFonts w:ascii="David" w:hAnsi="David" w:cs="David" w:hint="cs"/>
          <w:sz w:val="28"/>
          <w:szCs w:val="28"/>
          <w:rtl/>
        </w:rPr>
        <w:t>וכו</w:t>
      </w:r>
      <w:proofErr w:type="spellEnd"/>
      <w:r w:rsidR="004A214B">
        <w:rPr>
          <w:rFonts w:ascii="David" w:hAnsi="David" w:cs="David" w:hint="cs"/>
          <w:sz w:val="28"/>
          <w:szCs w:val="28"/>
          <w:rtl/>
        </w:rPr>
        <w:t>'.</w:t>
      </w:r>
    </w:p>
    <w:p w:rsidR="00F57494" w:rsidRDefault="00F57494" w:rsidP="00196BB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לו"ז הסיור מובא בנספח תחת סעיף 2.</w:t>
      </w:r>
    </w:p>
    <w:p w:rsidR="005300BD" w:rsidRDefault="005300BD" w:rsidP="00196BB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פערים באופן בו נבנה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הלו"ז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בטעינה ובסיור:</w:t>
      </w:r>
    </w:p>
    <w:p w:rsidR="005300BD" w:rsidRDefault="005300BD" w:rsidP="005300BD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מפאת מגבלות בטחון ורגישות דיפלומטית לא פגשנו נציג קפריסאי-תורכי. </w:t>
      </w:r>
    </w:p>
    <w:p w:rsidR="005300BD" w:rsidRDefault="005300BD" w:rsidP="005300BD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במינון הפגישות לא העמקנו במפגשים א-פורמליים עם אנשים בשטח.</w:t>
      </w:r>
    </w:p>
    <w:p w:rsidR="005300BD" w:rsidRDefault="005300BD" w:rsidP="005300BD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בתכנון מקדים של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הלו"ז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נכון לבחון האם יש אירועי תרבות/חגים/אירועים פוליטיים מיוחדים שנכון לשלבם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בלו"ז</w:t>
      </w:r>
      <w:proofErr w:type="spellEnd"/>
      <w:r>
        <w:rPr>
          <w:rFonts w:ascii="David" w:hAnsi="David" w:cs="David" w:hint="cs"/>
          <w:sz w:val="28"/>
          <w:szCs w:val="28"/>
          <w:rtl/>
        </w:rPr>
        <w:t>.</w:t>
      </w:r>
    </w:p>
    <w:p w:rsidR="005300BD" w:rsidRDefault="005300BD" w:rsidP="005300BD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ניתן היה לבחון שילוב לו"ז ביחידות קטנות יותר לטובת שיח אינטימי יותר.</w:t>
      </w:r>
    </w:p>
    <w:p w:rsidR="006E0958" w:rsidRDefault="006E0958" w:rsidP="006E0958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מעבר ללמידה האישית </w:t>
      </w:r>
      <w:proofErr w:type="spellStart"/>
      <w:r>
        <w:rPr>
          <w:rFonts w:ascii="David" w:hAnsi="David" w:cs="David" w:hint="cs"/>
          <w:sz w:val="28"/>
          <w:szCs w:val="28"/>
          <w:rtl/>
        </w:rPr>
        <w:t>והצוותית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הסמינר כולו כלל שלושה תוצרים מרכזיים:</w:t>
      </w:r>
    </w:p>
    <w:p w:rsidR="006E0958" w:rsidRDefault="006E0958" w:rsidP="006E0958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חוברת מידע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מומלץ למקד אותה כך שתכיל מידע רלוונטי, מעובד ונוח לקריאה. לא מומלץ להכניס מאמרים ארוכים ללא הקשר.</w:t>
      </w:r>
    </w:p>
    <w:p w:rsidR="006E0958" w:rsidRDefault="006E0958" w:rsidP="006E0958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עזר כיס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מפת עזר לסיור, כולל לו"ז וטלפונים חשובים.</w:t>
      </w:r>
    </w:p>
    <w:p w:rsidR="006E0958" w:rsidRDefault="006E0958" w:rsidP="006E0958">
      <w:pPr>
        <w:pStyle w:val="ListParagraph"/>
        <w:numPr>
          <w:ilvl w:val="1"/>
          <w:numId w:val="18"/>
        </w:numPr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מצגת מסכמת להצגה במליאה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המלצתנו לכתוב אותה טרם הטיסה ולעבד אותה במהלך הסמינר עם חברי הצוות. באופן הזה התובנות יוטמעו בזמן אמת.</w:t>
      </w:r>
    </w:p>
    <w:p w:rsidR="00286973" w:rsidRDefault="005300BD" w:rsidP="00286973">
      <w:pPr>
        <w:pStyle w:val="Heading1"/>
        <w:jc w:val="both"/>
        <w:rPr>
          <w:rtl/>
        </w:rPr>
      </w:pPr>
      <w:r>
        <w:rPr>
          <w:rFonts w:hint="cs"/>
          <w:rtl/>
        </w:rPr>
        <w:t>מענה לשאלת המחקר</w:t>
      </w:r>
    </w:p>
    <w:p w:rsidR="005300BD" w:rsidRDefault="00F6231B" w:rsidP="00286973">
      <w:pPr>
        <w:pStyle w:val="ListParagraph"/>
        <w:numPr>
          <w:ilvl w:val="0"/>
          <w:numId w:val="16"/>
        </w:numPr>
        <w:spacing w:line="360" w:lineRule="auto"/>
        <w:ind w:left="360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בפרק הזמן שניתן זה יהיה יומרני לענות באופן נחרץ על שאלת המחקר. עם זאת, תהליך הלמידה הביא אותנו למספר מסקנות הקשורות לקפריסין:</w:t>
      </w:r>
    </w:p>
    <w:p w:rsidR="00F6231B" w:rsidRDefault="00F6231B" w:rsidP="00F6231B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הגז מייצר מתחים. הוא יכול לשמש זרז לישיבה משותפת סביב שולחן המו"מ אבל דיון </w:t>
      </w:r>
      <w:proofErr w:type="spellStart"/>
      <w:r>
        <w:rPr>
          <w:rFonts w:ascii="David" w:hAnsi="David" w:cs="David" w:hint="cs"/>
          <w:sz w:val="28"/>
          <w:szCs w:val="28"/>
          <w:rtl/>
        </w:rPr>
        <w:t>אמיתי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יתרחש רק בהסכמת התורכים.</w:t>
      </w:r>
    </w:p>
    <w:p w:rsidR="00F6231B" w:rsidRDefault="00F6231B" w:rsidP="00F6231B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השחקנים הקפריסאים אינם מגובשים בזהות עצמאית. הצד הקפריסאי-יווני במקום נוח יחסי ואילו הצד הצפוני-תורכי תלוי מדי בתורכים.</w:t>
      </w:r>
    </w:p>
    <w:p w:rsidR="00F6231B" w:rsidRDefault="00F6231B" w:rsidP="00F6231B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התערבות המעצמות בקידוחי הגז אינה מוסיפה ליציבות ולשקט. ריבוי אינטרסים של ריבוי שחקנים כולל התערבות רוסית גוברת.</w:t>
      </w:r>
    </w:p>
    <w:p w:rsidR="00F6231B" w:rsidRPr="00286973" w:rsidRDefault="00F6231B" w:rsidP="00F6231B">
      <w:pPr>
        <w:pStyle w:val="ListParagraph"/>
        <w:numPr>
          <w:ilvl w:val="0"/>
          <w:numId w:val="16"/>
        </w:numPr>
        <w:spacing w:line="360" w:lineRule="auto"/>
        <w:ind w:left="360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מסקנתנו העיקרית היא שהסוגיה הקפריסאית תיפתר רק אם בהתערבות חיצונית שתורכיה מהווה חלק מרכזי בתוכו. האי עצמו מהווה סיכה על המפה ותושבי האי לא אקטיביים ועצמאיים דיים להוביל שינוי לבדם.</w:t>
      </w:r>
    </w:p>
    <w:p w:rsidR="006E0958" w:rsidRDefault="006E0958" w:rsidP="006E0958">
      <w:pPr>
        <w:pStyle w:val="Heading1"/>
        <w:jc w:val="both"/>
        <w:rPr>
          <w:rtl/>
        </w:rPr>
      </w:pPr>
      <w:r>
        <w:rPr>
          <w:rFonts w:hint="cs"/>
          <w:rtl/>
        </w:rPr>
        <w:t>סיכום</w:t>
      </w:r>
    </w:p>
    <w:p w:rsidR="00657495" w:rsidRDefault="006E0958" w:rsidP="006E0958">
      <w:pPr>
        <w:pStyle w:val="ListParagraph"/>
        <w:numPr>
          <w:ilvl w:val="0"/>
          <w:numId w:val="16"/>
        </w:numPr>
        <w:spacing w:line="360" w:lineRule="auto"/>
        <w:ind w:left="360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הסמינר מהווה הזדמנות מדהימה הן ללימוד מקרה מבחן, הן ללימוד איך לומדים והן לגיבוש חוויתי.</w:t>
      </w:r>
    </w:p>
    <w:p w:rsidR="006E0958" w:rsidRDefault="006E0958" w:rsidP="006E0958">
      <w:pPr>
        <w:pStyle w:val="ListParagraph"/>
        <w:numPr>
          <w:ilvl w:val="0"/>
          <w:numId w:val="16"/>
        </w:numPr>
        <w:spacing w:line="360" w:lineRule="auto"/>
        <w:ind w:left="360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חשוב מאוד לשמור על מיקוד לאורך העבודה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הן בשלב הטעינה והן בסיור. המיקוד הוא שאלת המחקר, במידה והלימוד מקבל מיקוד אחר שווה לבחון את שאלת המחקר מחדש.</w:t>
      </w:r>
    </w:p>
    <w:p w:rsidR="006E0958" w:rsidRDefault="006E0958" w:rsidP="006E0958">
      <w:pPr>
        <w:pStyle w:val="ListParagraph"/>
        <w:numPr>
          <w:ilvl w:val="0"/>
          <w:numId w:val="16"/>
        </w:numPr>
        <w:spacing w:line="360" w:lineRule="auto"/>
        <w:ind w:left="360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מדובר במסע צוותי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6E0958">
        <w:rPr>
          <w:rFonts w:ascii="David" w:hAnsi="David" w:cs="David" w:hint="cs"/>
          <w:b/>
          <w:bCs/>
          <w:sz w:val="28"/>
          <w:szCs w:val="28"/>
          <w:rtl/>
        </w:rPr>
        <w:t xml:space="preserve">חשוב להכליל את כלל חברי הצוות </w:t>
      </w:r>
      <w:proofErr w:type="spellStart"/>
      <w:r w:rsidRPr="006E0958">
        <w:rPr>
          <w:rFonts w:ascii="David" w:hAnsi="David" w:cs="David" w:hint="cs"/>
          <w:b/>
          <w:bCs/>
          <w:sz w:val="28"/>
          <w:szCs w:val="28"/>
          <w:rtl/>
        </w:rPr>
        <w:t>ולהנות</w:t>
      </w:r>
      <w:proofErr w:type="spellEnd"/>
      <w:r w:rsidRPr="006E0958">
        <w:rPr>
          <w:rFonts w:ascii="David" w:hAnsi="David" w:cs="David" w:hint="cs"/>
          <w:b/>
          <w:bCs/>
          <w:sz w:val="28"/>
          <w:szCs w:val="28"/>
          <w:rtl/>
        </w:rPr>
        <w:t xml:space="preserve"> ממנו.</w:t>
      </w:r>
    </w:p>
    <w:p w:rsidR="006E0958" w:rsidRDefault="006E0958" w:rsidP="006E0958">
      <w:pPr>
        <w:pStyle w:val="ListParagraph"/>
        <w:numPr>
          <w:ilvl w:val="0"/>
          <w:numId w:val="16"/>
        </w:numPr>
        <w:spacing w:line="360" w:lineRule="auto"/>
        <w:ind w:left="360"/>
        <w:jc w:val="both"/>
        <w:rPr>
          <w:rFonts w:ascii="David" w:hAnsi="David" w:cs="David" w:hint="cs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שיהיה בהצלחה,</w:t>
      </w: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צוות ארבע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הנמרים !</w:t>
      </w: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  <w:rtl/>
        </w:rPr>
      </w:pPr>
    </w:p>
    <w:p w:rsidR="006E0958" w:rsidRPr="00D90C46" w:rsidRDefault="006E0958" w:rsidP="006E0958">
      <w:pPr>
        <w:pStyle w:val="ListParagraph"/>
        <w:spacing w:line="360" w:lineRule="auto"/>
        <w:ind w:left="360"/>
        <w:jc w:val="both"/>
        <w:rPr>
          <w:rFonts w:ascii="David" w:hAnsi="David" w:cs="David"/>
          <w:sz w:val="28"/>
          <w:szCs w:val="28"/>
        </w:rPr>
      </w:pPr>
      <w:bookmarkStart w:id="0" w:name="_GoBack"/>
      <w:bookmarkEnd w:id="0"/>
    </w:p>
    <w:p w:rsidR="00D90C46" w:rsidRDefault="00D90C46" w:rsidP="00D90C46">
      <w:pPr>
        <w:pStyle w:val="Heading1"/>
        <w:jc w:val="both"/>
        <w:rPr>
          <w:rtl/>
        </w:rPr>
      </w:pPr>
      <w:r>
        <w:rPr>
          <w:rFonts w:hint="cs"/>
          <w:rtl/>
        </w:rPr>
        <w:lastRenderedPageBreak/>
        <w:t xml:space="preserve">נספחים </w:t>
      </w:r>
    </w:p>
    <w:p w:rsidR="00757A7B" w:rsidRDefault="00D90C46" w:rsidP="00D90C46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לו"ז טעינה:</w:t>
      </w:r>
    </w:p>
    <w:p w:rsidR="00D90C46" w:rsidRDefault="00D90C46" w:rsidP="00D90C46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מפגש ראשון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הענקת ידע בסיסי</w:t>
      </w:r>
    </w:p>
    <w:p w:rsidR="00D90C46" w:rsidRDefault="00D90C46" w:rsidP="00D90C46">
      <w:pPr>
        <w:pStyle w:val="ListParagraph"/>
        <w:numPr>
          <w:ilvl w:val="2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הכרות עם קפריסין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היסטוריה וגיאוגרפיה (פרופסור בן ארצי)</w:t>
      </w:r>
    </w:p>
    <w:p w:rsidR="00D90C46" w:rsidRDefault="00D90C46" w:rsidP="00D90C46">
      <w:pPr>
        <w:pStyle w:val="ListParagraph"/>
        <w:numPr>
          <w:ilvl w:val="2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רקע </w:t>
      </w:r>
      <w:proofErr w:type="spellStart"/>
      <w:r>
        <w:rPr>
          <w:rFonts w:ascii="David" w:hAnsi="David" w:cs="David" w:hint="cs"/>
          <w:sz w:val="28"/>
          <w:szCs w:val="28"/>
          <w:rtl/>
        </w:rPr>
        <w:t>בגיאו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-אסטרטגי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גליה </w:t>
      </w:r>
      <w:proofErr w:type="spellStart"/>
      <w:r>
        <w:rPr>
          <w:rFonts w:ascii="David" w:hAnsi="David" w:cs="David" w:hint="cs"/>
          <w:sz w:val="28"/>
          <w:szCs w:val="28"/>
          <w:rtl/>
        </w:rPr>
        <w:t>לינדרשטראוס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</w:t>
      </w:r>
      <w:hyperlink r:id="rId12" w:history="1">
        <w:r w:rsidRPr="00A77F76">
          <w:rPr>
            <w:rStyle w:val="Hyperlink"/>
            <w:rFonts w:ascii="David" w:hAnsi="David" w:cs="David" w:hint="cs"/>
            <w:sz w:val="28"/>
            <w:szCs w:val="28"/>
            <w:rtl/>
          </w:rPr>
          <w:t>(קישור)</w:t>
        </w:r>
      </w:hyperlink>
      <w:r>
        <w:rPr>
          <w:rFonts w:ascii="David" w:hAnsi="David" w:cs="David" w:hint="cs"/>
          <w:sz w:val="28"/>
          <w:szCs w:val="28"/>
          <w:rtl/>
        </w:rPr>
        <w:t>.</w:t>
      </w:r>
    </w:p>
    <w:p w:rsidR="00D90C46" w:rsidRDefault="00D90C46" w:rsidP="00D90C46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מפגש שני - </w:t>
      </w:r>
    </w:p>
    <w:p w:rsidR="00D90C46" w:rsidRDefault="00D90C46" w:rsidP="00D90C46">
      <w:pPr>
        <w:pStyle w:val="ListParagraph"/>
        <w:numPr>
          <w:ilvl w:val="2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העמקה במשאב הגז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מיכאל תנחום</w:t>
      </w:r>
    </w:p>
    <w:p w:rsidR="00D90C46" w:rsidRDefault="00D90C46" w:rsidP="00D90C46">
      <w:pPr>
        <w:pStyle w:val="ListParagraph"/>
        <w:numPr>
          <w:ilvl w:val="2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סקירת משרד החוץ על יחסי ישראל-קפריסין</w:t>
      </w:r>
    </w:p>
    <w:p w:rsidR="00D90C46" w:rsidRDefault="00D90C46" w:rsidP="00D90C46">
      <w:pPr>
        <w:pStyle w:val="ListParagraph"/>
        <w:numPr>
          <w:ilvl w:val="2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זווית תורכית וקפריסאית-תורכית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שגריר ישראל בתורכיה </w:t>
      </w:r>
    </w:p>
    <w:p w:rsidR="00D90C46" w:rsidRDefault="00D90C46" w:rsidP="00D90C46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מפגש שלישי- הצגות צוות</w:t>
      </w:r>
    </w:p>
    <w:p w:rsidR="00D90C46" w:rsidRDefault="00D90C46" w:rsidP="00D90C46">
      <w:pPr>
        <w:pStyle w:val="ListParagraph"/>
        <w:numPr>
          <w:ilvl w:val="2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הזווית הבריטית בקפריסין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נספח צבאי בריטי בישראל</w:t>
      </w:r>
    </w:p>
    <w:p w:rsidR="00D90C46" w:rsidRDefault="00D90C46" w:rsidP="00D90C46">
      <w:pPr>
        <w:pStyle w:val="ListParagraph"/>
        <w:numPr>
          <w:ilvl w:val="2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סכסוך אתני- שורשים והיסטוריה עכשווית</w:t>
      </w:r>
    </w:p>
    <w:p w:rsidR="00D90C46" w:rsidRDefault="00D90C46" w:rsidP="00D90C46">
      <w:pPr>
        <w:pStyle w:val="ListParagraph"/>
        <w:numPr>
          <w:ilvl w:val="2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גדר ההפרדה ומקומו של האו"ם</w:t>
      </w:r>
    </w:p>
    <w:p w:rsidR="00D90C46" w:rsidRDefault="00D90C46" w:rsidP="00D90C46">
      <w:pPr>
        <w:pStyle w:val="ListParagraph"/>
        <w:numPr>
          <w:ilvl w:val="2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סוגיית הנעדרים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רקע והשפעה חברתית</w:t>
      </w:r>
    </w:p>
    <w:p w:rsidR="00D90C46" w:rsidRDefault="00D90C46" w:rsidP="00D90C46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מפגש רביעי- כלכלה ויחסי בינ"ל</w:t>
      </w:r>
    </w:p>
    <w:p w:rsidR="00D90C46" w:rsidRDefault="00D90C46" w:rsidP="00D90C46">
      <w:pPr>
        <w:pStyle w:val="ListParagraph"/>
        <w:numPr>
          <w:ilvl w:val="2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הכלכלה בקפריסין ותיאוריית שלום כלכלית</w:t>
      </w:r>
    </w:p>
    <w:p w:rsidR="00D90C46" w:rsidRDefault="00D90C46" w:rsidP="00D90C46">
      <w:pPr>
        <w:pStyle w:val="ListParagraph"/>
        <w:numPr>
          <w:ilvl w:val="2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שחקנים בינ"ל בהקשר אינטרס הגז</w:t>
      </w:r>
    </w:p>
    <w:p w:rsidR="00D90C46" w:rsidRDefault="00D90C46" w:rsidP="00D90C46">
      <w:pPr>
        <w:pStyle w:val="ListParagraph"/>
        <w:numPr>
          <w:ilvl w:val="2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משחק אסטרטגיה </w:t>
      </w:r>
    </w:p>
    <w:p w:rsidR="00D90C46" w:rsidRDefault="00D90C46" w:rsidP="00D90C46">
      <w:pPr>
        <w:pStyle w:val="ListParagraph"/>
        <w:numPr>
          <w:ilvl w:val="1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מפגש חמישי- סיכום</w:t>
      </w:r>
    </w:p>
    <w:p w:rsidR="00D90C46" w:rsidRDefault="00D90C46" w:rsidP="00D90C46">
      <w:pPr>
        <w:pStyle w:val="ListParagraph"/>
        <w:numPr>
          <w:ilvl w:val="2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פגישה עם שגרירת קפריסין בישראל</w:t>
      </w:r>
    </w:p>
    <w:p w:rsidR="00D90C46" w:rsidRDefault="00D90C46" w:rsidP="00D90C46">
      <w:pPr>
        <w:pStyle w:val="ListParagraph"/>
        <w:numPr>
          <w:ilvl w:val="2"/>
          <w:numId w:val="16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מעבר מסכם על לו"ז הסיור</w:t>
      </w:r>
    </w:p>
    <w:p w:rsidR="00F57494" w:rsidRPr="00F57494" w:rsidRDefault="00F57494" w:rsidP="00F57494">
      <w:pPr>
        <w:pStyle w:val="ListParagraph"/>
        <w:numPr>
          <w:ilvl w:val="0"/>
          <w:numId w:val="16"/>
        </w:numPr>
        <w:spacing w:after="160" w:line="259" w:lineRule="auto"/>
        <w:rPr>
          <w:rFonts w:ascii="David" w:hAnsi="David" w:cs="David"/>
          <w:sz w:val="28"/>
          <w:szCs w:val="28"/>
        </w:rPr>
      </w:pPr>
      <w:r w:rsidRPr="00F57494">
        <w:rPr>
          <w:rFonts w:ascii="David" w:hAnsi="David" w:cs="David" w:hint="cs"/>
          <w:sz w:val="28"/>
          <w:szCs w:val="28"/>
          <w:rtl/>
        </w:rPr>
        <w:t>לו"ז סיור:</w:t>
      </w:r>
    </w:p>
    <w:p w:rsidR="00F57494" w:rsidRDefault="00F57494" w:rsidP="00F57494">
      <w:pPr>
        <w:pStyle w:val="ListParagraph"/>
        <w:numPr>
          <w:ilvl w:val="1"/>
          <w:numId w:val="16"/>
        </w:numPr>
        <w:spacing w:after="160" w:line="259" w:lineRule="auto"/>
        <w:rPr>
          <w:sz w:val="24"/>
          <w:szCs w:val="24"/>
        </w:rPr>
      </w:pPr>
      <w:r w:rsidRPr="00F57494">
        <w:rPr>
          <w:rFonts w:ascii="David" w:hAnsi="David" w:cs="David" w:hint="cs"/>
          <w:sz w:val="28"/>
          <w:szCs w:val="28"/>
          <w:rtl/>
        </w:rPr>
        <w:t>יום זה יתמקד בהכרות עם קו הגבול והאתגרים שהוא יוצר ויצר במרקם החיים הקפריסאי.</w:t>
      </w:r>
    </w:p>
    <w:tbl>
      <w:tblPr>
        <w:tblStyle w:val="TableGrid0"/>
        <w:bidiVisual/>
        <w:tblW w:w="7689" w:type="dxa"/>
        <w:tblInd w:w="720" w:type="dxa"/>
        <w:tblLook w:val="04A0" w:firstRow="1" w:lastRow="0" w:firstColumn="1" w:lastColumn="0" w:noHBand="0" w:noVBand="1"/>
      </w:tblPr>
      <w:tblGrid>
        <w:gridCol w:w="1498"/>
        <w:gridCol w:w="4710"/>
        <w:gridCol w:w="1481"/>
      </w:tblGrid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color w:val="0070C0"/>
                <w:sz w:val="24"/>
                <w:szCs w:val="24"/>
                <w:rtl/>
              </w:rPr>
            </w:pP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color w:val="0070C0"/>
                <w:sz w:val="24"/>
                <w:szCs w:val="24"/>
                <w:rtl/>
              </w:rPr>
            </w:pP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0430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התכנסות </w:t>
            </w:r>
            <w:proofErr w:type="spellStart"/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במב"ל</w:t>
            </w:r>
            <w:proofErr w:type="spellEnd"/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 והסעה לבן גוריון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אופציונלי</w:t>
            </w: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0700-0800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טיסה לקפריסין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0900-1000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נסיעה לניקוסיה 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1000-1130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סיור בעיר ותצפית ממגדל לדרה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1130-1215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מפגש עם נציג או"ם/משמר לאומי קפריסאי במעבר הגבול בניקוסיה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1215-1315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בשוק המקומי</w:t>
            </w: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1315-1400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המשך סיור בניקוסיה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1400-1500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נסיעה מזרחה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lastRenderedPageBreak/>
              <w:t>1500-1800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סיור </w:t>
            </w:r>
            <w:proofErr w:type="spellStart"/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בפמגוסטה</w:t>
            </w:r>
            <w:proofErr w:type="spellEnd"/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 ופילה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1800-1900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1900-2030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התארגנות במלון וארוחת ערב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2030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יציאה לטברנה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</w:tbl>
    <w:p w:rsidR="00F57494" w:rsidRDefault="00F57494" w:rsidP="00F57494">
      <w:pPr>
        <w:pStyle w:val="ListParagraph"/>
        <w:rPr>
          <w:sz w:val="24"/>
          <w:szCs w:val="24"/>
        </w:rPr>
      </w:pPr>
    </w:p>
    <w:p w:rsidR="00F57494" w:rsidRPr="00F57494" w:rsidRDefault="00F57494" w:rsidP="00F57494">
      <w:pPr>
        <w:pStyle w:val="ListParagraph"/>
        <w:numPr>
          <w:ilvl w:val="1"/>
          <w:numId w:val="16"/>
        </w:numPr>
        <w:spacing w:after="160" w:line="259" w:lineRule="auto"/>
        <w:rPr>
          <w:rFonts w:ascii="David" w:hAnsi="David" w:cs="David"/>
          <w:sz w:val="28"/>
          <w:szCs w:val="28"/>
        </w:rPr>
      </w:pPr>
      <w:r w:rsidRPr="00F57494">
        <w:rPr>
          <w:rFonts w:ascii="David" w:hAnsi="David" w:cs="David" w:hint="cs"/>
          <w:sz w:val="28"/>
          <w:szCs w:val="28"/>
          <w:rtl/>
        </w:rPr>
        <w:t>יום שני:</w:t>
      </w:r>
    </w:p>
    <w:tbl>
      <w:tblPr>
        <w:tblStyle w:val="TableGrid0"/>
        <w:bidiVisual/>
        <w:tblW w:w="7689" w:type="dxa"/>
        <w:tblInd w:w="720" w:type="dxa"/>
        <w:tblLook w:val="04A0" w:firstRow="1" w:lastRow="0" w:firstColumn="1" w:lastColumn="0" w:noHBand="0" w:noVBand="1"/>
      </w:tblPr>
      <w:tblGrid>
        <w:gridCol w:w="1498"/>
        <w:gridCol w:w="4710"/>
        <w:gridCol w:w="1481"/>
      </w:tblGrid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color w:val="0070C0"/>
                <w:sz w:val="24"/>
                <w:szCs w:val="24"/>
                <w:rtl/>
              </w:rPr>
            </w:pP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color w:val="0070C0"/>
                <w:sz w:val="24"/>
                <w:szCs w:val="24"/>
                <w:rtl/>
              </w:rPr>
            </w:pP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0430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התכנסות </w:t>
            </w:r>
            <w:proofErr w:type="spellStart"/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במב"ל</w:t>
            </w:r>
            <w:proofErr w:type="spellEnd"/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 והסעה לבן גוריון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אופציונלי</w:t>
            </w: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0700-0800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טיסה לקפריסין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0900-1000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נסיעה לניקוסיה 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1000-1130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סיור בעיר ותצפית ממגדל לדרה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1130-1215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 w:rsidRPr="009F056F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מפגש עם נציג או"ם/משמר לאומי קפריסאי במעבר הגבול בניקוסיה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0630-0745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ארוחת בוקר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0745-0815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נסיעה למשרד החוץ הקפריסאי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0830-0915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מפגש עם </w:t>
            </w:r>
            <w:r>
              <w:rPr>
                <w:rFonts w:hint="cs"/>
                <w:b/>
                <w:bCs/>
                <w:color w:val="0070C0"/>
                <w:sz w:val="24"/>
                <w:szCs w:val="24"/>
              </w:rPr>
              <w:t>HEAD OF CYPRUS QUESTION  AND TURKEY DEPARTMENT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0915-0930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נסיעה 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0945-1030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פגישה עם רמטכ"ל קפריסין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1100-1700</w:t>
            </w:r>
          </w:p>
        </w:tc>
        <w:tc>
          <w:tcPr>
            <w:tcW w:w="4710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נסיעה </w:t>
            </w:r>
            <w:proofErr w:type="spellStart"/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לטרודוס</w:t>
            </w:r>
            <w:proofErr w:type="spellEnd"/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 וללימסול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1700-1800</w:t>
            </w:r>
          </w:p>
        </w:tc>
        <w:tc>
          <w:tcPr>
            <w:tcW w:w="4710" w:type="dxa"/>
          </w:tcPr>
          <w:p w:rsidR="00F57494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פגישה עם נציג בריטי בלימסול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  <w:tr w:rsidR="00F57494" w:rsidTr="00FC7778">
        <w:tc>
          <w:tcPr>
            <w:tcW w:w="1498" w:type="dxa"/>
          </w:tcPr>
          <w:p w:rsidR="00F57494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1830-2030</w:t>
            </w:r>
          </w:p>
        </w:tc>
        <w:tc>
          <w:tcPr>
            <w:tcW w:w="4710" w:type="dxa"/>
          </w:tcPr>
          <w:p w:rsidR="00F57494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פגישה עם כריס בטברנה בלימסול</w:t>
            </w:r>
          </w:p>
        </w:tc>
        <w:tc>
          <w:tcPr>
            <w:tcW w:w="1481" w:type="dxa"/>
          </w:tcPr>
          <w:p w:rsidR="00F57494" w:rsidRPr="009F056F" w:rsidRDefault="00F57494" w:rsidP="00FC7778">
            <w:pPr>
              <w:pStyle w:val="ListParagraph"/>
              <w:ind w:left="0"/>
              <w:jc w:val="center"/>
              <w:rPr>
                <w:b/>
                <w:bCs/>
                <w:color w:val="0070C0"/>
                <w:sz w:val="24"/>
                <w:szCs w:val="24"/>
                <w:rtl/>
              </w:rPr>
            </w:pPr>
          </w:p>
        </w:tc>
      </w:tr>
    </w:tbl>
    <w:p w:rsidR="00F57494" w:rsidRPr="000667A0" w:rsidRDefault="00F57494" w:rsidP="00F57494">
      <w:pPr>
        <w:pStyle w:val="ListParagraph"/>
        <w:ind w:left="360"/>
        <w:rPr>
          <w:color w:val="0070C0"/>
          <w:sz w:val="24"/>
          <w:szCs w:val="24"/>
        </w:rPr>
      </w:pPr>
    </w:p>
    <w:p w:rsidR="00D90C46" w:rsidRPr="00F57494" w:rsidRDefault="00D90C46" w:rsidP="00F57494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sectPr w:rsidR="00D90C46" w:rsidRPr="00F57494" w:rsidSect="00110135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pgNumType w:fmt="numberInDash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C5" w:rsidRDefault="006802C5" w:rsidP="00202DE6">
      <w:pPr>
        <w:spacing w:after="0" w:line="240" w:lineRule="auto"/>
      </w:pPr>
      <w:r>
        <w:separator/>
      </w:r>
    </w:p>
  </w:endnote>
  <w:endnote w:type="continuationSeparator" w:id="0">
    <w:p w:rsidR="006802C5" w:rsidRDefault="006802C5" w:rsidP="0020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53367611"/>
      <w:docPartObj>
        <w:docPartGallery w:val="Page Numbers (Bottom of Page)"/>
        <w:docPartUnique/>
      </w:docPartObj>
    </w:sdtPr>
    <w:sdtEndPr/>
    <w:sdtContent>
      <w:p w:rsidR="00110135" w:rsidRDefault="001101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958" w:rsidRPr="006E0958">
          <w:rPr>
            <w:noProof/>
            <w:rtl/>
            <w:lang w:val="he-IL"/>
          </w:rPr>
          <w:t>-</w:t>
        </w:r>
        <w:r w:rsidR="006E0958">
          <w:rPr>
            <w:noProof/>
            <w:rtl/>
          </w:rPr>
          <w:t xml:space="preserve"> 8 -</w:t>
        </w:r>
        <w:r>
          <w:fldChar w:fldCharType="end"/>
        </w:r>
      </w:p>
    </w:sdtContent>
  </w:sdt>
  <w:p w:rsidR="000A513C" w:rsidRDefault="000A5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C5" w:rsidRDefault="006802C5" w:rsidP="00202DE6">
      <w:pPr>
        <w:spacing w:after="0" w:line="240" w:lineRule="auto"/>
      </w:pPr>
      <w:r>
        <w:separator/>
      </w:r>
    </w:p>
  </w:footnote>
  <w:footnote w:type="continuationSeparator" w:id="0">
    <w:p w:rsidR="006802C5" w:rsidRDefault="006802C5" w:rsidP="00202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A27" w:rsidRDefault="004B5A27">
    <w:pPr>
      <w:pStyle w:val="Header"/>
    </w:pPr>
  </w:p>
  <w:p w:rsidR="000A513C" w:rsidRDefault="000A5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568A"/>
    <w:multiLevelType w:val="hybridMultilevel"/>
    <w:tmpl w:val="E6A86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931"/>
    <w:multiLevelType w:val="hybridMultilevel"/>
    <w:tmpl w:val="388E2662"/>
    <w:lvl w:ilvl="0" w:tplc="D78CD850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4089"/>
    <w:multiLevelType w:val="hybridMultilevel"/>
    <w:tmpl w:val="97F07DB0"/>
    <w:lvl w:ilvl="0" w:tplc="1144B3C8">
      <w:start w:val="1"/>
      <w:numFmt w:val="decimal"/>
      <w:lvlText w:val="(%1)"/>
      <w:lvlJc w:val="left"/>
      <w:pPr>
        <w:ind w:left="1080" w:hanging="720"/>
      </w:pPr>
      <w:rPr>
        <w:rFonts w:hint="default"/>
        <w:color w:val="0000FF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08A3"/>
    <w:multiLevelType w:val="hybridMultilevel"/>
    <w:tmpl w:val="863E7B22"/>
    <w:lvl w:ilvl="0" w:tplc="EFA89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6EB2"/>
    <w:multiLevelType w:val="hybridMultilevel"/>
    <w:tmpl w:val="E6A86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57538"/>
    <w:multiLevelType w:val="hybridMultilevel"/>
    <w:tmpl w:val="3026A66E"/>
    <w:lvl w:ilvl="0" w:tplc="0DD4CB34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A3094"/>
    <w:multiLevelType w:val="hybridMultilevel"/>
    <w:tmpl w:val="B2AA9EA6"/>
    <w:lvl w:ilvl="0" w:tplc="08FC2E4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3104C"/>
    <w:multiLevelType w:val="hybridMultilevel"/>
    <w:tmpl w:val="86586850"/>
    <w:lvl w:ilvl="0" w:tplc="C542EC7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44C69"/>
    <w:multiLevelType w:val="hybridMultilevel"/>
    <w:tmpl w:val="F40AE29C"/>
    <w:lvl w:ilvl="0" w:tplc="91CCE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22AA0"/>
    <w:multiLevelType w:val="hybridMultilevel"/>
    <w:tmpl w:val="8DFC7DAE"/>
    <w:lvl w:ilvl="0" w:tplc="124EAD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CC1997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1" w15:restartNumberingAfterBreak="0">
    <w:nsid w:val="5E466B4C"/>
    <w:multiLevelType w:val="hybridMultilevel"/>
    <w:tmpl w:val="72106D52"/>
    <w:lvl w:ilvl="0" w:tplc="A40E2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45963"/>
    <w:multiLevelType w:val="hybridMultilevel"/>
    <w:tmpl w:val="CF6ACE8C"/>
    <w:lvl w:ilvl="0" w:tplc="56903990">
      <w:start w:val="1"/>
      <w:numFmt w:val="hebrew1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21D6"/>
    <w:multiLevelType w:val="hybridMultilevel"/>
    <w:tmpl w:val="EFEE2DE6"/>
    <w:lvl w:ilvl="0" w:tplc="4E5CA658">
      <w:start w:val="1"/>
      <w:numFmt w:val="hebrew1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174CC6"/>
    <w:multiLevelType w:val="hybridMultilevel"/>
    <w:tmpl w:val="EE4222CC"/>
    <w:lvl w:ilvl="0" w:tplc="7C263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8006C"/>
    <w:multiLevelType w:val="hybridMultilevel"/>
    <w:tmpl w:val="E6A86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71723"/>
    <w:multiLevelType w:val="hybridMultilevel"/>
    <w:tmpl w:val="E6A86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C288A"/>
    <w:multiLevelType w:val="hybridMultilevel"/>
    <w:tmpl w:val="E6A86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3"/>
  </w:num>
  <w:num w:numId="10">
    <w:abstractNumId w:val="2"/>
  </w:num>
  <w:num w:numId="11">
    <w:abstractNumId w:val="14"/>
  </w:num>
  <w:num w:numId="12">
    <w:abstractNumId w:val="4"/>
  </w:num>
  <w:num w:numId="13">
    <w:abstractNumId w:val="16"/>
  </w:num>
  <w:num w:numId="14">
    <w:abstractNumId w:val="0"/>
  </w:num>
  <w:num w:numId="15">
    <w:abstractNumId w:val="15"/>
  </w:num>
  <w:num w:numId="16">
    <w:abstractNumId w:val="9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CB"/>
    <w:rsid w:val="00011A3C"/>
    <w:rsid w:val="000760C5"/>
    <w:rsid w:val="00086B91"/>
    <w:rsid w:val="00091843"/>
    <w:rsid w:val="000A4D8D"/>
    <w:rsid w:val="000A513C"/>
    <w:rsid w:val="00102440"/>
    <w:rsid w:val="00110135"/>
    <w:rsid w:val="001131F1"/>
    <w:rsid w:val="00117F60"/>
    <w:rsid w:val="00135ED1"/>
    <w:rsid w:val="00161BAB"/>
    <w:rsid w:val="0016762D"/>
    <w:rsid w:val="00177A44"/>
    <w:rsid w:val="00177C34"/>
    <w:rsid w:val="001871A9"/>
    <w:rsid w:val="00196BBC"/>
    <w:rsid w:val="001A4EE4"/>
    <w:rsid w:val="001E5F4E"/>
    <w:rsid w:val="00202DE6"/>
    <w:rsid w:val="00286973"/>
    <w:rsid w:val="002B24C5"/>
    <w:rsid w:val="002B72DE"/>
    <w:rsid w:val="002D4C0C"/>
    <w:rsid w:val="00347B1D"/>
    <w:rsid w:val="00373336"/>
    <w:rsid w:val="003D7C9E"/>
    <w:rsid w:val="003E6321"/>
    <w:rsid w:val="004034DF"/>
    <w:rsid w:val="00441EE6"/>
    <w:rsid w:val="004671CB"/>
    <w:rsid w:val="004A214B"/>
    <w:rsid w:val="004B3003"/>
    <w:rsid w:val="004B476A"/>
    <w:rsid w:val="004B5A27"/>
    <w:rsid w:val="005300BD"/>
    <w:rsid w:val="00545695"/>
    <w:rsid w:val="00554DE1"/>
    <w:rsid w:val="00593E17"/>
    <w:rsid w:val="00605109"/>
    <w:rsid w:val="006127B2"/>
    <w:rsid w:val="006350A6"/>
    <w:rsid w:val="00657495"/>
    <w:rsid w:val="006802C5"/>
    <w:rsid w:val="006956DA"/>
    <w:rsid w:val="006A6E01"/>
    <w:rsid w:val="006B5581"/>
    <w:rsid w:val="006E0958"/>
    <w:rsid w:val="006F5DE7"/>
    <w:rsid w:val="00720F05"/>
    <w:rsid w:val="00722125"/>
    <w:rsid w:val="00757A7B"/>
    <w:rsid w:val="00775492"/>
    <w:rsid w:val="007A6DB3"/>
    <w:rsid w:val="007D37E6"/>
    <w:rsid w:val="008015EB"/>
    <w:rsid w:val="008136EC"/>
    <w:rsid w:val="008376EC"/>
    <w:rsid w:val="008577CB"/>
    <w:rsid w:val="00873490"/>
    <w:rsid w:val="00883C01"/>
    <w:rsid w:val="00895CC6"/>
    <w:rsid w:val="008C7CD7"/>
    <w:rsid w:val="008F2B77"/>
    <w:rsid w:val="0090589B"/>
    <w:rsid w:val="009251CC"/>
    <w:rsid w:val="009312E3"/>
    <w:rsid w:val="009468A3"/>
    <w:rsid w:val="0095777B"/>
    <w:rsid w:val="00962871"/>
    <w:rsid w:val="00982A7B"/>
    <w:rsid w:val="00986B4E"/>
    <w:rsid w:val="009A03C1"/>
    <w:rsid w:val="009B143B"/>
    <w:rsid w:val="00A118D8"/>
    <w:rsid w:val="00A23127"/>
    <w:rsid w:val="00A57AA4"/>
    <w:rsid w:val="00A61F85"/>
    <w:rsid w:val="00A731CE"/>
    <w:rsid w:val="00A76DB7"/>
    <w:rsid w:val="00A77F76"/>
    <w:rsid w:val="00A9328B"/>
    <w:rsid w:val="00AA62D7"/>
    <w:rsid w:val="00AD44BB"/>
    <w:rsid w:val="00B44AE5"/>
    <w:rsid w:val="00B53183"/>
    <w:rsid w:val="00B637BB"/>
    <w:rsid w:val="00B641D8"/>
    <w:rsid w:val="00B77372"/>
    <w:rsid w:val="00BE32FA"/>
    <w:rsid w:val="00C46A37"/>
    <w:rsid w:val="00CB6D60"/>
    <w:rsid w:val="00CE594E"/>
    <w:rsid w:val="00CF1B3C"/>
    <w:rsid w:val="00D009C5"/>
    <w:rsid w:val="00D02BDA"/>
    <w:rsid w:val="00D03A84"/>
    <w:rsid w:val="00D168D8"/>
    <w:rsid w:val="00D2572F"/>
    <w:rsid w:val="00D90C46"/>
    <w:rsid w:val="00D9285E"/>
    <w:rsid w:val="00DE2F72"/>
    <w:rsid w:val="00E25F68"/>
    <w:rsid w:val="00E31A9F"/>
    <w:rsid w:val="00E322E2"/>
    <w:rsid w:val="00E6384C"/>
    <w:rsid w:val="00E704B0"/>
    <w:rsid w:val="00E74B57"/>
    <w:rsid w:val="00E9166C"/>
    <w:rsid w:val="00EA004E"/>
    <w:rsid w:val="00EB75B7"/>
    <w:rsid w:val="00F539FE"/>
    <w:rsid w:val="00F57494"/>
    <w:rsid w:val="00F6231B"/>
    <w:rsid w:val="00F96D45"/>
    <w:rsid w:val="00FC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8DE17"/>
  <w15:chartTrackingRefBased/>
  <w15:docId w15:val="{4982064B-5A39-4C0F-8159-CB8EFA14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bidi/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EE4"/>
  </w:style>
  <w:style w:type="paragraph" w:styleId="Heading1">
    <w:name w:val="heading 1"/>
    <w:basedOn w:val="Normal"/>
    <w:next w:val="Normal"/>
    <w:link w:val="Heading1Char"/>
    <w:uiPriority w:val="9"/>
    <w:qFormat/>
    <w:rsid w:val="001A4EE4"/>
    <w:pPr>
      <w:keepNext/>
      <w:keepLines/>
      <w:pBdr>
        <w:bottom w:val="single" w:sz="4" w:space="1" w:color="E4831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AA610D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EE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E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E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EE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EE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EE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EE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EE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09C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9C5"/>
    <w:rPr>
      <w:rFonts w:ascii="Tahoma" w:hAnsi="Tahoma" w:cs="Tahoma"/>
      <w:sz w:val="18"/>
      <w:szCs w:val="18"/>
    </w:rPr>
  </w:style>
  <w:style w:type="paragraph" w:styleId="NoSpacing">
    <w:name w:val="No Spacing"/>
    <w:link w:val="NoSpacingChar"/>
    <w:uiPriority w:val="1"/>
    <w:qFormat/>
    <w:rsid w:val="001A4EE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009C5"/>
  </w:style>
  <w:style w:type="character" w:customStyle="1" w:styleId="Heading1Char">
    <w:name w:val="Heading 1 Char"/>
    <w:basedOn w:val="DefaultParagraphFont"/>
    <w:link w:val="Heading1"/>
    <w:uiPriority w:val="9"/>
    <w:rsid w:val="001A4EE4"/>
    <w:rPr>
      <w:rFonts w:asciiTheme="majorHAnsi" w:eastAsiaTheme="majorEastAsia" w:hAnsiTheme="majorHAnsi" w:cstheme="majorBidi"/>
      <w:color w:val="AA610D" w:themeColor="accent1" w:themeShade="BF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A4EE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D009C5"/>
    <w:pPr>
      <w:spacing w:after="100"/>
      <w:ind w:left="220"/>
    </w:pPr>
    <w:rPr>
      <w:rFonts w:cs="Times New Roman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D009C5"/>
    <w:pPr>
      <w:spacing w:after="100"/>
    </w:pPr>
    <w:rPr>
      <w:rFonts w:cs="Times New Roman"/>
      <w:rtl/>
      <w:cs/>
    </w:rPr>
  </w:style>
  <w:style w:type="paragraph" w:styleId="TOC3">
    <w:name w:val="toc 3"/>
    <w:basedOn w:val="Normal"/>
    <w:next w:val="Normal"/>
    <w:autoRedefine/>
    <w:uiPriority w:val="39"/>
    <w:unhideWhenUsed/>
    <w:rsid w:val="00D009C5"/>
    <w:pPr>
      <w:spacing w:after="100"/>
      <w:ind w:left="440"/>
    </w:pPr>
    <w:rPr>
      <w:rFonts w:cs="Times New Roman"/>
      <w:rtl/>
      <w:cs/>
    </w:rPr>
  </w:style>
  <w:style w:type="paragraph" w:styleId="ListParagraph">
    <w:name w:val="List Paragraph"/>
    <w:basedOn w:val="Normal"/>
    <w:uiPriority w:val="34"/>
    <w:qFormat/>
    <w:rsid w:val="00D009C5"/>
    <w:pPr>
      <w:ind w:left="720"/>
      <w:contextualSpacing/>
    </w:pPr>
  </w:style>
  <w:style w:type="table" w:customStyle="1" w:styleId="TableGrid">
    <w:name w:val="TableGrid"/>
    <w:rsid w:val="00441EE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A4EE4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EE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EE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EE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EE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EE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EE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EE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4EE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A4E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A610D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A4EE4"/>
    <w:rPr>
      <w:rFonts w:asciiTheme="majorHAnsi" w:eastAsiaTheme="majorEastAsia" w:hAnsiTheme="majorHAnsi" w:cstheme="majorBidi"/>
      <w:color w:val="AA610D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E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A4EE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1A4EE4"/>
    <w:rPr>
      <w:b/>
      <w:bCs/>
    </w:rPr>
  </w:style>
  <w:style w:type="character" w:styleId="Emphasis">
    <w:name w:val="Emphasis"/>
    <w:basedOn w:val="DefaultParagraphFont"/>
    <w:uiPriority w:val="20"/>
    <w:qFormat/>
    <w:rsid w:val="001A4EE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A4EE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A4E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EE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EE4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A4E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A4E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A4EE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1A4EE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1A4EE4"/>
    <w:rPr>
      <w:b/>
      <w:bCs/>
      <w:smallCap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D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D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D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02DE6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202DE6"/>
  </w:style>
  <w:style w:type="character" w:customStyle="1" w:styleId="nowrap">
    <w:name w:val="nowrap"/>
    <w:basedOn w:val="DefaultParagraphFont"/>
    <w:rsid w:val="00202DE6"/>
  </w:style>
  <w:style w:type="paragraph" w:styleId="Header">
    <w:name w:val="header"/>
    <w:basedOn w:val="Normal"/>
    <w:link w:val="HeaderChar"/>
    <w:uiPriority w:val="99"/>
    <w:unhideWhenUsed/>
    <w:rsid w:val="000A51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13C"/>
  </w:style>
  <w:style w:type="paragraph" w:styleId="Footer">
    <w:name w:val="footer"/>
    <w:basedOn w:val="Normal"/>
    <w:link w:val="FooterChar"/>
    <w:uiPriority w:val="99"/>
    <w:unhideWhenUsed/>
    <w:rsid w:val="000A51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13C"/>
  </w:style>
  <w:style w:type="character" w:styleId="FollowedHyperlink">
    <w:name w:val="FollowedHyperlink"/>
    <w:basedOn w:val="DefaultParagraphFont"/>
    <w:uiPriority w:val="99"/>
    <w:semiHidden/>
    <w:unhideWhenUsed/>
    <w:rsid w:val="006A6E01"/>
    <w:rPr>
      <w:color w:val="8C8C8C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722125"/>
  </w:style>
  <w:style w:type="character" w:styleId="HTMLCite">
    <w:name w:val="HTML Cite"/>
    <w:basedOn w:val="DefaultParagraphFont"/>
    <w:uiPriority w:val="99"/>
    <w:semiHidden/>
    <w:unhideWhenUsed/>
    <w:rsid w:val="00A61F85"/>
    <w:rPr>
      <w:i/>
      <w:iCs/>
    </w:rPr>
  </w:style>
  <w:style w:type="table" w:styleId="TableGrid0">
    <w:name w:val="Table Grid"/>
    <w:basedOn w:val="TableNormal"/>
    <w:uiPriority w:val="39"/>
    <w:rsid w:val="00F57494"/>
    <w:pPr>
      <w:bidi w:val="0"/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ams.microsoft.com/l/file/429DAEE7-3605-4638-A702-F4F5619C183E?tenantId=78820852-55fa-450b-908d-45c0d911e76b&amp;fileType=pptx&amp;objectUrl=https%3A%2F%2Ftikshuv.sharepoint.com%2Fsites%2F-47%2FShared%20Documents%2F1.%20%D7%A1%D7%9E%D7%99%D7%A0%D7%A8%20%D7%90%D7%99%D7%A8%D7%95%D7%A4%D7%94%2F%D7%A7%D7%A4%D7%A8%D7%99%D7%A1%D7%99%D7%9F%2F%D7%9E%D7%A6%D7%92%D7%95%D7%AA%2F%D7%92%D7%9C%D7%99%D7%94%20%D7%9C%D7%99%D7%A0%D7%93%D7%A8%D7%A9%D7%98%D7%A8%D7%90%D7%95%D7%A1%20-%20%D7%A7%D7%A4%D7%A8%D7%99%D7%A1%D7%99%D7%9F.pptx&amp;baseUrl=https%3A%2F%2Ftikshuv.sharepoint.com%2Fsites%2F-47&amp;serviceName=teams&amp;threadId=19:ccff84c1a8bf4d889644345e5f8665ca@thread.skype&amp;groupId=97195ba9-5be2-4605-a00c-60d314ed4c9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file/BA83ABAB-440F-44D1-99BB-7D85357865BA?tenantId=78820852-55fa-450b-908d-45c0d911e76b&amp;fileType=pdf&amp;objectUrl=https%3A%2F%2Ftikshuv.sharepoint.com%2Fsites%2F-47%2FShared%20Documents%2F1.%20%D7%A1%D7%9E%D7%99%D7%A0%D7%A8%20%D7%90%D7%99%D7%A8%D7%95%D7%A4%D7%94%2F%D7%A7%D7%A4%D7%A8%D7%99%D7%A1%D7%99%D7%9F%2F%D7%A1%D7%99%D7%95%D7%A8%20%D7%90%D7%99%D7%A8%D7%95%D7%A4%D7%94%20-%20%D7%A2%D7%93%D7%9B%D7%95%D7%9F%20%D7%A8%D7%90%D7%A9%D7%95%D7%9F%20181019.pdf&amp;baseUrl=https%3A%2F%2Ftikshuv.sharepoint.com%2Fsites%2F-47&amp;serviceName=teams&amp;threadId=19:ccff84c1a8bf4d889644345e5f8665ca@thread.skype&amp;groupId=97195ba9-5be2-4605-a00c-60d314ed4c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_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מבט לאחור">
  <a:themeElements>
    <a:clrScheme name="מבט לאחור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מבט לאחור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מבט לאחור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McG07</b:Tag>
    <b:SourceType>BookSection</b:SourceType>
    <b:Guid>{89612C8A-E8C4-4D2D-9B53-33AEE28F1128}</b:Guid>
    <b:Title>Globalization in hard times: Contention in the academy and beyond</b:Title>
    <b:Year>2007</b:Year>
    <b:Pages>29-53</b:Pages>
    <b:Publisher>blackwell publishing</b:Publisher>
    <b:BookTitle>The Blackwell Companion to Globalization</b:BookTitle>
    <b:Author>
      <b:Author>
        <b:NameList>
          <b:Person>
            <b:Last>McGrew</b:Last>
            <b:First>Anthony</b:First>
          </b:Person>
        </b:NameList>
      </b:Author>
      <b:BookAuthor>
        <b:NameList>
          <b:Person>
            <b:Last>Ritzer</b:Last>
            <b:First>George</b:First>
          </b:Person>
        </b:NameList>
      </b:BookAuthor>
    </b:Author>
    <b:RefOrder>2</b:RefOrder>
  </b:Source>
  <b:Source>
    <b:Tag>Sch05</b:Tag>
    <b:SourceType>Book</b:SourceType>
    <b:Guid>{09A549C2-1E02-4C43-8498-26C441D8FFB6}</b:Guid>
    <b:Title>Globalization A critical introduction</b:Title>
    <b:Year>2005</b:Year>
    <b:Author>
      <b:Author>
        <b:NameList>
          <b:Person>
            <b:Last>Scholte</b:Last>
            <b:First>Jane</b:First>
            <b:Middle>Aart</b:Middle>
          </b:Person>
        </b:NameList>
      </b:Author>
    </b:Author>
    <b:City>london</b:City>
    <b:Publisher>Red globe press</b:Publisher>
    <b:LCID>en-US</b:LCID>
    <b:Edition>second</b:Edition>
    <b:RefOrder>5</b:RefOrder>
  </b:Source>
  <b:Source>
    <b:Tag>Van05</b:Tag>
    <b:SourceType>ArticleInAPeriodical</b:SourceType>
    <b:Guid>{768D0870-B19C-4BB8-A34E-DFDB6E6618CC}</b:Guid>
    <b:Title>globalization: A triumph of Ambiguity</b:Title>
    <b:Year>2005</b:Year>
    <b:Pages>875-893</b:Pages>
    <b:PeriodicalTitle>Current Sociology</b:PeriodicalTitle>
    <b:Month>November</b:Month>
    <b:Day>1</b:Day>
    <b:Author>
      <b:Author>
        <b:NameList>
          <b:Person>
            <b:Last>Van Der Bly</b:Last>
            <b:Middle>C. E.</b:Middle>
            <b:First>Martha</b:First>
          </b:Person>
        </b:NameList>
      </b:Author>
    </b:Author>
    <b:RefOrder>6</b:RefOrder>
  </b:Source>
  <b:Source>
    <b:Tag>Rob07</b:Tag>
    <b:SourceType>BookSection</b:SourceType>
    <b:Guid>{29DBF533-2E67-4284-89A7-9E141E3C6A7B}</b:Guid>
    <b:Title>what is globalization</b:Title>
    <b:BookTitle>The blackwell companion to Globalization</b:BookTitle>
    <b:Year>2007</b:Year>
    <b:Pages>54-66</b:Pages>
    <b:Publisher>The blackwell publishing</b:Publisher>
    <b:Author>
      <b:Author>
        <b:NameList>
          <b:Person>
            <b:Last>Robertson</b:Last>
            <b:First>Roland</b:First>
          </b:Person>
          <b:Person>
            <b:Last>White</b:Last>
            <b:Middle>E</b:Middle>
            <b:First>Kathleen</b:First>
          </b:Person>
        </b:NameList>
      </b:Author>
      <b:BookAuthor>
        <b:NameList>
          <b:Person>
            <b:Last>Ritzer</b:Last>
            <b:First>George</b:First>
          </b:Person>
        </b:NameList>
      </b:BookAuthor>
    </b:Author>
    <b:RefOrder>7</b:RefOrder>
  </b:Source>
  <b:Source>
    <b:Tag>Hel991</b:Tag>
    <b:SourceType>ArticleInAPeriodical</b:SourceType>
    <b:Guid>{73DAB5F8-D20D-400C-971A-CC038910A681}</b:Guid>
    <b:Title>globalization</b:Title>
    <b:Year>1999</b:Year>
    <b:PeriodicalTitle>Global Governance</b:PeriodicalTitle>
    <b:Month>october-december</b:Month>
    <b:Pages>483-496</b:Pages>
    <b:Author>
      <b:Author>
        <b:NameList>
          <b:Person>
            <b:Last>Held</b:Last>
            <b:First>David</b:First>
          </b:Person>
          <b:Person>
            <b:Last>McGrew</b:Last>
            <b:First>Anthony</b:First>
          </b:Person>
          <b:Person>
            <b:Last>Goldblatt</b:Last>
            <b:First>David</b:First>
          </b:Person>
          <b:Person>
            <b:Last>Perraton</b:Last>
            <b:First>Jonathan</b:First>
          </b:Person>
        </b:NameList>
      </b:Author>
    </b:Author>
    <b:RefOrder>8</b:RefOrder>
  </b:Source>
  <b:Source>
    <b:Tag>McF07</b:Tag>
    <b:SourceType>JournalArticle</b:SourceType>
    <b:Guid>{4AB4526F-1B39-4DD6-B91D-C381E76E5711}</b:Guid>
    <b:Title>Neopluralism</b:Title>
    <b:Year>2007</b:Year>
    <b:JournalName>Annual Review of political science</b:JournalName>
    <b:Pages>45-66</b:Pages>
    <b:Author>
      <b:Author>
        <b:NameList>
          <b:Person>
            <b:Last>McFarland</b:Last>
            <b:First>Andrew s.</b:First>
          </b:Person>
        </b:NameList>
      </b:Author>
    </b:Author>
    <b:Month>june</b:Month>
    <b:Day>15</b:Day>
    <b:Issue>10</b:Issue>
    <b:RefOrder>9</b:RefOrder>
  </b:Source>
  <b:Source>
    <b:Tag>Low09</b:Tag>
    <b:SourceType>BookSection</b:SourceType>
    <b:Guid>{F83C9F6F-B07F-4254-9455-893986D6A642}</b:Guid>
    <b:Title>New Institutionalism and Urban Politics</b:Title>
    <b:Year>2009</b:Year>
    <b:Pages>91-105</b:Pages>
    <b:City>Los Angeles</b:City>
    <b:Publisher>Sage</b:Publisher>
    <b:Author>
      <b:Author>
        <b:NameList>
          <b:Person>
            <b:Last>Lowndes</b:Last>
            <b:First>Vivien</b:First>
          </b:Person>
        </b:NameList>
      </b:Author>
      <b:BookAuthor>
        <b:NameList>
          <b:Person>
            <b:Last>Davis</b:Last>
            <b:Middle>s.</b:Middle>
            <b:First>Jonathan</b:First>
          </b:Person>
          <b:Person>
            <b:Last>Imbroscio</b:Last>
            <b:Middle>L.</b:Middle>
            <b:First>David</b:First>
          </b:Person>
        </b:NameList>
      </b:BookAuthor>
    </b:Author>
    <b:BookTitle>Theories of Urban Politics</b:BookTitle>
    <b:RefOrder>4</b:RefOrder>
  </b:Source>
  <b:Source>
    <b:Tag>Fio11</b:Tag>
    <b:SourceType>JournalArticle</b:SourceType>
    <b:Guid>{FD065967-7C33-466B-A3EC-0DEFD8BAC085}</b:Guid>
    <b:Title>Historical Institutionalism in International relations</b:Title>
    <b:Year>2011</b:Year>
    <b:Pages>367-399</b:Pages>
    <b:Publisher>cambridge university</b:Publisher>
    <b:PeriodicalTitle>International Organization</b:PeriodicalTitle>
    <b:Month>spring</b:Month>
    <b:Author>
      <b:Author>
        <b:NameList>
          <b:Person>
            <b:Last>Fioretos</b:Last>
            <b:First>Orfeo</b:First>
          </b:Person>
        </b:NameList>
      </b:Author>
    </b:Author>
    <b:LCID>he-IL</b:LCID>
    <b:Issue>65</b:Issue>
    <b:JournalName>International organizations</b:JournalName>
    <b:RefOrder>10</b:RefOrder>
  </b:Source>
  <b:Source>
    <b:Tag>גוט18</b:Tag>
    <b:SourceType>InternetSite</b:SourceType>
    <b:Guid>{FE5A0AEF-9E0E-4D37-9FE9-A99AF910D6CF}</b:Guid>
    <b:Title>"המרד נגד הגלובליזציה": כך קולע נדב איל לטעמו של מעמד הביניים הישראלי</b:Title>
    <b:Year>2018</b:Year>
    <b:InternetSiteTitle>הארץ</b:InternetSiteTitle>
    <b:Month>יולי</b:Month>
    <b:Day>25</b:Day>
    <b:URL>https://www.haaretz.co.il/literature/study/.premium-REVIEW-1.6311533</b:URL>
    <b:Author>
      <b:Author>
        <b:NameList>
          <b:Person>
            <b:Last>גוטוויין</b:Last>
            <b:First>דני</b:First>
          </b:Person>
        </b:NameList>
      </b:Author>
    </b:Author>
    <b:YearAccessed>2019</b:YearAccessed>
    <b:MonthAccessed>נובמבר</b:MonthAccessed>
    <b:DayAccessed>15</b:DayAccessed>
    <b:RefOrder>11</b:RefOrder>
  </b:Source>
  <b:Source>
    <b:Tag>יהב18</b:Tag>
    <b:SourceType>InternetSite</b:SourceType>
    <b:Guid>{F24E270F-739F-4906-95F6-B1DDFF07D6A9}</b:Guid>
    <b:Title>על ספרו של נדב איל 'המרד נגד הגלובליזציה': מהפך, מהפכה או מפץ?</b:Title>
    <b:InternetSiteTitle>המפלגה הקומוניסטית הישראלית</b:InternetSiteTitle>
    <b:Year>2018</b:Year>
    <b:Month>דצמבר</b:Month>
    <b:Day>15</b:Day>
    <b:URL>http://maki.org.il/%D7%A2%D7%9C-%D7%A1%D7%A4%D7%A8%D7%95-%D7%A9%D7%9C-%D7%A0%D7%93%D7%91-%D7%90%D7%99%D7%9C-%D7%94%D7%9E%D7%A8%D7%93-%D7%A0%D7%92%D7%93-%D7%94%D7%92%D7%9C%D7%95%D7%91%D7%9C%D7%99%D7%96%D7%A6%D7%99/</b:URL>
    <b:Author>
      <b:Author>
        <b:NameList>
          <b:Person>
            <b:Last>יהב</b:Last>
            <b:First>דן</b:First>
          </b:Person>
        </b:NameList>
      </b:Author>
    </b:Author>
    <b:YearAccessed>2019</b:YearAccessed>
    <b:MonthAccessed>נובמבר</b:MonthAccessed>
    <b:DayAccessed>19</b:DayAccessed>
    <b:RefOrder>12</b:RefOrder>
  </b:Source>
  <b:Source>
    <b:Tag>Sim19</b:Tag>
    <b:SourceType>JournalArticle</b:SourceType>
    <b:Guid>{9D5E2CCD-97BF-47BB-A98A-93E086B45F61}</b:Guid>
    <b:Title>Environmental (in) security</b:Title>
    <b:Year>2019</b:Year>
    <b:Author>
      <b:Author>
        <b:NameList>
          <b:Person>
            <b:Last>Dalby</b:Last>
            <b:First>Simon</b:First>
          </b:Person>
        </b:NameList>
      </b:Author>
    </b:Author>
    <b:JournalName>International Encyclopedia of Geography: People, the earth, Enivronment and Technology</b:JournalName>
    <b:Pages>1-10</b:Pages>
    <b:RefOrder>1</b:RefOrder>
  </b:Source>
  <b:Source>
    <b:Tag>Pal08</b:Tag>
    <b:SourceType>Book</b:SourceType>
    <b:Guid>{0185C49F-A457-4388-8F6D-2CFCC9248431}</b:Guid>
    <b:Title>National Security: Imperatuvets and challenges</b:Title>
    <b:Year>2008</b:Year>
    <b:City>New Delhi</b:City>
    <b:Publisher>Tata McGraw Hill</b:Publisher>
    <b:Author>
      <b:Author>
        <b:NameList>
          <b:Person>
            <b:Last>Paleri</b:Last>
            <b:First>Prabhakaran</b:First>
          </b:Person>
        </b:NameList>
      </b:Author>
    </b:Author>
    <b:RefOrder>3</b:RefOrder>
  </b:Source>
</b:Sources>
</file>

<file path=customXml/itemProps1.xml><?xml version="1.0" encoding="utf-8"?>
<ds:datastoreItem xmlns:ds="http://schemas.openxmlformats.org/officeDocument/2006/customXml" ds:itemID="{A90F3709-F140-4C3D-BB5F-36464E7F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1623</Words>
  <Characters>8119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סיור קפריסין - 2019</vt:lpstr>
      <vt:lpstr>סיור קפריסין - 2019</vt:lpstr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סיור קפריסין - 2019</dc:title>
  <dc:subject/>
  <dc:creator>Aviad Atia</dc:creator>
  <cp:keywords/>
  <dc:description/>
  <cp:lastModifiedBy>u26611</cp:lastModifiedBy>
  <cp:revision>9</cp:revision>
  <dcterms:created xsi:type="dcterms:W3CDTF">2019-12-07T18:05:00Z</dcterms:created>
  <dcterms:modified xsi:type="dcterms:W3CDTF">2019-12-10T20:41:00Z</dcterms:modified>
</cp:coreProperties>
</file>