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753B2" w14:textId="6C23229B" w:rsidR="00962DBE" w:rsidRDefault="00962DBE" w:rsidP="00991835">
      <w:pPr>
        <w:spacing w:line="360" w:lineRule="auto"/>
        <w:jc w:val="both"/>
        <w:rPr>
          <w:rFonts w:ascii="Arial" w:hAnsi="Arial" w:cs="David" w:hint="cs"/>
          <w:b/>
          <w:bCs/>
          <w:sz w:val="28"/>
          <w:szCs w:val="28"/>
          <w:rtl/>
        </w:rPr>
      </w:pPr>
      <w:r>
        <w:rPr>
          <w:rFonts w:ascii="Arial" w:hAnsi="Arial" w:cs="David" w:hint="cs"/>
          <w:b/>
          <w:bCs/>
          <w:sz w:val="28"/>
          <w:szCs w:val="28"/>
          <w:rtl/>
        </w:rPr>
        <w:t xml:space="preserve">היי </w:t>
      </w:r>
      <w:proofErr w:type="spellStart"/>
      <w:r w:rsidR="00991835">
        <w:rPr>
          <w:rFonts w:ascii="Arial" w:hAnsi="Arial" w:cs="David" w:hint="cs"/>
          <w:b/>
          <w:bCs/>
          <w:sz w:val="28"/>
          <w:szCs w:val="28"/>
          <w:rtl/>
        </w:rPr>
        <w:t>סת</w:t>
      </w:r>
      <w:proofErr w:type="spellEnd"/>
      <w:r w:rsidR="00991835">
        <w:rPr>
          <w:rFonts w:ascii="Arial" w:hAnsi="Arial" w:cs="David" w:hint="cs"/>
          <w:b/>
          <w:bCs/>
          <w:sz w:val="28"/>
          <w:szCs w:val="28"/>
          <w:rtl/>
        </w:rPr>
        <w:t>'</w:t>
      </w:r>
      <w:r>
        <w:rPr>
          <w:rFonts w:ascii="Arial" w:hAnsi="Arial" w:cs="David" w:hint="cs"/>
          <w:b/>
          <w:bCs/>
          <w:sz w:val="28"/>
          <w:szCs w:val="28"/>
          <w:rtl/>
        </w:rPr>
        <w:t>,</w:t>
      </w:r>
    </w:p>
    <w:p w14:paraId="7923E57F" w14:textId="53D2FD6C" w:rsidR="00962DBE" w:rsidRDefault="00962DBE" w:rsidP="00991835">
      <w:pPr>
        <w:spacing w:line="360" w:lineRule="auto"/>
        <w:jc w:val="both"/>
        <w:rPr>
          <w:rFonts w:ascii="Arial" w:hAnsi="Arial" w:cs="David"/>
          <w:b/>
          <w:bCs/>
          <w:sz w:val="28"/>
          <w:szCs w:val="28"/>
          <w:rtl/>
        </w:rPr>
      </w:pPr>
      <w:r>
        <w:rPr>
          <w:rFonts w:ascii="Arial" w:hAnsi="Arial" w:cs="David" w:hint="cs"/>
          <w:b/>
          <w:bCs/>
          <w:sz w:val="28"/>
          <w:szCs w:val="28"/>
          <w:rtl/>
        </w:rPr>
        <w:t xml:space="preserve">ראשית תודה על הנכונות לסייע. במסגרת עבודת המחקר שלי אני מתייחסת לארגוני משרתים בצבאות שונים מסביב לעולם. מבדיקתי עלו הפרטים הבאים לגבי </w:t>
      </w:r>
      <w:r w:rsidR="00991835">
        <w:rPr>
          <w:rFonts w:ascii="Arial" w:hAnsi="Arial" w:cs="David" w:hint="cs"/>
          <w:b/>
          <w:bCs/>
          <w:sz w:val="28"/>
          <w:szCs w:val="28"/>
          <w:rtl/>
        </w:rPr>
        <w:t>המצב בארצות הברית</w:t>
      </w:r>
      <w:r>
        <w:rPr>
          <w:rFonts w:ascii="Arial" w:hAnsi="Arial" w:cs="David" w:hint="cs"/>
          <w:b/>
          <w:bCs/>
          <w:sz w:val="28"/>
          <w:szCs w:val="28"/>
          <w:rtl/>
        </w:rPr>
        <w:t>, וכך כתבתי בעבודה:</w:t>
      </w:r>
    </w:p>
    <w:p w14:paraId="67ACF815" w14:textId="6050ECC0" w:rsidR="00991835" w:rsidRDefault="00991835" w:rsidP="00991835">
      <w:pPr>
        <w:spacing w:line="360" w:lineRule="auto"/>
        <w:jc w:val="both"/>
        <w:rPr>
          <w:rFonts w:ascii="Arial" w:hAnsi="Arial" w:cs="David"/>
          <w:sz w:val="28"/>
          <w:szCs w:val="28"/>
          <w:rtl/>
        </w:rPr>
      </w:pPr>
      <w:r w:rsidRPr="00ED6B54">
        <w:rPr>
          <w:rFonts w:ascii="Arial" w:hAnsi="Arial" w:cs="David" w:hint="cs"/>
          <w:b/>
          <w:bCs/>
          <w:sz w:val="28"/>
          <w:szCs w:val="28"/>
          <w:rtl/>
        </w:rPr>
        <w:t>ב</w:t>
      </w:r>
      <w:r w:rsidRPr="00ED6B54">
        <w:rPr>
          <w:rFonts w:ascii="Arial" w:hAnsi="Arial" w:cs="David"/>
          <w:b/>
          <w:bCs/>
          <w:sz w:val="28"/>
          <w:szCs w:val="28"/>
          <w:rtl/>
        </w:rPr>
        <w:t>ארצות הברית</w:t>
      </w:r>
      <w:r w:rsidRPr="00ED6B54">
        <w:rPr>
          <w:rFonts w:ascii="Arial" w:hAnsi="Arial" w:cs="David"/>
          <w:sz w:val="28"/>
          <w:szCs w:val="28"/>
          <w:rtl/>
        </w:rPr>
        <w:t xml:space="preserve">, </w:t>
      </w:r>
      <w:r>
        <w:rPr>
          <w:rFonts w:ascii="Arial" w:hAnsi="Arial" w:cs="David" w:hint="cs"/>
          <w:sz w:val="28"/>
          <w:szCs w:val="28"/>
          <w:rtl/>
        </w:rPr>
        <w:t>לאחר דיון מקיף שנערך בשנות השבעים בהתלבטות אם להתיר לחיילים להתאגד, הוחלט להטיל איסור מוחלט על התארגנות המשרתים בצבא. בהצהרת הקונגרס בנושא נקבע כי משמעת היא ערך עליון בצבא, כי התארגנות חיילים אינה עולה בקנה אחד עם המבנה ההיררכי של הצבא, וכי למשא ומתן קיבוצי ולשביתה אין מקום בצבא</w:t>
      </w:r>
      <w:r>
        <w:rPr>
          <w:rStyle w:val="a5"/>
          <w:rFonts w:ascii="Arial" w:hAnsi="Arial" w:cs="David"/>
          <w:sz w:val="28"/>
          <w:szCs w:val="28"/>
          <w:rtl/>
        </w:rPr>
        <w:footnoteReference w:id="1"/>
      </w:r>
      <w:r>
        <w:rPr>
          <w:rFonts w:ascii="Arial" w:hAnsi="Arial" w:cs="David" w:hint="cs"/>
          <w:sz w:val="28"/>
          <w:szCs w:val="28"/>
          <w:rtl/>
        </w:rPr>
        <w:t xml:space="preserve">. תפיסה זו אף אושרה בפסיקת בית המשפט הצבאי בשנות התשעים של המאה הקודמת. בהתאמה, קובע </w:t>
      </w:r>
      <w:r w:rsidRPr="00ED6B54">
        <w:rPr>
          <w:rFonts w:ascii="Arial" w:hAnsi="Arial" w:cs="David"/>
          <w:sz w:val="28"/>
          <w:szCs w:val="28"/>
          <w:rtl/>
        </w:rPr>
        <w:t xml:space="preserve">הדין הפדראלי איסור </w:t>
      </w:r>
      <w:r>
        <w:rPr>
          <w:rFonts w:ascii="Arial" w:hAnsi="Arial" w:cs="David" w:hint="cs"/>
          <w:sz w:val="28"/>
          <w:szCs w:val="28"/>
          <w:rtl/>
        </w:rPr>
        <w:t xml:space="preserve">על </w:t>
      </w:r>
      <w:r w:rsidRPr="00ED6B54">
        <w:rPr>
          <w:rFonts w:ascii="Arial" w:hAnsi="Arial" w:cs="David"/>
          <w:sz w:val="28"/>
          <w:szCs w:val="28"/>
          <w:rtl/>
        </w:rPr>
        <w:t>חברות באיגוד מקצועי</w:t>
      </w:r>
      <w:r>
        <w:rPr>
          <w:rFonts w:ascii="Arial" w:hAnsi="Arial" w:cs="David" w:hint="cs"/>
          <w:sz w:val="28"/>
          <w:szCs w:val="28"/>
          <w:rtl/>
        </w:rPr>
        <w:t xml:space="preserve"> שמטרתו קיום משא ומתן קיבוצי,</w:t>
      </w:r>
      <w:r w:rsidRPr="00ED6B54">
        <w:rPr>
          <w:rFonts w:ascii="Arial" w:hAnsi="Arial" w:cs="David"/>
          <w:sz w:val="28"/>
          <w:szCs w:val="28"/>
          <w:rtl/>
        </w:rPr>
        <w:t xml:space="preserve"> כמו גם איסור להפגין ו</w:t>
      </w:r>
      <w:r>
        <w:rPr>
          <w:rFonts w:ascii="Arial" w:hAnsi="Arial" w:cs="David" w:hint="cs"/>
          <w:sz w:val="28"/>
          <w:szCs w:val="28"/>
          <w:rtl/>
        </w:rPr>
        <w:t xml:space="preserve">איסור </w:t>
      </w:r>
      <w:r w:rsidRPr="00ED6B54">
        <w:rPr>
          <w:rFonts w:ascii="Arial" w:hAnsi="Arial" w:cs="David"/>
          <w:sz w:val="28"/>
          <w:szCs w:val="28"/>
          <w:rtl/>
        </w:rPr>
        <w:t>לשבות</w:t>
      </w:r>
      <w:r>
        <w:rPr>
          <w:rFonts w:ascii="Arial" w:hAnsi="Arial" w:cs="David" w:hint="cs"/>
          <w:sz w:val="28"/>
          <w:szCs w:val="28"/>
          <w:rtl/>
        </w:rPr>
        <w:t>. על אף האמור</w:t>
      </w:r>
      <w:r w:rsidRPr="00ED6B54">
        <w:rPr>
          <w:rFonts w:ascii="Arial" w:hAnsi="Arial" w:cs="David"/>
          <w:sz w:val="28"/>
          <w:szCs w:val="28"/>
          <w:rtl/>
        </w:rPr>
        <w:t xml:space="preserve">, הדין מאפשר </w:t>
      </w:r>
      <w:r>
        <w:rPr>
          <w:rFonts w:ascii="Arial" w:hAnsi="Arial" w:cs="David" w:hint="cs"/>
          <w:sz w:val="28"/>
          <w:szCs w:val="28"/>
          <w:rtl/>
        </w:rPr>
        <w:t>הקמת</w:t>
      </w:r>
      <w:r w:rsidRPr="00ED6B54">
        <w:rPr>
          <w:rFonts w:ascii="Arial" w:hAnsi="Arial" w:cs="David"/>
          <w:sz w:val="28"/>
          <w:szCs w:val="28"/>
          <w:rtl/>
        </w:rPr>
        <w:t xml:space="preserve"> ארגוני חיילים </w:t>
      </w:r>
      <w:r>
        <w:rPr>
          <w:rFonts w:ascii="Arial" w:hAnsi="Arial" w:cs="David" w:hint="cs"/>
          <w:sz w:val="28"/>
          <w:szCs w:val="28"/>
          <w:rtl/>
        </w:rPr>
        <w:t>לייצוג</w:t>
      </w:r>
      <w:r w:rsidRPr="00ED6B54">
        <w:rPr>
          <w:rFonts w:ascii="Arial" w:hAnsi="Arial" w:cs="David"/>
          <w:sz w:val="28"/>
          <w:szCs w:val="28"/>
          <w:rtl/>
        </w:rPr>
        <w:t xml:space="preserve"> האינטרסים המקצועיים</w:t>
      </w:r>
      <w:r>
        <w:rPr>
          <w:rFonts w:ascii="Arial" w:hAnsi="Arial" w:cs="David" w:hint="cs"/>
          <w:sz w:val="28"/>
          <w:szCs w:val="28"/>
          <w:rtl/>
        </w:rPr>
        <w:t>, בלבד שלא יעסקו במשא ומתן קיבוצי הנוגע ל</w:t>
      </w:r>
      <w:r w:rsidRPr="00ED6B54">
        <w:rPr>
          <w:rFonts w:ascii="Arial" w:hAnsi="Arial" w:cs="David"/>
          <w:sz w:val="28"/>
          <w:szCs w:val="28"/>
          <w:rtl/>
        </w:rPr>
        <w:t>תנאי השירות וכל עוד הם פועלים בהתאם למגבלות הקבועות בדין ובפקודות הצבא</w:t>
      </w:r>
      <w:commentRangeStart w:id="0"/>
      <w:r>
        <w:rPr>
          <w:rStyle w:val="a5"/>
          <w:rFonts w:ascii="Arial" w:hAnsi="Arial" w:cs="David"/>
          <w:sz w:val="28"/>
          <w:szCs w:val="28"/>
          <w:rtl/>
        </w:rPr>
        <w:footnoteReference w:id="2"/>
      </w:r>
      <w:commentRangeEnd w:id="0"/>
      <w:r>
        <w:rPr>
          <w:rStyle w:val="a6"/>
          <w:rtl/>
        </w:rPr>
        <w:commentReference w:id="0"/>
      </w:r>
      <w:r w:rsidRPr="00ED6B54">
        <w:rPr>
          <w:rFonts w:ascii="Arial" w:hAnsi="Arial" w:cs="David" w:hint="cs"/>
          <w:sz w:val="28"/>
          <w:szCs w:val="28"/>
          <w:rtl/>
        </w:rPr>
        <w:t xml:space="preserve">. </w:t>
      </w:r>
    </w:p>
    <w:p w14:paraId="303BB977" w14:textId="77777777" w:rsidR="00962DBE" w:rsidRDefault="00962DBE" w:rsidP="00962DBE">
      <w:pPr>
        <w:spacing w:line="360" w:lineRule="auto"/>
        <w:jc w:val="both"/>
        <w:rPr>
          <w:rFonts w:ascii="Arial" w:hAnsi="Arial" w:cs="David"/>
          <w:sz w:val="28"/>
          <w:szCs w:val="28"/>
          <w:rtl/>
        </w:rPr>
      </w:pPr>
    </w:p>
    <w:p w14:paraId="7E46CCEA" w14:textId="3316FE46" w:rsidR="00962DBE" w:rsidRDefault="00962DBE" w:rsidP="00991835">
      <w:pPr>
        <w:spacing w:line="360" w:lineRule="auto"/>
        <w:jc w:val="both"/>
        <w:rPr>
          <w:rFonts w:ascii="Arial" w:hAnsi="Arial" w:cs="David"/>
          <w:sz w:val="28"/>
          <w:szCs w:val="28"/>
          <w:rtl/>
        </w:rPr>
      </w:pPr>
      <w:r>
        <w:rPr>
          <w:rFonts w:ascii="Arial" w:hAnsi="Arial" w:cs="David" w:hint="cs"/>
          <w:sz w:val="28"/>
          <w:szCs w:val="28"/>
          <w:rtl/>
        </w:rPr>
        <w:t xml:space="preserve">אשמח לקבל מעט חומרי רקע על </w:t>
      </w:r>
      <w:r w:rsidR="00991835">
        <w:rPr>
          <w:rFonts w:ascii="Arial" w:hAnsi="Arial" w:cs="David" w:hint="cs"/>
          <w:sz w:val="28"/>
          <w:szCs w:val="28"/>
          <w:rtl/>
        </w:rPr>
        <w:t>ארגוני החיילים הקיימים בארצות הברית</w:t>
      </w:r>
      <w:bookmarkStart w:id="1" w:name="_GoBack"/>
      <w:bookmarkEnd w:id="1"/>
      <w:r>
        <w:rPr>
          <w:rFonts w:ascii="Arial" w:hAnsi="Arial" w:cs="David" w:hint="cs"/>
          <w:sz w:val="28"/>
          <w:szCs w:val="28"/>
          <w:rtl/>
        </w:rPr>
        <w:t xml:space="preserve">: </w:t>
      </w:r>
    </w:p>
    <w:p w14:paraId="7D30202B" w14:textId="149F1175" w:rsidR="00962DBE" w:rsidRDefault="00991835" w:rsidP="00962DBE">
      <w:pPr>
        <w:pStyle w:val="ab"/>
        <w:numPr>
          <w:ilvl w:val="0"/>
          <w:numId w:val="1"/>
        </w:numPr>
        <w:spacing w:line="360" w:lineRule="auto"/>
        <w:jc w:val="both"/>
        <w:rPr>
          <w:rFonts w:ascii="Arial" w:hAnsi="Arial" w:cs="David" w:hint="cs"/>
          <w:sz w:val="28"/>
          <w:szCs w:val="28"/>
        </w:rPr>
      </w:pPr>
      <w:r>
        <w:rPr>
          <w:rFonts w:ascii="Arial" w:hAnsi="Arial" w:cs="David" w:hint="cs"/>
          <w:sz w:val="28"/>
          <w:szCs w:val="28"/>
          <w:rtl/>
        </w:rPr>
        <w:t>האם אוכל לקבל את ההפניה לקביעה בדין הפדראלי בדבר האיסור על חברות באיגוד מקצועי שמטרתו קיום משא ומתן קיבוצי ועל האיסור להפגין ולשבות?</w:t>
      </w:r>
    </w:p>
    <w:p w14:paraId="3A4F18DE" w14:textId="437B33F3" w:rsidR="00962DBE" w:rsidRDefault="00991835" w:rsidP="00962DBE">
      <w:pPr>
        <w:pStyle w:val="ab"/>
        <w:numPr>
          <w:ilvl w:val="0"/>
          <w:numId w:val="1"/>
        </w:numPr>
        <w:spacing w:line="360" w:lineRule="auto"/>
        <w:jc w:val="both"/>
        <w:rPr>
          <w:rFonts w:ascii="Arial" w:hAnsi="Arial" w:cs="David"/>
          <w:sz w:val="28"/>
          <w:szCs w:val="28"/>
        </w:rPr>
      </w:pPr>
      <w:r>
        <w:rPr>
          <w:rFonts w:ascii="Arial" w:hAnsi="Arial" w:cs="David" w:hint="cs"/>
          <w:sz w:val="28"/>
          <w:szCs w:val="28"/>
          <w:rtl/>
        </w:rPr>
        <w:t>כן אשמח להפניה לדין המאפשר את הקמת ארגוני החיילים שתוארו כאן?</w:t>
      </w:r>
    </w:p>
    <w:p w14:paraId="675D1422" w14:textId="1802B4F2" w:rsidR="00962DBE" w:rsidRDefault="00991835" w:rsidP="00962DBE">
      <w:pPr>
        <w:pStyle w:val="ab"/>
        <w:numPr>
          <w:ilvl w:val="0"/>
          <w:numId w:val="1"/>
        </w:numPr>
        <w:spacing w:line="360" w:lineRule="auto"/>
        <w:jc w:val="both"/>
        <w:rPr>
          <w:rFonts w:ascii="Arial" w:hAnsi="Arial" w:cs="David"/>
          <w:sz w:val="28"/>
          <w:szCs w:val="28"/>
        </w:rPr>
      </w:pPr>
      <w:r>
        <w:rPr>
          <w:rFonts w:ascii="Arial" w:hAnsi="Arial" w:cs="David" w:hint="cs"/>
          <w:sz w:val="28"/>
          <w:szCs w:val="28"/>
          <w:rtl/>
        </w:rPr>
        <w:t>היכן ניתן למצוא התייחסות למגבלות הסמכות של הארגונים הקיימים? מה מותר להם לעשות, מה הם עושים בפועל?</w:t>
      </w:r>
    </w:p>
    <w:p w14:paraId="3AE45CE4" w14:textId="41108CE1" w:rsidR="00991835" w:rsidRPr="00962DBE" w:rsidRDefault="00991835" w:rsidP="00962DBE">
      <w:pPr>
        <w:pStyle w:val="ab"/>
        <w:numPr>
          <w:ilvl w:val="0"/>
          <w:numId w:val="1"/>
        </w:numPr>
        <w:spacing w:line="360" w:lineRule="auto"/>
        <w:jc w:val="both"/>
        <w:rPr>
          <w:rFonts w:ascii="Arial" w:hAnsi="Arial" w:cs="David"/>
          <w:sz w:val="28"/>
          <w:szCs w:val="28"/>
          <w:rtl/>
        </w:rPr>
      </w:pPr>
      <w:r>
        <w:rPr>
          <w:rFonts w:ascii="Arial" w:hAnsi="Arial" w:cs="David" w:hint="cs"/>
          <w:sz w:val="28"/>
          <w:szCs w:val="28"/>
          <w:rtl/>
        </w:rPr>
        <w:t>האם קיים מסמך מסודר, או אולי מאמר, המתייחס לסוגיות הללו שניתן להפנות אותי אליו?</w:t>
      </w:r>
    </w:p>
    <w:p w14:paraId="78DA49AB" w14:textId="77777777" w:rsidR="00663FCA" w:rsidRDefault="00646CDC"/>
    <w:sectPr w:rsidR="00663FCA" w:rsidSect="002F5CB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פאינה מילמן-סיון" w:date="2019-03-03T19:18:00Z" w:initials="פמ">
    <w:p w14:paraId="74164C96" w14:textId="77777777" w:rsidR="00991835" w:rsidRDefault="00991835" w:rsidP="00991835">
      <w:pPr>
        <w:pStyle w:val="a7"/>
      </w:pPr>
      <w:r>
        <w:rPr>
          <w:rStyle w:val="a6"/>
        </w:rPr>
        <w:annotationRef/>
      </w:r>
      <w:r>
        <w:rPr>
          <w:rFonts w:hint="cs"/>
          <w:rtl/>
        </w:rPr>
        <w:t>אז מה מותר להם לעשות?</w:t>
      </w:r>
      <w:r>
        <w:rPr>
          <w:rFonts w:hint="cs"/>
        </w:rPr>
        <w:t xml:space="preserve"> </w:t>
      </w:r>
      <w:r>
        <w:rPr>
          <w:rFonts w:hint="cs"/>
          <w:rtl/>
        </w:rPr>
        <w:t xml:space="preserve"> מה הם עושים בפועל?</w:t>
      </w:r>
      <w:r>
        <w:rPr>
          <w:rFonts w:hint="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164C9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C979D" w14:textId="77777777" w:rsidR="00646CDC" w:rsidRDefault="00646CDC" w:rsidP="00962DBE">
      <w:pPr>
        <w:spacing w:after="0" w:line="240" w:lineRule="auto"/>
      </w:pPr>
      <w:r>
        <w:separator/>
      </w:r>
    </w:p>
  </w:endnote>
  <w:endnote w:type="continuationSeparator" w:id="0">
    <w:p w14:paraId="6D8DA37D" w14:textId="77777777" w:rsidR="00646CDC" w:rsidRDefault="00646CDC" w:rsidP="0096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A06B7" w14:textId="77777777" w:rsidR="00646CDC" w:rsidRDefault="00646CDC" w:rsidP="00962DBE">
      <w:pPr>
        <w:spacing w:after="0" w:line="240" w:lineRule="auto"/>
      </w:pPr>
      <w:r>
        <w:separator/>
      </w:r>
    </w:p>
  </w:footnote>
  <w:footnote w:type="continuationSeparator" w:id="0">
    <w:p w14:paraId="465AE430" w14:textId="77777777" w:rsidR="00646CDC" w:rsidRDefault="00646CDC" w:rsidP="00962DBE">
      <w:pPr>
        <w:spacing w:after="0" w:line="240" w:lineRule="auto"/>
      </w:pPr>
      <w:r>
        <w:continuationSeparator/>
      </w:r>
    </w:p>
  </w:footnote>
  <w:footnote w:id="1">
    <w:p w14:paraId="168516B3" w14:textId="77777777" w:rsidR="00991835" w:rsidRPr="00676471" w:rsidRDefault="00991835" w:rsidP="00991835">
      <w:pPr>
        <w:pStyle w:val="a3"/>
        <w:bidi/>
      </w:pPr>
      <w:r>
        <w:rPr>
          <w:rStyle w:val="a5"/>
        </w:rPr>
        <w:footnoteRef/>
      </w:r>
      <w:r>
        <w:t xml:space="preserve"> Congressional findings and declaration of </w:t>
      </w:r>
      <w:proofErr w:type="spellStart"/>
      <w:r>
        <w:t>perpose</w:t>
      </w:r>
      <w:proofErr w:type="spellEnd"/>
      <w:r>
        <w:t xml:space="preserve"> Act, Nov 8, 1978, P.L. 95-610 SEC 1, 92 Stat 3085</w:t>
      </w:r>
    </w:p>
  </w:footnote>
  <w:footnote w:id="2">
    <w:p w14:paraId="0AC47C6A" w14:textId="77777777" w:rsidR="00991835" w:rsidRDefault="00991835" w:rsidP="00991835">
      <w:pPr>
        <w:pStyle w:val="a3"/>
        <w:bidi/>
        <w:jc w:val="both"/>
        <w:rPr>
          <w:rFonts w:cs="David"/>
          <w:rtl/>
        </w:rPr>
      </w:pPr>
      <w:r>
        <w:rPr>
          <w:rStyle w:val="a5"/>
        </w:rPr>
        <w:footnoteRef/>
      </w:r>
      <w:r>
        <w:t xml:space="preserve"> </w:t>
      </w:r>
      <w:r w:rsidRPr="00E27EDA">
        <w:rPr>
          <w:rFonts w:cs="David"/>
        </w:rPr>
        <w:t xml:space="preserve">Kelly Farley, Rick Walker, Harry </w:t>
      </w:r>
      <w:proofErr w:type="spellStart"/>
      <w:r w:rsidRPr="00E27EDA">
        <w:rPr>
          <w:rFonts w:cs="David"/>
        </w:rPr>
        <w:t>Bondy</w:t>
      </w:r>
      <w:proofErr w:type="spellEnd"/>
      <w:r w:rsidRPr="00E27EDA">
        <w:rPr>
          <w:rFonts w:cs="David"/>
        </w:rPr>
        <w:t xml:space="preserve">, Dan Mendoza, Freedom of Association and the Canadian Forces: Current Status and Future Trends, in </w:t>
      </w:r>
      <w:r w:rsidRPr="00E27EDA">
        <w:rPr>
          <w:rFonts w:cs="David"/>
          <w:b/>
          <w:bCs/>
        </w:rPr>
        <w:t xml:space="preserve">Military Missions and Their Implications Reconsidered: The Aftermath of September </w:t>
      </w:r>
      <w:proofErr w:type="gramStart"/>
      <w:r w:rsidRPr="00E27EDA">
        <w:rPr>
          <w:rFonts w:cs="David"/>
          <w:b/>
          <w:bCs/>
        </w:rPr>
        <w:t>11th</w:t>
      </w:r>
      <w:proofErr w:type="gramEnd"/>
      <w:r w:rsidRPr="00E27EDA">
        <w:rPr>
          <w:rFonts w:cs="David"/>
        </w:rPr>
        <w:t xml:space="preserve"> (</w:t>
      </w:r>
      <w:proofErr w:type="spellStart"/>
      <w:r w:rsidRPr="00E27EDA">
        <w:rPr>
          <w:rFonts w:cs="David"/>
        </w:rPr>
        <w:t>Giuse</w:t>
      </w:r>
      <w:proofErr w:type="spellEnd"/>
      <w:r w:rsidRPr="00E27EDA">
        <w:rPr>
          <w:rFonts w:cs="David"/>
        </w:rPr>
        <w:t xml:space="preserve"> </w:t>
      </w:r>
      <w:proofErr w:type="spellStart"/>
      <w:r w:rsidRPr="00E27EDA">
        <w:rPr>
          <w:rFonts w:cs="David"/>
        </w:rPr>
        <w:t>ppe</w:t>
      </w:r>
      <w:proofErr w:type="spellEnd"/>
      <w:r w:rsidRPr="00ED6B54">
        <w:rPr>
          <w:rFonts w:ascii="Arial" w:hAnsi="Arial" w:cs="David"/>
          <w:sz w:val="28"/>
          <w:szCs w:val="28"/>
        </w:rPr>
        <w:t xml:space="preserve"> </w:t>
      </w:r>
      <w:proofErr w:type="spellStart"/>
      <w:r w:rsidRPr="00E27EDA">
        <w:rPr>
          <w:rFonts w:cs="David"/>
        </w:rPr>
        <w:t>Caforio</w:t>
      </w:r>
      <w:proofErr w:type="spellEnd"/>
      <w:r w:rsidRPr="00E27EDA">
        <w:rPr>
          <w:rFonts w:cs="David"/>
        </w:rPr>
        <w:t xml:space="preserve">, Gerhard </w:t>
      </w:r>
      <w:proofErr w:type="spellStart"/>
      <w:r w:rsidRPr="00E27EDA">
        <w:rPr>
          <w:rFonts w:cs="David"/>
        </w:rPr>
        <w:t>Kuemmel</w:t>
      </w:r>
      <w:proofErr w:type="spellEnd"/>
      <w:r w:rsidRPr="00E27EDA">
        <w:rPr>
          <w:rFonts w:cs="David"/>
        </w:rPr>
        <w:t xml:space="preserve"> eds., 2005)</w:t>
      </w:r>
      <w:r>
        <w:rPr>
          <w:rFonts w:cs="David"/>
          <w:rtl/>
        </w:rPr>
        <w:t>.</w:t>
      </w:r>
    </w:p>
    <w:p w14:paraId="2EE5A881" w14:textId="77777777" w:rsidR="00991835" w:rsidRPr="00E27EDA" w:rsidRDefault="00991835" w:rsidP="00991835">
      <w:pPr>
        <w:pStyle w:val="a3"/>
        <w:bidi/>
        <w:jc w:val="both"/>
        <w:rPr>
          <w:rtl/>
        </w:rPr>
      </w:pPr>
      <w:proofErr w:type="spellStart"/>
      <w:r w:rsidRPr="00E27EDA">
        <w:rPr>
          <w:rFonts w:cs="David"/>
        </w:rPr>
        <w:t>Heinecken</w:t>
      </w:r>
      <w:proofErr w:type="spellEnd"/>
      <w:r w:rsidRPr="00E27EDA">
        <w:rPr>
          <w:rFonts w:cs="David"/>
        </w:rPr>
        <w:t xml:space="preserve"> Lindy, Military Unionism </w:t>
      </w:r>
      <w:proofErr w:type="gramStart"/>
      <w:r w:rsidRPr="00E27EDA">
        <w:rPr>
          <w:rFonts w:cs="David"/>
        </w:rPr>
        <w:t>In The</w:t>
      </w:r>
      <w:proofErr w:type="gramEnd"/>
      <w:r w:rsidRPr="00E27EDA">
        <w:rPr>
          <w:rFonts w:cs="David"/>
        </w:rPr>
        <w:t xml:space="preserve"> Post-Cold War Era: A future Reality? (Taylor &amp; Francis,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06B90"/>
    <w:multiLevelType w:val="hybridMultilevel"/>
    <w:tmpl w:val="95D0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פאינה מילמן-סיון">
    <w15:presenceInfo w15:providerId="None" w15:userId="פאינה מילמן-סיו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BE"/>
    <w:rsid w:val="002F5CB6"/>
    <w:rsid w:val="005D4278"/>
    <w:rsid w:val="00646CDC"/>
    <w:rsid w:val="00962DBE"/>
    <w:rsid w:val="00991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6986"/>
  <w15:chartTrackingRefBased/>
  <w15:docId w15:val="{0C7D8487-1928-4CC7-946B-3ED24693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B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
    <w:basedOn w:val="a"/>
    <w:link w:val="a4"/>
    <w:unhideWhenUsed/>
    <w:rsid w:val="00962DBE"/>
    <w:pPr>
      <w:bidi w:val="0"/>
      <w:spacing w:after="0" w:line="240" w:lineRule="auto"/>
    </w:pPr>
    <w:rPr>
      <w:rFonts w:ascii="Calibri" w:eastAsia="Calibri" w:hAnsi="Calibri" w:cs="Arial"/>
      <w:sz w:val="20"/>
      <w:szCs w:val="20"/>
    </w:rPr>
  </w:style>
  <w:style w:type="character" w:customStyle="1" w:styleId="a4">
    <w:name w:val="טקסט הערת שוליים תו"/>
    <w:aliases w:val="טקסט הערות שוליים תו תו תו תו תו תו תו תו תו תו תו1,טקסט הערות שוליים תו תו תו תו תו תו תו תו תו,טקסט הערות שוליים תו תו תו תו תו תו תו תו תו תו תו תו1,טקסט הערות שוליים תו תו תו תו תו תו תו תו תו תו תו תו תו"/>
    <w:basedOn w:val="a0"/>
    <w:link w:val="a3"/>
    <w:rsid w:val="00962DBE"/>
    <w:rPr>
      <w:rFonts w:ascii="Calibri" w:eastAsia="Calibri" w:hAnsi="Calibri" w:cs="Arial"/>
      <w:sz w:val="20"/>
      <w:szCs w:val="20"/>
    </w:rPr>
  </w:style>
  <w:style w:type="character" w:styleId="a5">
    <w:name w:val="footnote reference"/>
    <w:aliases w:val="header 3"/>
    <w:basedOn w:val="a0"/>
    <w:unhideWhenUsed/>
    <w:rsid w:val="00962DBE"/>
    <w:rPr>
      <w:vertAlign w:val="superscript"/>
    </w:rPr>
  </w:style>
  <w:style w:type="character" w:styleId="Hyperlink">
    <w:name w:val="Hyperlink"/>
    <w:basedOn w:val="a0"/>
    <w:uiPriority w:val="99"/>
    <w:unhideWhenUsed/>
    <w:rsid w:val="00962DBE"/>
    <w:rPr>
      <w:color w:val="0563C1" w:themeColor="hyperlink"/>
      <w:u w:val="single"/>
    </w:rPr>
  </w:style>
  <w:style w:type="character" w:styleId="a6">
    <w:name w:val="annotation reference"/>
    <w:basedOn w:val="a0"/>
    <w:uiPriority w:val="99"/>
    <w:semiHidden/>
    <w:unhideWhenUsed/>
    <w:rsid w:val="00962DBE"/>
    <w:rPr>
      <w:sz w:val="16"/>
      <w:szCs w:val="16"/>
    </w:rPr>
  </w:style>
  <w:style w:type="paragraph" w:styleId="a7">
    <w:name w:val="annotation text"/>
    <w:basedOn w:val="a"/>
    <w:link w:val="a8"/>
    <w:uiPriority w:val="99"/>
    <w:semiHidden/>
    <w:unhideWhenUsed/>
    <w:rsid w:val="00962DBE"/>
    <w:pPr>
      <w:spacing w:line="240" w:lineRule="auto"/>
    </w:pPr>
    <w:rPr>
      <w:sz w:val="20"/>
      <w:szCs w:val="20"/>
    </w:rPr>
  </w:style>
  <w:style w:type="character" w:customStyle="1" w:styleId="a8">
    <w:name w:val="טקסט הערה תו"/>
    <w:basedOn w:val="a0"/>
    <w:link w:val="a7"/>
    <w:uiPriority w:val="99"/>
    <w:semiHidden/>
    <w:rsid w:val="00962DBE"/>
    <w:rPr>
      <w:sz w:val="20"/>
      <w:szCs w:val="20"/>
    </w:rPr>
  </w:style>
  <w:style w:type="paragraph" w:styleId="a9">
    <w:name w:val="Balloon Text"/>
    <w:basedOn w:val="a"/>
    <w:link w:val="aa"/>
    <w:uiPriority w:val="99"/>
    <w:semiHidden/>
    <w:unhideWhenUsed/>
    <w:rsid w:val="00962DB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62DBE"/>
    <w:rPr>
      <w:rFonts w:ascii="Tahoma" w:hAnsi="Tahoma" w:cs="Tahoma"/>
      <w:sz w:val="18"/>
      <w:szCs w:val="18"/>
    </w:rPr>
  </w:style>
  <w:style w:type="paragraph" w:styleId="ab">
    <w:name w:val="List Paragraph"/>
    <w:basedOn w:val="a"/>
    <w:uiPriority w:val="34"/>
    <w:qFormat/>
    <w:rsid w:val="00962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1076</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u26617</dc:creator>
  <cp:keywords/>
  <dc:description/>
  <cp:lastModifiedBy>u26617</cp:lastModifiedBy>
  <cp:revision>2</cp:revision>
  <dcterms:created xsi:type="dcterms:W3CDTF">2019-03-13T19:11:00Z</dcterms:created>
  <dcterms:modified xsi:type="dcterms:W3CDTF">2019-03-13T19:11:00Z</dcterms:modified>
</cp:coreProperties>
</file>