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jc w:val="center"/>
      </w:pPr>
      <w:r>
        <w:rPr>
          <w:rFonts w:ascii="Arial Unicode MS" w:cs="Arial Unicode MS" w:hAnsi="Arial Unicode MS" w:eastAsia="Arial Unicode MS" w:hint="cs"/>
          <w:rtl w:val="1"/>
          <w:lang w:val="he-IL" w:bidi="he-IL"/>
        </w:rPr>
        <w:t xml:space="preserve">תקציר בדיקת הרגרסיה </w:t>
      </w:r>
      <w:r>
        <w:rPr>
          <w:rFonts w:ascii="Arial Unicode MS" w:cs="Arial Unicode MS" w:hAnsi="Arial Unicode MS" w:eastAsia="Arial Unicode MS" w:hint="cs"/>
          <w:rtl w:val="1"/>
          <w:lang w:val="he-IL" w:bidi="he-IL"/>
        </w:rPr>
        <w:t xml:space="preserve">השנייה </w:t>
      </w:r>
      <w:r>
        <w:rPr>
          <w:rFonts w:ascii="Arial Unicode MS" w:cs="Arial Unicode MS" w:hAnsi="Arial Unicode MS" w:eastAsia="Arial Unicode MS" w:hint="cs"/>
          <w:rtl w:val="1"/>
          <w:lang w:val="he-IL" w:bidi="he-IL"/>
        </w:rPr>
        <w:t>באתר מפקדים</w:t>
      </w:r>
      <w:r>
        <w:rPr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 w:hint="cs"/>
          <w:rtl w:val="1"/>
          <w:lang w:val="he-IL" w:bidi="he-IL"/>
        </w:rPr>
        <w:t>מילואים</w:t>
      </w:r>
    </w:p>
    <w:p>
      <w:pPr>
        <w:pStyle w:val="Body A"/>
      </w:pPr>
      <w:r>
        <w:rPr>
          <w:rFonts w:ascii="Arial Unicode MS" w:cs="Arial Unicode MS" w:hAnsi="Arial Unicode MS" w:eastAsia="Arial Unicode MS" w:hint="cs"/>
          <w:rtl w:val="1"/>
        </w:rPr>
        <w:t>כתב</w:t>
      </w:r>
      <w:r>
        <w:rPr>
          <w:rFonts w:ascii="Arial Unicode MS" w:cs="Arial Unicode MS" w:hAnsi="Arial Unicode MS" w:eastAsia="Arial Unicode MS"/>
          <w:rtl w:val="1"/>
        </w:rPr>
        <w:t>:</w:t>
      </w:r>
    </w:p>
    <w:p>
      <w:pPr>
        <w:pStyle w:val="Body A"/>
      </w:pPr>
      <w:r>
        <w:rPr>
          <w:rFonts w:ascii="Arial Unicode MS" w:cs="Arial Unicode MS" w:hAnsi="Arial Unicode MS" w:eastAsia="Arial Unicode MS" w:hint="cs"/>
          <w:rtl w:val="1"/>
        </w:rPr>
        <w:t>אייל גרינברג</w:t>
      </w:r>
    </w:p>
    <w:p>
      <w:pPr>
        <w:pStyle w:val="Body A"/>
      </w:pP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מסמך זה מפרט את הסטטוס של תיקוני הפערים כפי שנבדקו בתאריך </w:t>
      </w:r>
      <w:r>
        <w:rPr>
          <w:sz w:val="30"/>
          <w:szCs w:val="30"/>
          <w:rtl w:val="1"/>
          <w:lang w:val="he-IL" w:bidi="he-IL"/>
        </w:rPr>
        <w:t xml:space="preserve">6.11.2014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בממשל זמין</w:t>
      </w:r>
      <w:r>
        <w:rPr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בנוסף</w:t>
      </w:r>
      <w:r>
        <w:rPr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לאור דרישות שקיבל המדור</w:t>
      </w:r>
      <w:r>
        <w:rPr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מצויינת דעתנו לגבי דחיפות הממצאים בדו״ח בדיקת החדירות</w:t>
      </w:r>
      <w:r>
        <w:rPr>
          <w:sz w:val="30"/>
          <w:szCs w:val="30"/>
          <w:rtl w:val="1"/>
          <w:lang w:val="he-IL" w:bidi="he-IL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האם הם צריכים לעכב עליה של האתר</w:t>
      </w:r>
      <w:r>
        <w:rPr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בסוף מסמך זה מפורטות דרישות מחברת </w:t>
      </w:r>
      <w:r>
        <w:rPr>
          <w:sz w:val="30"/>
          <w:szCs w:val="30"/>
          <w:rtl w:val="1"/>
          <w:lang w:val="he-IL" w:bidi="he-IL"/>
        </w:rPr>
        <w:t>CA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לצורך השלמת תהליך התיקונים</w:t>
      </w:r>
      <w:r>
        <w:rPr>
          <w:sz w:val="30"/>
          <w:szCs w:val="30"/>
          <w:rtl w:val="1"/>
          <w:lang w:val="he-IL" w:bidi="he-IL"/>
        </w:rPr>
        <w:t>.</w:t>
      </w:r>
    </w:p>
    <w:p>
      <w:pPr>
        <w:pStyle w:val="Body A"/>
        <w:rPr>
          <w:sz w:val="30"/>
          <w:szCs w:val="30"/>
        </w:rPr>
      </w:pP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שימו לב</w:t>
      </w:r>
      <w:r>
        <w:rPr>
          <w:sz w:val="30"/>
          <w:szCs w:val="30"/>
          <w:rtl w:val="1"/>
          <w:lang w:val="he-IL" w:bidi="he-IL"/>
        </w:rPr>
        <w:t xml:space="preserve">: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מספר הממצאים על פי הדו״ח </w:t>
      </w:r>
      <w:r>
        <w:rPr>
          <w:rFonts w:ascii="Arial Unicode MS" w:cs="Arial Unicode MS" w:hAnsi="Arial Unicode MS" w:eastAsia="Arial Unicode MS" w:hint="cs"/>
          <w:sz w:val="30"/>
          <w:szCs w:val="30"/>
          <w:u w:val="single"/>
          <w:rtl w:val="1"/>
          <w:lang w:val="he-IL" w:bidi="he-IL"/>
        </w:rPr>
        <w:t>הסופי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שנשלח בשביעי לאוגוסט</w:t>
      </w:r>
      <w:r>
        <w:rPr>
          <w:sz w:val="30"/>
          <w:szCs w:val="30"/>
          <w:rtl w:val="1"/>
          <w:lang w:val="he-IL" w:bidi="he-IL"/>
        </w:rPr>
        <w:t>.</w:t>
      </w:r>
    </w:p>
    <w:p>
      <w:pPr>
        <w:pStyle w:val="Body A"/>
        <w:rPr>
          <w:sz w:val="30"/>
          <w:szCs w:val="30"/>
        </w:rPr>
      </w:pPr>
    </w:p>
    <w:p>
      <w:pPr>
        <w:pStyle w:val="Heading"/>
      </w:pPr>
      <w:r>
        <w:rPr>
          <w:rFonts w:ascii="Arial Unicode MS" w:cs="Arial Unicode MS" w:hAnsi="Arial Unicode MS" w:eastAsia="Arial Unicode MS" w:hint="cs"/>
          <w:u w:val="single"/>
          <w:rtl w:val="1"/>
          <w:lang w:val="he-IL" w:bidi="he-IL"/>
        </w:rPr>
        <w:t>סיכום הממצאים</w:t>
      </w:r>
      <w:r>
        <w:rPr>
          <w:rFonts w:ascii="Arial Unicode MS" w:cs="Arial Unicode MS" w:hAnsi="Arial Unicode MS" w:eastAsia="Arial Unicode MS"/>
          <w:rtl w:val="1"/>
          <w:lang w:val="he-IL" w:bidi="he-IL"/>
        </w:rPr>
        <w:t>: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4.1: </w:t>
      </w:r>
      <w:r>
        <w:rPr>
          <w:rFonts w:ascii="Arial Unicode MS" w:cs="Arial Unicode MS" w:hAnsi="Arial Unicode MS" w:eastAsia="Arial Unicode MS" w:hint="cs"/>
          <w:color w:val="00f900"/>
          <w:sz w:val="30"/>
          <w:szCs w:val="30"/>
          <w:rtl w:val="1"/>
          <w:lang w:val="he-IL" w:bidi="he-IL"/>
        </w:rPr>
        <w:t>תוקן</w:t>
      </w:r>
      <w:r>
        <w:rPr>
          <w:rFonts w:ascii="Arial Unicode MS" w:cs="Arial Unicode MS" w:hAnsi="Arial Unicode MS" w:eastAsia="Arial Unicode MS"/>
          <w:color w:val="00f900"/>
          <w:sz w:val="30"/>
          <w:szCs w:val="30"/>
          <w:rtl w:val="1"/>
          <w:lang w:val="he-IL" w:bidi="he-IL"/>
        </w:rPr>
        <w:t xml:space="preserve">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4.2: </w:t>
      </w:r>
      <w:r>
        <w:rPr>
          <w:rFonts w:ascii="Arial Unicode MS" w:cs="Arial Unicode MS" w:hAnsi="Arial Unicode MS" w:eastAsia="Arial Unicode MS" w:hint="cs"/>
          <w:color w:val="00f900"/>
          <w:sz w:val="30"/>
          <w:szCs w:val="30"/>
          <w:rtl w:val="1"/>
          <w:lang w:val="he-IL" w:bidi="he-IL"/>
        </w:rPr>
        <w:t xml:space="preserve">תוקן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על ידי הסרת כלל הדפים שלא נדרשים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בפרט הדפים הפגיעים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4.3: </w:t>
      </w:r>
      <w:r>
        <w:rPr>
          <w:rFonts w:ascii="Arial Unicode MS" w:cs="Arial Unicode MS" w:hAnsi="Arial Unicode MS" w:eastAsia="Arial Unicode MS" w:hint="cs"/>
          <w:color w:val="00f900"/>
          <w:sz w:val="30"/>
          <w:szCs w:val="30"/>
          <w:rtl w:val="1"/>
          <w:lang w:val="he-IL" w:bidi="he-IL"/>
        </w:rPr>
        <w:t xml:space="preserve">תוקן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4.4: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 </w:t>
      </w:r>
      <w:r>
        <w:rPr>
          <w:rFonts w:ascii="Arial Unicode MS" w:cs="Arial Unicode MS" w:hAnsi="Arial Unicode MS" w:eastAsia="Arial Unicode MS" w:hint="cs"/>
          <w:color w:val="0432ff"/>
          <w:sz w:val="30"/>
          <w:szCs w:val="30"/>
          <w:rtl w:val="1"/>
          <w:lang w:val="he-IL" w:bidi="he-IL"/>
        </w:rPr>
        <w:t>בתהליך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 -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ממשל זמין ידווחו כי משתמשי מנהלנים אישיים פוצלו למשתמשי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Front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ו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Back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קיים משתמש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Admin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משותף לצורך משימות מתוזמנות 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Back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שכותבות ל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Share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Front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על ממשל זמין בעזרת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Matrix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לרדד את ההרשאות שלו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4.5: </w:t>
      </w:r>
      <w:r>
        <w:rPr>
          <w:rFonts w:ascii="Arial Unicode MS" w:cs="Arial Unicode MS" w:hAnsi="Arial Unicode MS" w:eastAsia="Arial Unicode MS" w:hint="cs"/>
          <w:color w:val="00f900"/>
          <w:sz w:val="30"/>
          <w:szCs w:val="30"/>
          <w:rtl w:val="1"/>
          <w:lang w:val="he-IL" w:bidi="he-IL"/>
        </w:rPr>
        <w:t xml:space="preserve">תוקן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4.6: </w:t>
      </w:r>
      <w:r>
        <w:rPr>
          <w:rFonts w:ascii="Arial Unicode MS" w:cs="Arial Unicode MS" w:hAnsi="Arial Unicode MS" w:eastAsia="Arial Unicode MS" w:hint="cs"/>
          <w:color w:val="00f900"/>
          <w:sz w:val="30"/>
          <w:szCs w:val="30"/>
          <w:rtl w:val="1"/>
          <w:lang w:val="he-IL" w:bidi="he-IL"/>
        </w:rPr>
        <w:t xml:space="preserve">תוקן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4.7: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 </w:t>
      </w:r>
      <w:r>
        <w:rPr>
          <w:rFonts w:ascii="Arial Unicode MS" w:cs="Arial Unicode MS" w:hAnsi="Arial Unicode MS" w:eastAsia="Arial Unicode MS" w:hint="cs"/>
          <w:color w:val="00f900"/>
          <w:sz w:val="30"/>
          <w:szCs w:val="30"/>
          <w:rtl w:val="1"/>
          <w:lang w:val="he-IL" w:bidi="he-IL"/>
        </w:rPr>
        <w:t>תוקן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הובהר כי לא תעשה גלישה מתוך הדומיין לאתר מלבד לתקלות מסוימות בלבד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4.8: </w:t>
      </w:r>
      <w:r>
        <w:rPr>
          <w:rFonts w:ascii="Arial Unicode MS" w:cs="Arial Unicode MS" w:hAnsi="Arial Unicode MS" w:eastAsia="Arial Unicode MS" w:hint="cs"/>
          <w:color w:val="ff2600"/>
          <w:sz w:val="30"/>
          <w:szCs w:val="30"/>
          <w:rtl w:val="1"/>
          <w:lang w:val="he-IL" w:bidi="he-IL"/>
        </w:rPr>
        <w:t>לא תוקן</w:t>
      </w:r>
      <w:r>
        <w:rPr>
          <w:rFonts w:ascii="Arial Unicode MS" w:cs="Arial Unicode MS" w:hAnsi="Arial Unicode MS" w:eastAsia="Arial Unicode MS"/>
          <w:color w:val="ff2600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התיקון שהוצע שובר פונקציונליות באתר כיוון ש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sp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צריך להציג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frame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מתוך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owa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4.9: </w:t>
      </w:r>
      <w:r>
        <w:rPr>
          <w:rFonts w:ascii="Arial Unicode MS" w:cs="Arial Unicode MS" w:hAnsi="Arial Unicode MS" w:eastAsia="Arial Unicode MS" w:hint="cs"/>
          <w:color w:val="00f900"/>
          <w:sz w:val="30"/>
          <w:szCs w:val="30"/>
          <w:rtl w:val="1"/>
          <w:lang w:val="he-IL" w:bidi="he-IL"/>
        </w:rPr>
        <w:t>רוב הפערים הקריטיים תוקנו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מלבד הבאים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:</w:t>
      </w:r>
      <w:r>
        <w:rPr>
          <w:rFonts w:ascii="Arial Unicode MS" w:cs="Arial Unicode MS" w:hAnsi="Arial Unicode MS" w:eastAsia="Arial Unicode MS" w:hint="cs"/>
          <w:color w:val="0432ff"/>
          <w:sz w:val="30"/>
          <w:szCs w:val="30"/>
          <w:rtl w:val="1"/>
          <w:lang w:val="he-IL" w:bidi="he-IL"/>
        </w:rPr>
        <w:t xml:space="preserve"> בתהליך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נושא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Host Firewall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אושר על ידי ראש צוות אבטחת מידע בממשל זמין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רידוד הרשאות בשרתים נכנס לתהליך תיקונים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הצפנת קבצי קונפיגורציה נכנס לתהליך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 w:hint="cs"/>
          <w:color w:val="ff2600"/>
          <w:sz w:val="30"/>
          <w:szCs w:val="30"/>
          <w:rtl w:val="1"/>
          <w:lang w:val="he-IL" w:bidi="he-IL"/>
        </w:rPr>
        <w:t>לא תוקן</w:t>
      </w:r>
      <w:r>
        <w:rPr>
          <w:rFonts w:ascii="Arial Unicode MS" w:cs="Arial Unicode MS" w:hAnsi="Arial Unicode MS" w:eastAsia="Arial Unicode MS"/>
          <w:color w:val="ff2600"/>
          <w:sz w:val="30"/>
          <w:szCs w:val="30"/>
          <w:rtl w:val="1"/>
          <w:lang w:val="he-IL" w:bidi="he-IL"/>
        </w:rPr>
        <w:t xml:space="preserve"> </w:t>
      </w:r>
      <w:r>
        <w:rPr>
          <w:rFonts w:ascii="Arial Unicode MS" w:cs="Arial Unicode MS" w:hAnsi="Arial Unicode MS" w:eastAsia="Arial Unicode MS"/>
          <w:color w:val="ff2600"/>
          <w:sz w:val="30"/>
          <w:szCs w:val="30"/>
          <w:rtl w:val="1"/>
          <w:lang w:val="he-IL" w:bidi="he-IL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נעשה ניסיון לרדד את הרשאות ה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Apache Tomcat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של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Siteminder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ללא הצלחה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יש לקבל התייחסות מ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ca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מדוע יש צורך בהרשאות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Local Admin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למוצר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לא ניתן לשדרג את שרת 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Tomcat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על פי טענת נציג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CA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 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4.10: </w:t>
      </w:r>
      <w:r>
        <w:rPr>
          <w:rFonts w:ascii="Arial Unicode MS" w:cs="Arial Unicode MS" w:hAnsi="Arial Unicode MS" w:eastAsia="Arial Unicode MS" w:hint="cs"/>
          <w:color w:val="00f900"/>
          <w:sz w:val="30"/>
          <w:szCs w:val="30"/>
          <w:rtl w:val="1"/>
          <w:lang w:val="he-IL" w:bidi="he-IL"/>
        </w:rPr>
        <w:t xml:space="preserve">תוקן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4.11: </w:t>
      </w:r>
      <w:r>
        <w:rPr>
          <w:rFonts w:ascii="Arial Unicode MS" w:cs="Arial Unicode MS" w:hAnsi="Arial Unicode MS" w:eastAsia="Arial Unicode MS" w:hint="cs"/>
          <w:color w:val="ff2600"/>
          <w:sz w:val="30"/>
          <w:szCs w:val="30"/>
          <w:rtl w:val="1"/>
          <w:lang w:val="he-IL" w:bidi="he-IL"/>
        </w:rPr>
        <w:t>לא תוקן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חלק מתשתית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KS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.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ראש צוות אבטחת מידע בממשל זמין דורש לתקן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לא 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4.12: </w:t>
      </w:r>
      <w:r>
        <w:rPr>
          <w:rFonts w:ascii="Arial Unicode MS" w:cs="Arial Unicode MS" w:hAnsi="Arial Unicode MS" w:eastAsia="Arial Unicode MS" w:hint="cs"/>
          <w:color w:val="0432ff"/>
          <w:sz w:val="30"/>
          <w:szCs w:val="30"/>
          <w:rtl w:val="1"/>
          <w:lang w:val="he-IL" w:bidi="he-IL"/>
        </w:rPr>
        <w:t>בתהליך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 -</w:t>
      </w:r>
      <w:r>
        <w:rPr>
          <w:rFonts w:ascii="Arial Unicode MS" w:cs="Arial Unicode MS" w:hAnsi="Arial Unicode MS" w:eastAsia="Arial Unicode MS"/>
          <w:color w:val="00f900"/>
          <w:sz w:val="30"/>
          <w:szCs w:val="30"/>
          <w:rtl w:val="1"/>
          <w:lang w:val="he-IL" w:bidi="he-IL"/>
        </w:rPr>
        <w:t xml:space="preserve">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ראש צוות אבטחת מידע בממשל זמין ירכוש שרת הלבנה נפרד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ממשל זמין ידווחו על סיום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4.13: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בבדיקה מול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matrix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4.14: </w:t>
      </w:r>
      <w:r>
        <w:rPr>
          <w:rFonts w:ascii="Arial Unicode MS" w:cs="Arial Unicode MS" w:hAnsi="Arial Unicode MS" w:eastAsia="Arial Unicode MS" w:hint="cs"/>
          <w:color w:val="ff2600"/>
          <w:sz w:val="30"/>
          <w:szCs w:val="30"/>
          <w:rtl w:val="1"/>
          <w:lang w:val="he-IL" w:bidi="he-IL"/>
        </w:rPr>
        <w:t>לא תוקן</w:t>
      </w:r>
      <w:r>
        <w:rPr>
          <w:rFonts w:ascii="Arial Unicode MS" w:cs="Arial Unicode MS" w:hAnsi="Arial Unicode MS" w:eastAsia="Arial Unicode MS"/>
          <w:color w:val="ff2600"/>
          <w:sz w:val="30"/>
          <w:szCs w:val="30"/>
          <w:rtl w:val="1"/>
          <w:lang w:val="he-IL" w:bidi="he-IL"/>
        </w:rPr>
        <w:t xml:space="preserve">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-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נחוץ לתהליך אפליקטיבי באתר של העתקת קבצים מ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Back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ל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Front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לא 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color w:val="00f900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4.15: </w:t>
      </w:r>
      <w:r>
        <w:rPr>
          <w:rFonts w:ascii="Arial Unicode MS" w:cs="Arial Unicode MS" w:hAnsi="Arial Unicode MS" w:eastAsia="Arial Unicode MS" w:hint="cs"/>
          <w:color w:val="00f900"/>
          <w:sz w:val="30"/>
          <w:szCs w:val="30"/>
          <w:rtl w:val="1"/>
          <w:lang w:val="he-IL" w:bidi="he-IL"/>
        </w:rPr>
        <w:t xml:space="preserve">תוקן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4.16: </w:t>
      </w:r>
      <w:r>
        <w:rPr>
          <w:rFonts w:ascii="Arial Unicode MS" w:cs="Arial Unicode MS" w:hAnsi="Arial Unicode MS" w:eastAsia="Arial Unicode MS" w:hint="cs"/>
          <w:color w:val="00f900"/>
          <w:sz w:val="30"/>
          <w:szCs w:val="30"/>
          <w:rtl w:val="1"/>
          <w:lang w:val="he-IL" w:bidi="he-IL"/>
        </w:rPr>
        <w:t>תוקן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 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מנגנון הרשאות חלש בפורום מפקדים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)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4.1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7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: </w:t>
      </w:r>
      <w:r>
        <w:rPr>
          <w:rFonts w:ascii="Arial Unicode MS" w:cs="Arial Unicode MS" w:hAnsi="Arial Unicode MS" w:eastAsia="Arial Unicode MS" w:hint="cs"/>
          <w:color w:val="ff2600"/>
          <w:sz w:val="30"/>
          <w:szCs w:val="30"/>
          <w:rtl w:val="1"/>
          <w:lang w:val="he-IL" w:bidi="he-IL"/>
        </w:rPr>
        <w:t>לא תוקן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יש להדגיש שהמדיניות הלקויה הוגדרה על ידי מחב״ם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.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4.1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8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: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 </w:t>
      </w:r>
      <w:r>
        <w:rPr>
          <w:rFonts w:ascii="Arial Unicode MS" w:cs="Arial Unicode MS" w:hAnsi="Arial Unicode MS" w:eastAsia="Arial Unicode MS" w:hint="cs"/>
          <w:color w:val="00f900"/>
          <w:sz w:val="30"/>
          <w:szCs w:val="30"/>
          <w:rtl w:val="1"/>
          <w:lang w:val="he-IL" w:bidi="he-IL"/>
        </w:rPr>
        <w:t>תוקן</w:t>
      </w:r>
      <w:r>
        <w:rPr>
          <w:rFonts w:ascii="Arial Unicode MS" w:cs="Arial Unicode MS" w:hAnsi="Arial Unicode MS" w:eastAsia="Arial Unicode MS"/>
          <w:color w:val="00f900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נמנעת גישה ל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url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ים המסתיימים 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doc, ppt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וכדומה ולכן הבעיה המתוארת בדו״ח לא חשופה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color w:val="ff2600"/>
          <w:sz w:val="30"/>
          <w:szCs w:val="30"/>
        </w:rPr>
      </w:pP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4.1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9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: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 </w:t>
      </w:r>
      <w:r>
        <w:rPr>
          <w:rFonts w:ascii="Arial Unicode MS" w:cs="Arial Unicode MS" w:hAnsi="Arial Unicode MS" w:eastAsia="Arial Unicode MS" w:hint="cs"/>
          <w:color w:val="00f900"/>
          <w:sz w:val="30"/>
          <w:szCs w:val="30"/>
          <w:rtl w:val="1"/>
          <w:lang w:val="he-IL" w:bidi="he-IL"/>
        </w:rPr>
        <w:t xml:space="preserve">תוקן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(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מעכב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)</w:t>
      </w:r>
    </w:p>
    <w:p>
      <w:pPr>
        <w:pStyle w:val="Body A"/>
        <w:rPr>
          <w:sz w:val="30"/>
          <w:szCs w:val="30"/>
        </w:rPr>
      </w:pPr>
    </w:p>
    <w:p>
      <w:pPr>
        <w:pStyle w:val="Body A"/>
        <w:rPr>
          <w:sz w:val="30"/>
          <w:szCs w:val="30"/>
        </w:rPr>
      </w:pPr>
    </w:p>
    <w:p>
      <w:pPr>
        <w:pStyle w:val="Body A"/>
        <w:rPr>
          <w:sz w:val="30"/>
          <w:szCs w:val="30"/>
        </w:rPr>
      </w:pPr>
    </w:p>
    <w:p>
      <w:pPr>
        <w:pStyle w:val="Body A"/>
        <w:rPr>
          <w:sz w:val="30"/>
          <w:szCs w:val="30"/>
        </w:rPr>
      </w:pP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דרישות מ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CA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בנוגע לפערים שלא תוקנו ב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Siteminder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:</w:t>
      </w:r>
    </w:p>
    <w:p>
      <w:pPr>
        <w:pStyle w:val="Body A"/>
        <w:numPr>
          <w:ilvl w:val="0"/>
          <w:numId w:val="2"/>
        </w:numPr>
        <w:tabs>
          <w:tab w:val="num" w:pos="180"/>
          <w:tab w:val="clear" w:pos="245"/>
        </w:tabs>
        <w:ind w:left="180" w:hanging="180"/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1"/>
          <w:lang w:val="he-IL" w:bidi="he-IL"/>
        </w:rPr>
      </w:pP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בהקשר לממצא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4.8: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יש להוציא תיקון לקוד הבעייתי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,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למשל כפי שמתואר כאן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:</w:t>
      </w:r>
    </w:p>
    <w:p>
      <w:pPr>
        <w:pStyle w:val="Body A"/>
        <w:jc w:val="center"/>
        <w:rPr>
          <w:sz w:val="30"/>
          <w:szCs w:val="30"/>
        </w:rPr>
      </w:pPr>
      <w:hyperlink r:id="rId4" w:anchor="Best-for-now_Legacy_Browser_Frame_Breaking_Script" w:history="1">
        <w:r>
          <w:rPr>
            <w:rStyle w:val="Hyperlink.0"/>
            <w:rtl w:val="1"/>
            <w:lang w:val="he-IL" w:bidi="he-IL"/>
          </w:rPr>
          <w:t>https://www.owasp.org/index.php/Clickjacking_Defense_Cheat_Sheet#Best-for-now_Legacy_Browser_Frame_Breaking_Script</w:t>
        </w:r>
      </w:hyperlink>
    </w:p>
    <w:p>
      <w:pPr>
        <w:pStyle w:val="Body A"/>
        <w:numPr>
          <w:ilvl w:val="0"/>
          <w:numId w:val="3"/>
        </w:numPr>
        <w:tabs>
          <w:tab w:val="num" w:pos="180"/>
          <w:tab w:val="clear" w:pos="245"/>
        </w:tabs>
        <w:ind w:left="180" w:hanging="180"/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2"/>
          <w:szCs w:val="22"/>
          <w:u w:val="none" w:color="000000"/>
          <w:vertAlign w:val="baseline"/>
          <w:rtl w:val="1"/>
          <w:lang w:val="he-IL" w:bidi="he-IL"/>
        </w:rPr>
      </w:pP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בהקשר לממצא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4.9: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יש לקבל מדיניות עדכונים וכיצד יש לטפל בפערי אבטחה הקיימים ושעלולים להתגלות בגרסאות הנוכחיות של 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Apache Tomcat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בשרתי ה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Siteminder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.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בנוסף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יש לקבל התייחסות אילו פעולות אדמיניסטרטיביות שירול ה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-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Apache Tomcat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 xml:space="preserve"> מבצע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 xml:space="preserve">, </w:t>
      </w:r>
      <w:r>
        <w:rPr>
          <w:rFonts w:ascii="Arial Unicode MS" w:cs="Arial Unicode MS" w:hAnsi="Arial Unicode MS" w:eastAsia="Arial Unicode MS" w:hint="cs"/>
          <w:sz w:val="30"/>
          <w:szCs w:val="30"/>
          <w:rtl w:val="1"/>
          <w:lang w:val="he-IL" w:bidi="he-IL"/>
        </w:rPr>
        <w:t>ואם הוא אינו מבצע כאלו כיצד יש לרדד את ההרשאות שלו</w:t>
      </w:r>
      <w:r>
        <w:rPr>
          <w:rFonts w:ascii="Arial Unicode MS" w:cs="Arial Unicode MS" w:hAnsi="Arial Unicode MS" w:eastAsia="Arial Unicode MS"/>
          <w:sz w:val="30"/>
          <w:szCs w:val="30"/>
          <w:rtl w:val="1"/>
          <w:lang w:val="he-IL" w:bidi="he-IL"/>
        </w:rPr>
        <w:t>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12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Arial Unicode MS" w:cs="Helvetica" w:hAnsi="Arial Unicode MS" w:eastAsia="Arial Unicode MS" w:hint="cs"/>
        <w:sz w:val="24"/>
        <w:szCs w:val="24"/>
        <w:rtl w:val="1"/>
        <w:lang w:val="he-IL" w:bidi="he-IL"/>
      </w:rPr>
      <w:t xml:space="preserve">נובמבר </w:t>
    </w:r>
    <w:r>
      <w:rPr>
        <w:rFonts w:ascii="Arial Unicode MS"/>
        <w:sz w:val="24"/>
        <w:szCs w:val="24"/>
        <w:rtl w:val="1"/>
        <w:lang w:val="he-IL" w:bidi="he-IL"/>
      </w:rPr>
      <w:t>2014</w:t>
    </w:r>
    <w:r>
      <w:rPr>
        <w:sz w:val="24"/>
        <w:szCs w:val="24"/>
        <w:rtl w:val="0"/>
      </w:rPr>
      <w:tab/>
    </w:r>
    <w:r>
      <w:rPr>
        <w:rFonts w:ascii="Arial Unicode MS" w:cs="Helvetica" w:hAnsi="Arial Unicode MS" w:eastAsia="Arial Unicode MS" w:hint="cs"/>
        <w:sz w:val="24"/>
        <w:szCs w:val="24"/>
        <w:rtl w:val="1"/>
        <w:lang w:val="he-IL" w:bidi="he-IL"/>
      </w:rPr>
      <w:t>בלמ״ס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45"/>
          <w:tab w:val="clear" w:pos="0"/>
        </w:tabs>
        <w:ind w:left="245" w:hanging="245"/>
      </w:pPr>
      <w:rPr>
        <w:position w:val="-2"/>
        <w:sz w:val="30"/>
        <w:szCs w:val="30"/>
      </w:rPr>
    </w:lvl>
    <w:lvl w:ilvl="1">
      <w:start w:val="1"/>
      <w:numFmt w:val="bullet"/>
      <w:suff w:val="tab"/>
      <w:lvlText w:val="•"/>
      <w:lvlJc w:val="left"/>
      <w:pPr>
        <w:tabs>
          <w:tab w:val="num" w:pos="425"/>
          <w:tab w:val="clear" w:pos="0"/>
        </w:tabs>
        <w:ind w:left="425" w:hanging="245"/>
      </w:pPr>
      <w:rPr>
        <w:position w:val="-2"/>
        <w:sz w:val="30"/>
        <w:szCs w:val="30"/>
      </w:rPr>
    </w:lvl>
    <w:lvl w:ilvl="2">
      <w:start w:val="1"/>
      <w:numFmt w:val="bullet"/>
      <w:suff w:val="tab"/>
      <w:lvlText w:val="•"/>
      <w:lvlJc w:val="left"/>
      <w:pPr>
        <w:tabs>
          <w:tab w:val="num" w:pos="605"/>
          <w:tab w:val="clear" w:pos="0"/>
        </w:tabs>
        <w:ind w:left="605" w:hanging="245"/>
      </w:pPr>
      <w:rPr>
        <w:position w:val="-2"/>
        <w:sz w:val="30"/>
        <w:szCs w:val="30"/>
      </w:rPr>
    </w:lvl>
    <w:lvl w:ilvl="3">
      <w:start w:val="1"/>
      <w:numFmt w:val="bullet"/>
      <w:suff w:val="tab"/>
      <w:lvlText w:val="•"/>
      <w:lvlJc w:val="left"/>
      <w:pPr>
        <w:tabs>
          <w:tab w:val="num" w:pos="785"/>
          <w:tab w:val="clear" w:pos="0"/>
        </w:tabs>
        <w:ind w:left="785" w:hanging="245"/>
      </w:pPr>
      <w:rPr>
        <w:position w:val="-2"/>
        <w:sz w:val="30"/>
        <w:szCs w:val="30"/>
      </w:rPr>
    </w:lvl>
    <w:lvl w:ilvl="4">
      <w:start w:val="1"/>
      <w:numFmt w:val="bullet"/>
      <w:suff w:val="tab"/>
      <w:lvlText w:val="•"/>
      <w:lvlJc w:val="left"/>
      <w:pPr>
        <w:tabs>
          <w:tab w:val="num" w:pos="965"/>
          <w:tab w:val="clear" w:pos="0"/>
        </w:tabs>
        <w:ind w:left="965" w:hanging="245"/>
      </w:pPr>
      <w:rPr>
        <w:position w:val="-2"/>
        <w:sz w:val="30"/>
        <w:szCs w:val="30"/>
      </w:rPr>
    </w:lvl>
    <w:lvl w:ilvl="5">
      <w:start w:val="1"/>
      <w:numFmt w:val="bullet"/>
      <w:suff w:val="tab"/>
      <w:lvlText w:val="•"/>
      <w:lvlJc w:val="left"/>
      <w:pPr>
        <w:tabs>
          <w:tab w:val="num" w:pos="1145"/>
          <w:tab w:val="clear" w:pos="0"/>
        </w:tabs>
        <w:ind w:left="1145" w:hanging="245"/>
      </w:pPr>
      <w:rPr>
        <w:position w:val="-2"/>
        <w:sz w:val="30"/>
        <w:szCs w:val="30"/>
      </w:rPr>
    </w:lvl>
    <w:lvl w:ilvl="6">
      <w:start w:val="1"/>
      <w:numFmt w:val="bullet"/>
      <w:suff w:val="tab"/>
      <w:lvlText w:val="•"/>
      <w:lvlJc w:val="left"/>
      <w:pPr>
        <w:tabs>
          <w:tab w:val="num" w:pos="1325"/>
          <w:tab w:val="clear" w:pos="0"/>
        </w:tabs>
        <w:ind w:left="1325" w:hanging="245"/>
      </w:pPr>
      <w:rPr>
        <w:position w:val="-2"/>
        <w:sz w:val="30"/>
        <w:szCs w:val="30"/>
      </w:rPr>
    </w:lvl>
    <w:lvl w:ilvl="7">
      <w:start w:val="1"/>
      <w:numFmt w:val="bullet"/>
      <w:suff w:val="tab"/>
      <w:lvlText w:val="•"/>
      <w:lvlJc w:val="left"/>
      <w:pPr>
        <w:tabs>
          <w:tab w:val="num" w:pos="1505"/>
          <w:tab w:val="clear" w:pos="0"/>
        </w:tabs>
        <w:ind w:left="1505" w:hanging="245"/>
      </w:pPr>
      <w:rPr>
        <w:position w:val="-2"/>
        <w:sz w:val="30"/>
        <w:szCs w:val="30"/>
      </w:rPr>
    </w:lvl>
    <w:lvl w:ilvl="8">
      <w:start w:val="1"/>
      <w:numFmt w:val="bullet"/>
      <w:suff w:val="tab"/>
      <w:lvlText w:val="•"/>
      <w:lvlJc w:val="left"/>
      <w:pPr>
        <w:tabs>
          <w:tab w:val="num" w:pos="1685"/>
          <w:tab w:val="clear" w:pos="0"/>
        </w:tabs>
        <w:ind w:left="1685" w:hanging="245"/>
      </w:pPr>
      <w:rPr>
        <w:position w:val="-2"/>
        <w:sz w:val="30"/>
        <w:szCs w:val="30"/>
      </w:rPr>
    </w:lvl>
  </w:abstractNum>
  <w:abstractNum w:abstractNumId="1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245"/>
          <w:tab w:val="clear" w:pos="0"/>
        </w:tabs>
        <w:ind w:left="245" w:hanging="245"/>
      </w:pPr>
      <w:rPr>
        <w:position w:val="-2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425"/>
          <w:tab w:val="clear" w:pos="0"/>
        </w:tabs>
        <w:ind w:left="425" w:hanging="245"/>
      </w:pPr>
      <w:rPr>
        <w:position w:val="-2"/>
        <w:sz w:val="30"/>
        <w:szCs w:val="30"/>
      </w:rPr>
    </w:lvl>
    <w:lvl w:ilvl="2">
      <w:start w:val="1"/>
      <w:numFmt w:val="bullet"/>
      <w:suff w:val="tab"/>
      <w:lvlText w:val="•"/>
      <w:lvlJc w:val="left"/>
      <w:pPr>
        <w:tabs>
          <w:tab w:val="num" w:pos="605"/>
          <w:tab w:val="clear" w:pos="0"/>
        </w:tabs>
        <w:ind w:left="605" w:hanging="245"/>
      </w:pPr>
      <w:rPr>
        <w:position w:val="-2"/>
        <w:sz w:val="30"/>
        <w:szCs w:val="30"/>
      </w:rPr>
    </w:lvl>
    <w:lvl w:ilvl="3">
      <w:start w:val="1"/>
      <w:numFmt w:val="bullet"/>
      <w:suff w:val="tab"/>
      <w:lvlText w:val="•"/>
      <w:lvlJc w:val="left"/>
      <w:pPr>
        <w:tabs>
          <w:tab w:val="num" w:pos="785"/>
          <w:tab w:val="clear" w:pos="0"/>
        </w:tabs>
        <w:ind w:left="785" w:hanging="245"/>
      </w:pPr>
      <w:rPr>
        <w:position w:val="-2"/>
        <w:sz w:val="30"/>
        <w:szCs w:val="30"/>
      </w:rPr>
    </w:lvl>
    <w:lvl w:ilvl="4">
      <w:start w:val="1"/>
      <w:numFmt w:val="bullet"/>
      <w:suff w:val="tab"/>
      <w:lvlText w:val="•"/>
      <w:lvlJc w:val="left"/>
      <w:pPr>
        <w:tabs>
          <w:tab w:val="num" w:pos="965"/>
          <w:tab w:val="clear" w:pos="0"/>
        </w:tabs>
        <w:ind w:left="965" w:hanging="245"/>
      </w:pPr>
      <w:rPr>
        <w:position w:val="-2"/>
        <w:sz w:val="30"/>
        <w:szCs w:val="30"/>
      </w:rPr>
    </w:lvl>
    <w:lvl w:ilvl="5">
      <w:start w:val="1"/>
      <w:numFmt w:val="bullet"/>
      <w:suff w:val="tab"/>
      <w:lvlText w:val="•"/>
      <w:lvlJc w:val="left"/>
      <w:pPr>
        <w:tabs>
          <w:tab w:val="num" w:pos="1145"/>
          <w:tab w:val="clear" w:pos="0"/>
        </w:tabs>
        <w:ind w:left="1145" w:hanging="245"/>
      </w:pPr>
      <w:rPr>
        <w:position w:val="-2"/>
        <w:sz w:val="30"/>
        <w:szCs w:val="30"/>
      </w:rPr>
    </w:lvl>
    <w:lvl w:ilvl="6">
      <w:start w:val="1"/>
      <w:numFmt w:val="bullet"/>
      <w:suff w:val="tab"/>
      <w:lvlText w:val="•"/>
      <w:lvlJc w:val="left"/>
      <w:pPr>
        <w:tabs>
          <w:tab w:val="num" w:pos="1325"/>
          <w:tab w:val="clear" w:pos="0"/>
        </w:tabs>
        <w:ind w:left="1325" w:hanging="245"/>
      </w:pPr>
      <w:rPr>
        <w:position w:val="-2"/>
        <w:sz w:val="30"/>
        <w:szCs w:val="30"/>
      </w:rPr>
    </w:lvl>
    <w:lvl w:ilvl="7">
      <w:start w:val="1"/>
      <w:numFmt w:val="bullet"/>
      <w:suff w:val="tab"/>
      <w:lvlText w:val="•"/>
      <w:lvlJc w:val="left"/>
      <w:pPr>
        <w:tabs>
          <w:tab w:val="num" w:pos="1505"/>
          <w:tab w:val="clear" w:pos="0"/>
        </w:tabs>
        <w:ind w:left="1505" w:hanging="245"/>
      </w:pPr>
      <w:rPr>
        <w:position w:val="-2"/>
        <w:sz w:val="30"/>
        <w:szCs w:val="30"/>
      </w:rPr>
    </w:lvl>
    <w:lvl w:ilvl="8">
      <w:start w:val="1"/>
      <w:numFmt w:val="bullet"/>
      <w:suff w:val="tab"/>
      <w:lvlText w:val="•"/>
      <w:lvlJc w:val="left"/>
      <w:pPr>
        <w:tabs>
          <w:tab w:val="num" w:pos="1685"/>
          <w:tab w:val="clear" w:pos="0"/>
        </w:tabs>
        <w:ind w:left="1685" w:hanging="245"/>
      </w:pPr>
      <w:rPr>
        <w:position w:val="-2"/>
        <w:sz w:val="30"/>
        <w:szCs w:val="30"/>
      </w:rPr>
    </w:lvl>
  </w:abstractNum>
  <w:abstractNum w:abstractNumId="2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245"/>
          <w:tab w:val="clear" w:pos="0"/>
        </w:tabs>
        <w:ind w:left="245" w:hanging="245"/>
      </w:pPr>
      <w:rPr>
        <w:position w:val="-2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425"/>
          <w:tab w:val="clear" w:pos="0"/>
        </w:tabs>
        <w:ind w:left="425" w:hanging="245"/>
      </w:pPr>
      <w:rPr>
        <w:position w:val="-2"/>
        <w:sz w:val="30"/>
        <w:szCs w:val="30"/>
      </w:rPr>
    </w:lvl>
    <w:lvl w:ilvl="2">
      <w:start w:val="1"/>
      <w:numFmt w:val="bullet"/>
      <w:suff w:val="tab"/>
      <w:lvlText w:val="•"/>
      <w:lvlJc w:val="left"/>
      <w:pPr>
        <w:tabs>
          <w:tab w:val="num" w:pos="605"/>
          <w:tab w:val="clear" w:pos="0"/>
        </w:tabs>
        <w:ind w:left="605" w:hanging="245"/>
      </w:pPr>
      <w:rPr>
        <w:position w:val="-2"/>
        <w:sz w:val="30"/>
        <w:szCs w:val="30"/>
      </w:rPr>
    </w:lvl>
    <w:lvl w:ilvl="3">
      <w:start w:val="1"/>
      <w:numFmt w:val="bullet"/>
      <w:suff w:val="tab"/>
      <w:lvlText w:val="•"/>
      <w:lvlJc w:val="left"/>
      <w:pPr>
        <w:tabs>
          <w:tab w:val="num" w:pos="785"/>
          <w:tab w:val="clear" w:pos="0"/>
        </w:tabs>
        <w:ind w:left="785" w:hanging="245"/>
      </w:pPr>
      <w:rPr>
        <w:position w:val="-2"/>
        <w:sz w:val="30"/>
        <w:szCs w:val="30"/>
      </w:rPr>
    </w:lvl>
    <w:lvl w:ilvl="4">
      <w:start w:val="1"/>
      <w:numFmt w:val="bullet"/>
      <w:suff w:val="tab"/>
      <w:lvlText w:val="•"/>
      <w:lvlJc w:val="left"/>
      <w:pPr>
        <w:tabs>
          <w:tab w:val="num" w:pos="965"/>
          <w:tab w:val="clear" w:pos="0"/>
        </w:tabs>
        <w:ind w:left="965" w:hanging="245"/>
      </w:pPr>
      <w:rPr>
        <w:position w:val="-2"/>
        <w:sz w:val="30"/>
        <w:szCs w:val="30"/>
      </w:rPr>
    </w:lvl>
    <w:lvl w:ilvl="5">
      <w:start w:val="1"/>
      <w:numFmt w:val="bullet"/>
      <w:suff w:val="tab"/>
      <w:lvlText w:val="•"/>
      <w:lvlJc w:val="left"/>
      <w:pPr>
        <w:tabs>
          <w:tab w:val="num" w:pos="1145"/>
          <w:tab w:val="clear" w:pos="0"/>
        </w:tabs>
        <w:ind w:left="1145" w:hanging="245"/>
      </w:pPr>
      <w:rPr>
        <w:position w:val="-2"/>
        <w:sz w:val="30"/>
        <w:szCs w:val="30"/>
      </w:rPr>
    </w:lvl>
    <w:lvl w:ilvl="6">
      <w:start w:val="1"/>
      <w:numFmt w:val="bullet"/>
      <w:suff w:val="tab"/>
      <w:lvlText w:val="•"/>
      <w:lvlJc w:val="left"/>
      <w:pPr>
        <w:tabs>
          <w:tab w:val="num" w:pos="1325"/>
          <w:tab w:val="clear" w:pos="0"/>
        </w:tabs>
        <w:ind w:left="1325" w:hanging="245"/>
      </w:pPr>
      <w:rPr>
        <w:position w:val="-2"/>
        <w:sz w:val="30"/>
        <w:szCs w:val="30"/>
      </w:rPr>
    </w:lvl>
    <w:lvl w:ilvl="7">
      <w:start w:val="1"/>
      <w:numFmt w:val="bullet"/>
      <w:suff w:val="tab"/>
      <w:lvlText w:val="•"/>
      <w:lvlJc w:val="left"/>
      <w:pPr>
        <w:tabs>
          <w:tab w:val="num" w:pos="1505"/>
          <w:tab w:val="clear" w:pos="0"/>
        </w:tabs>
        <w:ind w:left="1505" w:hanging="245"/>
      </w:pPr>
      <w:rPr>
        <w:position w:val="-2"/>
        <w:sz w:val="30"/>
        <w:szCs w:val="30"/>
      </w:rPr>
    </w:lvl>
    <w:lvl w:ilvl="8">
      <w:start w:val="1"/>
      <w:numFmt w:val="bullet"/>
      <w:suff w:val="tab"/>
      <w:lvlText w:val="•"/>
      <w:lvlJc w:val="left"/>
      <w:pPr>
        <w:tabs>
          <w:tab w:val="num" w:pos="1685"/>
          <w:tab w:val="clear" w:pos="0"/>
        </w:tabs>
        <w:ind w:left="1685" w:hanging="245"/>
      </w:pPr>
      <w:rPr>
        <w:position w:val="-2"/>
        <w:sz w:val="30"/>
        <w:szCs w:val="3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he-IL" w:bidi="he-IL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he-IL" w:bidi="he-IL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he-IL" w:bidi="he-IL"/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he-IL" w:bidi="he-IL"/>
    </w:rPr>
  </w:style>
  <w:style w:type="numbering" w:styleId="Bullet">
    <w:name w:val="Bullet"/>
    <w:next w:val="Bull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owasp.org/index.php/Clickjacking_Defense_Cheat_Shee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 Unicode MS"/>
        <a:ea typeface="Arial Unicode MS"/>
        <a:cs typeface="Arial Unicode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