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Prof. Manuel Trachtenberg</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November 2019</w:t>
      </w:r>
    </w:p>
    <w:p w:rsidR="00000000" w:rsidDel="00000000" w:rsidP="00000000" w:rsidRDefault="00000000" w:rsidRPr="00000000" w14:paraId="00000003">
      <w:pPr>
        <w:rPr>
          <w:sz w:val="17"/>
          <w:szCs w:val="17"/>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Has a PhD from Harvard, an emeritus professor at Tel Aviv University, a research fellow at NBER in Boston, and a world-renowned expert in research and development economics, innovation and economic growth. Trachtenberg combines academic work with extensive public activity: He is the fiirst Chairman of the National Council of Economics in the Prime Minister's Office, Chairman of the Planning and Budgeting Committee at the Higher Education Council, MK of the "Zionist Camp", as well as the Chairman of the Committee named after him following the social protests in the summer of 2011. He is currently leading the "100 Days Project - an Economic-Social Agenda for the Next Government," as part of the Neaman Institute for National Policy at the Technion, featuring innovative policy proposals in key areas such as transportation, early childhood, budgetary policy, maternity leave and more.</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