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796B" w:rsidRDefault="002B306D" w:rsidP="00803E3C">
      <w:pPr>
        <w:spacing w:after="0" w:line="360" w:lineRule="auto"/>
        <w:jc w:val="both"/>
        <w:rPr>
          <w:rFonts w:ascii="Arial" w:hAnsi="Arial" w:cs="David"/>
          <w:bCs/>
          <w:sz w:val="40"/>
          <w:szCs w:val="40"/>
        </w:rPr>
      </w:pPr>
      <w:r w:rsidRPr="002B306D">
        <w:rPr>
          <w:noProof/>
        </w:rPr>
        <w:pict>
          <v:group id="Group 7" o:spid="_x0000_s1026" style="position:absolute;left:0;text-align:left;margin-left:-49.8pt;margin-top:-41.25pt;width:549.35pt;height:25.7pt;z-index:251654144;mso-position-horizontal-relative:margin;mso-position-vertical-relative:margin" coordsize="2000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">
            <v:shape id="Freeform 3" o:spid="_x0000_s1027" style="position:absolute;top:2218;width:14321;height:17782;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" path="m,19956l1014,,19997,,18838,19956r-18680,e" fillcolor="blue" strokeweight="2pt">
              <v:stroke startarrowwidth="narrow" startarrowlength="short" endarrowwidth="narrow" endarrowlength="short"/>
              <v:path arrowok="t" o:connecttype="custom" o:connectlocs="0,17743;726,0;14319,0;13489,17743;113,17743" o:connectangles="0,0,0,0,0"/>
            </v:shape>
            <v:shape id="Freeform 4" o:spid="_x0000_s1028" style="position:absolute;left:16786;width:3215;height:2000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" path="m,19961l4519,,19989,r,19961l646,19961e" fillcolor="blue" strokeweight="2pt">
              <v:stroke startarrowwidth="narrow" startarrowlength="short" endarrowwidth="narrow" endarrowlength="short"/>
              <v:path arrowok="t" o:connecttype="custom" o:connectlocs="0,19961;726,0;3213,0;3213,19961;104,19961" o:connectangles="0,0,0,0,0"/>
            </v:shape>
            <w10:wrap anchorx="margin" anchory="margin"/>
          </v:group>
        </w:pict>
      </w:r>
    </w:p>
    <w:p w:rsidR="00803E3C" w:rsidRDefault="00803E3C" w:rsidP="00C77C0C">
      <w:pPr>
        <w:spacing w:after="0" w:line="360" w:lineRule="auto"/>
        <w:jc w:val="both"/>
        <w:rPr>
          <w:rFonts w:ascii="Arial" w:hAnsi="Arial" w:cs="David"/>
          <w:bCs/>
          <w:sz w:val="40"/>
          <w:szCs w:val="40"/>
        </w:rPr>
      </w:pPr>
      <w:r>
        <w:rPr>
          <w:rFonts w:ascii="Arial" w:hAnsi="Arial" w:cs="David" w:hint="cs"/>
          <w:bCs/>
          <w:sz w:val="40"/>
          <w:szCs w:val="40"/>
          <w:rtl/>
        </w:rPr>
        <w:t>המכללה לביטחון</w:t>
      </w:r>
      <w:r w:rsidR="00477F2D">
        <w:rPr>
          <w:rFonts w:ascii="Arial" w:hAnsi="Arial" w:cs="David" w:hint="cs"/>
          <w:bCs/>
          <w:sz w:val="40"/>
          <w:szCs w:val="40"/>
          <w:rtl/>
        </w:rPr>
        <w:t xml:space="preserve"> </w:t>
      </w:r>
      <w:r>
        <w:rPr>
          <w:rFonts w:ascii="Arial" w:hAnsi="Arial" w:cs="David" w:hint="cs"/>
          <w:bCs/>
          <w:sz w:val="40"/>
          <w:szCs w:val="40"/>
          <w:rtl/>
        </w:rPr>
        <w:t xml:space="preserve">לאומי </w:t>
      </w:r>
    </w:p>
    <w:p w:rsidR="009523CF" w:rsidRDefault="00803E3C" w:rsidP="003E6BAA">
      <w:pPr>
        <w:spacing w:after="0" w:line="360" w:lineRule="auto"/>
        <w:jc w:val="both"/>
        <w:rPr>
          <w:rFonts w:ascii="Arial" w:hAnsi="Arial" w:cs="David"/>
          <w:bCs/>
          <w:sz w:val="40"/>
          <w:szCs w:val="40"/>
          <w:rtl/>
        </w:rPr>
      </w:pPr>
      <w:r>
        <w:rPr>
          <w:rFonts w:ascii="Arial" w:hAnsi="Arial" w:cs="David" w:hint="cs"/>
          <w:bCs/>
          <w:sz w:val="40"/>
          <w:szCs w:val="40"/>
          <w:rtl/>
        </w:rPr>
        <w:t>מחזור מ"</w:t>
      </w:r>
      <w:r w:rsidR="003E6BAA">
        <w:rPr>
          <w:rFonts w:ascii="Arial" w:hAnsi="Arial" w:cs="David" w:hint="cs"/>
          <w:bCs/>
          <w:sz w:val="40"/>
          <w:szCs w:val="40"/>
          <w:rtl/>
        </w:rPr>
        <w:t>ו</w:t>
      </w:r>
      <w:r>
        <w:rPr>
          <w:rFonts w:ascii="Arial" w:hAnsi="Arial" w:cs="David" w:hint="cs"/>
          <w:bCs/>
          <w:sz w:val="40"/>
          <w:szCs w:val="40"/>
          <w:rtl/>
        </w:rPr>
        <w:t>,</w:t>
      </w:r>
      <w:r w:rsidR="00477F2D">
        <w:rPr>
          <w:rFonts w:ascii="Arial" w:hAnsi="Arial" w:cs="David" w:hint="cs"/>
          <w:bCs/>
          <w:sz w:val="40"/>
          <w:szCs w:val="40"/>
          <w:rtl/>
        </w:rPr>
        <w:t xml:space="preserve">   </w:t>
      </w:r>
      <w:r>
        <w:rPr>
          <w:rFonts w:ascii="Arial" w:hAnsi="Arial" w:cs="David" w:hint="cs"/>
          <w:bCs/>
          <w:sz w:val="40"/>
          <w:szCs w:val="40"/>
          <w:rtl/>
        </w:rPr>
        <w:t xml:space="preserve"> 201</w:t>
      </w:r>
      <w:r w:rsidR="003E6BAA">
        <w:rPr>
          <w:rFonts w:ascii="Arial" w:hAnsi="Arial" w:cs="David" w:hint="cs"/>
          <w:bCs/>
          <w:sz w:val="40"/>
          <w:szCs w:val="40"/>
          <w:rtl/>
        </w:rPr>
        <w:t>9</w:t>
      </w:r>
      <w:r>
        <w:rPr>
          <w:rFonts w:ascii="Arial" w:hAnsi="Arial" w:cs="David" w:hint="cs"/>
          <w:bCs/>
          <w:sz w:val="40"/>
          <w:szCs w:val="40"/>
          <w:rtl/>
        </w:rPr>
        <w:t>-201</w:t>
      </w:r>
      <w:r w:rsidR="003E6BAA">
        <w:rPr>
          <w:rFonts w:ascii="Arial" w:hAnsi="Arial" w:cs="David" w:hint="cs"/>
          <w:bCs/>
          <w:sz w:val="40"/>
          <w:szCs w:val="40"/>
          <w:rtl/>
        </w:rPr>
        <w:t>8</w:t>
      </w:r>
    </w:p>
    <w:p w:rsidR="00803E3C" w:rsidRDefault="00803E3C" w:rsidP="00803E3C">
      <w:pPr>
        <w:spacing w:after="0" w:line="360" w:lineRule="auto"/>
        <w:jc w:val="both"/>
        <w:rPr>
          <w:rFonts w:ascii="Arial" w:hAnsi="Arial" w:cs="David"/>
          <w:bCs/>
          <w:sz w:val="40"/>
          <w:szCs w:val="40"/>
          <w:rtl/>
        </w:rPr>
      </w:pPr>
    </w:p>
    <w:p w:rsidR="00803E3C" w:rsidRPr="00803E3C" w:rsidRDefault="00803E3C" w:rsidP="00803E3C">
      <w:pPr>
        <w:spacing w:after="0" w:line="360" w:lineRule="auto"/>
        <w:jc w:val="both"/>
        <w:rPr>
          <w:rFonts w:ascii="Arial" w:hAnsi="Arial" w:cs="David"/>
          <w:bCs/>
          <w:sz w:val="40"/>
          <w:szCs w:val="40"/>
          <w:rtl/>
        </w:rPr>
      </w:pPr>
    </w:p>
    <w:p w:rsidR="0021176E" w:rsidRDefault="0021176E" w:rsidP="0021176E">
      <w:pPr>
        <w:bidi/>
        <w:spacing w:after="0" w:line="360" w:lineRule="auto"/>
        <w:jc w:val="center"/>
        <w:rPr>
          <w:rFonts w:cs="David" w:hint="cs"/>
          <w:b/>
          <w:bCs/>
          <w:sz w:val="56"/>
          <w:szCs w:val="56"/>
          <w:rtl/>
        </w:rPr>
      </w:pPr>
    </w:p>
    <w:p w:rsidR="0021176E" w:rsidRPr="0021176E" w:rsidRDefault="00667ECD" w:rsidP="0021176E">
      <w:pPr>
        <w:bidi/>
        <w:spacing w:after="0" w:line="360" w:lineRule="auto"/>
        <w:jc w:val="center"/>
        <w:rPr>
          <w:rFonts w:cs="David" w:hint="cs"/>
          <w:b/>
          <w:bCs/>
          <w:sz w:val="40"/>
          <w:szCs w:val="40"/>
          <w:rtl/>
        </w:rPr>
      </w:pPr>
      <w:r w:rsidRPr="0021176E">
        <w:rPr>
          <w:rFonts w:cs="David" w:hint="cs"/>
          <w:b/>
          <w:bCs/>
          <w:sz w:val="40"/>
          <w:szCs w:val="40"/>
          <w:rtl/>
        </w:rPr>
        <w:t xml:space="preserve">עבודת </w:t>
      </w:r>
      <w:r w:rsidR="0021176E" w:rsidRPr="0021176E">
        <w:rPr>
          <w:rFonts w:cs="David" w:hint="cs"/>
          <w:b/>
          <w:bCs/>
          <w:sz w:val="40"/>
          <w:szCs w:val="40"/>
          <w:rtl/>
        </w:rPr>
        <w:t>מסכמת בקורס:</w:t>
      </w:r>
    </w:p>
    <w:p w:rsidR="00667ECD" w:rsidRPr="0021176E" w:rsidRDefault="0021176E" w:rsidP="0021176E">
      <w:pPr>
        <w:bidi/>
        <w:spacing w:line="360" w:lineRule="auto"/>
        <w:jc w:val="center"/>
        <w:rPr>
          <w:rFonts w:cs="David"/>
          <w:b/>
          <w:bCs/>
          <w:sz w:val="48"/>
          <w:szCs w:val="48"/>
          <w:rtl/>
        </w:rPr>
      </w:pPr>
      <w:r w:rsidRPr="0021176E">
        <w:rPr>
          <w:rFonts w:cs="David" w:hint="cs"/>
          <w:b/>
          <w:bCs/>
          <w:sz w:val="48"/>
          <w:szCs w:val="48"/>
          <w:rtl/>
        </w:rPr>
        <w:t>החברה הישראלית</w:t>
      </w:r>
    </w:p>
    <w:p w:rsidR="00667ECD" w:rsidRDefault="0021176E" w:rsidP="0021176E">
      <w:pPr>
        <w:bidi/>
        <w:spacing w:line="360" w:lineRule="auto"/>
        <w:jc w:val="center"/>
        <w:rPr>
          <w:rFonts w:cs="David" w:hint="cs"/>
          <w:b/>
          <w:bCs/>
          <w:sz w:val="52"/>
          <w:szCs w:val="52"/>
          <w:rtl/>
        </w:rPr>
      </w:pPr>
      <w:r>
        <w:rPr>
          <w:rFonts w:cs="David" w:hint="cs"/>
          <w:b/>
          <w:bCs/>
          <w:sz w:val="52"/>
          <w:szCs w:val="52"/>
          <w:rtl/>
        </w:rPr>
        <w:t>הפשיעה בחברה הערבית בישראל</w:t>
      </w:r>
    </w:p>
    <w:p w:rsidR="0021176E" w:rsidRDefault="0021176E" w:rsidP="00587B80">
      <w:pPr>
        <w:bidi/>
        <w:spacing w:line="360" w:lineRule="auto"/>
        <w:jc w:val="center"/>
        <w:rPr>
          <w:rFonts w:cs="David"/>
          <w:b/>
          <w:bCs/>
          <w:sz w:val="52"/>
          <w:szCs w:val="52"/>
          <w:rtl/>
        </w:rPr>
      </w:pPr>
      <w:r>
        <w:rPr>
          <w:rFonts w:cs="David" w:hint="cs"/>
          <w:b/>
          <w:bCs/>
          <w:sz w:val="52"/>
          <w:szCs w:val="52"/>
          <w:rtl/>
        </w:rPr>
        <w:t xml:space="preserve">גורמים ומאפיינים מרכזיים </w:t>
      </w:r>
    </w:p>
    <w:p w:rsidR="00477F2D" w:rsidRPr="00890A9E" w:rsidRDefault="00477F2D" w:rsidP="00667ECD">
      <w:pPr>
        <w:spacing w:line="360" w:lineRule="auto"/>
        <w:jc w:val="center"/>
        <w:rPr>
          <w:rFonts w:cs="David"/>
          <w:b/>
          <w:bCs/>
          <w:sz w:val="52"/>
          <w:szCs w:val="52"/>
          <w:rtl/>
        </w:rPr>
      </w:pPr>
    </w:p>
    <w:p w:rsidR="002B5FCD" w:rsidRDefault="002B5FCD" w:rsidP="00477F2D">
      <w:pPr>
        <w:spacing w:after="0" w:line="360" w:lineRule="auto"/>
        <w:rPr>
          <w:rFonts w:ascii="Times New Roman" w:hAnsi="Times New Roman" w:cs="David"/>
          <w:bCs/>
          <w:color w:val="000000"/>
          <w:sz w:val="48"/>
          <w:szCs w:val="48"/>
        </w:rPr>
      </w:pPr>
    </w:p>
    <w:p w:rsidR="00803E3C" w:rsidRPr="00803E3C" w:rsidRDefault="00803E3C" w:rsidP="00667ECD">
      <w:pPr>
        <w:spacing w:after="0" w:line="360" w:lineRule="auto"/>
        <w:jc w:val="right"/>
        <w:rPr>
          <w:rFonts w:ascii="Times New Roman" w:hAnsi="Times New Roman" w:cs="David"/>
          <w:bCs/>
          <w:color w:val="000000"/>
          <w:sz w:val="44"/>
          <w:szCs w:val="44"/>
          <w:rtl/>
        </w:rPr>
      </w:pPr>
      <w:r w:rsidRPr="00803E3C">
        <w:rPr>
          <w:rFonts w:ascii="Times New Roman" w:hAnsi="Times New Roman" w:cs="David" w:hint="cs"/>
          <w:bCs/>
          <w:color w:val="000000"/>
          <w:sz w:val="44"/>
          <w:szCs w:val="44"/>
          <w:rtl/>
        </w:rPr>
        <w:t xml:space="preserve">מגיש: </w:t>
      </w:r>
      <w:bookmarkStart w:id="0" w:name="_GoBack"/>
      <w:bookmarkEnd w:id="0"/>
      <w:r w:rsidR="00667ECD">
        <w:rPr>
          <w:rFonts w:ascii="Times New Roman" w:hAnsi="Times New Roman" w:cs="David" w:hint="cs"/>
          <w:bCs/>
          <w:color w:val="000000"/>
          <w:sz w:val="44"/>
          <w:szCs w:val="44"/>
          <w:rtl/>
        </w:rPr>
        <w:t>נצ"ם יגאל חדד</w:t>
      </w:r>
    </w:p>
    <w:p w:rsidR="00C77C0C" w:rsidRDefault="00C77C0C" w:rsidP="0005122F">
      <w:pPr>
        <w:spacing w:after="0" w:line="360" w:lineRule="auto"/>
        <w:jc w:val="right"/>
        <w:rPr>
          <w:rFonts w:ascii="Times New Roman" w:hAnsi="Times New Roman" w:cs="David"/>
          <w:bCs/>
          <w:color w:val="000000"/>
          <w:sz w:val="44"/>
          <w:szCs w:val="44"/>
          <w:rtl/>
        </w:rPr>
      </w:pPr>
    </w:p>
    <w:p w:rsidR="00C77C0C" w:rsidRDefault="00C77C0C" w:rsidP="0005122F">
      <w:pPr>
        <w:spacing w:after="0" w:line="360" w:lineRule="auto"/>
        <w:jc w:val="right"/>
        <w:rPr>
          <w:rFonts w:ascii="Times New Roman" w:hAnsi="Times New Roman"/>
          <w:b/>
          <w:color w:val="000000"/>
          <w:sz w:val="36"/>
          <w:szCs w:val="36"/>
        </w:rPr>
      </w:pPr>
    </w:p>
    <w:p w:rsidR="007C50FF" w:rsidRPr="0021176E" w:rsidRDefault="002B306D" w:rsidP="0021176E">
      <w:pPr>
        <w:spacing w:after="0" w:line="360" w:lineRule="auto"/>
        <w:rPr>
          <w:rFonts w:ascii="David" w:hAnsi="David" w:cs="David"/>
          <w:noProof/>
          <w:sz w:val="36"/>
          <w:szCs w:val="36"/>
          <w:rtl/>
        </w:rPr>
      </w:pPr>
      <w:r w:rsidRPr="0021176E">
        <w:rPr>
          <w:rFonts w:ascii="David" w:hAnsi="David" w:cs="David"/>
          <w:noProof/>
          <w:sz w:val="36"/>
          <w:szCs w:val="36"/>
          <w:rtl/>
        </w:rPr>
        <w:pict>
          <v:group id="Group 1" o:spid="_x0000_s1032" style="position:absolute;margin-left:-44.95pt;margin-top:671.9pt;width:550.1pt;height:39.1pt;z-index:251664384;mso-position-horizontal-relative:margin;mso-position-vertical-relative:margin"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">
            <v:shape id="Freeform 7" o:spid="_x0000_s1034" style="position:absolute;left:4870;top:5831;width:15130;height:1023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" path="m1091,l,19950r19998,l19998,,1091,xe" fillcolor="blue" strokeweight="2pt">
              <v:stroke startarrowwidth="narrow" startarrowlength="short" endarrowwidth="narrow" endarrowlength="short"/>
              <v:path arrowok="t" o:connecttype="custom" o:connectlocs="825,0;0,10204;15128,10204;15128,0;825,0" o:connectangles="0,0,0,0,0"/>
            </v:shape>
            <v:shape id="Freeform 8" o:spid="_x0000_s1033" style="position:absolute;top:5831;width:3110;height:1023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" path="m19988,l15324,19950,,19950,4664,,19988,e" fillcolor="blue" strokeweight="2pt">
              <v:stroke startarrowwidth="narrow" startarrowlength="short" endarrowwidth="narrow" endarrowlength="short"/>
              <v:path arrowok="t" o:connecttype="custom" o:connectlocs="3108,0;2383,10204;0,10204;725,0;3108,0" o:connectangles="0,0,0,0,0"/>
            </v:shape>
            <v:group id="Group 9" o:spid="_x0000_s1029" style="position:absolute;left:3105;width:1729;height:20000"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10" o:spid="_x0000_s1030" style="position:absolute;width:16356;height:15729;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" path="m,19967l19974,,17763,19967,,19967xe" fillcolor="blue" strokeweight="2pt">
                <v:stroke startarrowwidth="narrow" startarrowlength="short" endarrowwidth="narrow" endarrowlength="short"/>
                <v:path arrowok="t" o:connecttype="custom" o:connectlocs="0,15703;16335,0;14527,15703;0,15703" o:connectangles="0,0,0,0"/>
              </v:shape>
              <v:shape id="Freeform 11" o:spid="_x0000_s1031" style="position:absolute;left:3632;top:5831;width:16368;height:14169;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" path="m19974,l,19964,2211,,19974,xe" fillcolor="blue" strokeweight="2pt">
                <v:stroke startarrowwidth="narrow" startarrowlength="short" endarrowwidth="narrow" endarrowlength="short"/>
                <v:path arrowok="t" o:connecttype="custom" o:connectlocs="16347,0;0,14143;1809,0;16347,0" o:connectangles="0,0,0,0"/>
              </v:shape>
            </v:group>
            <w10:wrap anchorx="margin" anchory="margin"/>
          </v:group>
        </w:pict>
      </w:r>
      <w:r w:rsidR="0021176E" w:rsidRPr="0021176E">
        <w:rPr>
          <w:rFonts w:ascii="David" w:hAnsi="David" w:cs="David"/>
          <w:noProof/>
          <w:sz w:val="36"/>
          <w:szCs w:val="36"/>
          <w:rtl/>
        </w:rPr>
        <w:t>אפריל</w:t>
      </w:r>
      <w:r w:rsidR="0021176E">
        <w:rPr>
          <w:rFonts w:ascii="David" w:hAnsi="David" w:cs="David" w:hint="cs"/>
          <w:noProof/>
          <w:sz w:val="36"/>
          <w:szCs w:val="36"/>
          <w:rtl/>
        </w:rPr>
        <w:t xml:space="preserve"> </w:t>
      </w:r>
      <w:r w:rsidR="0021176E" w:rsidRPr="0021176E">
        <w:rPr>
          <w:rFonts w:ascii="David" w:hAnsi="David" w:cs="David"/>
          <w:noProof/>
          <w:sz w:val="36"/>
          <w:szCs w:val="36"/>
          <w:rtl/>
        </w:rPr>
        <w:t xml:space="preserve"> 2019</w:t>
      </w:r>
    </w:p>
    <w:p w:rsidR="0021176E" w:rsidRDefault="0021176E" w:rsidP="0021176E">
      <w:pPr>
        <w:spacing w:after="0" w:line="360" w:lineRule="auto"/>
        <w:rPr>
          <w:rFonts w:hint="cs"/>
          <w:noProof/>
          <w:rtl/>
        </w:rPr>
      </w:pPr>
    </w:p>
    <w:p w:rsidR="0021176E" w:rsidRDefault="0021176E" w:rsidP="0021176E">
      <w:pPr>
        <w:spacing w:after="0" w:line="360" w:lineRule="auto"/>
        <w:rPr>
          <w:rFonts w:hint="cs"/>
          <w:noProof/>
          <w:rtl/>
        </w:rPr>
      </w:pPr>
    </w:p>
    <w:p w:rsidR="0021176E" w:rsidRDefault="0021176E" w:rsidP="0021176E">
      <w:pPr>
        <w:spacing w:after="0" w:line="360" w:lineRule="auto"/>
        <w:rPr>
          <w:rFonts w:hint="cs"/>
          <w:noProof/>
          <w:rtl/>
        </w:rPr>
      </w:pPr>
    </w:p>
    <w:p w:rsidR="0021176E" w:rsidRDefault="0021176E" w:rsidP="0021176E">
      <w:pPr>
        <w:spacing w:after="0" w:line="360" w:lineRule="auto"/>
        <w:rPr>
          <w:rFonts w:hint="cs"/>
          <w:noProof/>
          <w:rtl/>
        </w:rPr>
      </w:pPr>
    </w:p>
    <w:p w:rsidR="00714CE6" w:rsidRDefault="00714CE6" w:rsidP="0021176E">
      <w:pPr>
        <w:spacing w:after="0" w:line="360" w:lineRule="auto"/>
        <w:rPr>
          <w:noProof/>
        </w:rPr>
      </w:pPr>
    </w:p>
    <w:p w:rsidR="00714CE6" w:rsidRDefault="00714CE6" w:rsidP="0021176E">
      <w:pPr>
        <w:spacing w:after="0" w:line="360" w:lineRule="auto"/>
        <w:rPr>
          <w:noProof/>
        </w:rPr>
      </w:pPr>
    </w:p>
    <w:sdt>
      <w:sdtPr>
        <w:rPr>
          <w:rFonts w:ascii="David" w:hAnsi="David" w:cs="David"/>
          <w:sz w:val="32"/>
          <w:szCs w:val="32"/>
          <w:rtl/>
          <w:lang w:val="he-IL"/>
        </w:rPr>
        <w:id w:val="1704176"/>
        <w:docPartObj>
          <w:docPartGallery w:val="Table of Contents"/>
          <w:docPartUnique/>
        </w:docPartObj>
      </w:sdtPr>
      <w:sdtEndPr>
        <w:rPr>
          <w:rFonts w:asciiTheme="minorHAnsi" w:eastAsiaTheme="minorHAnsi" w:hAnsiTheme="minorHAnsi" w:cstheme="minorBidi"/>
          <w:b w:val="0"/>
          <w:bCs w:val="0"/>
          <w:color w:val="auto"/>
          <w:sz w:val="22"/>
          <w:szCs w:val="22"/>
          <w:lang w:val="en-US"/>
        </w:rPr>
      </w:sdtEndPr>
      <w:sdtContent>
        <w:p w:rsidR="002725AA" w:rsidRDefault="002725AA">
          <w:pPr>
            <w:pStyle w:val="af1"/>
            <w:rPr>
              <w:rFonts w:ascii="David" w:hAnsi="David" w:cs="David" w:hint="cs"/>
              <w:sz w:val="32"/>
              <w:szCs w:val="32"/>
              <w:rtl/>
              <w:lang w:val="he-IL"/>
            </w:rPr>
          </w:pPr>
        </w:p>
        <w:p w:rsidR="00714CE6" w:rsidRPr="00714CE6" w:rsidRDefault="00714CE6">
          <w:pPr>
            <w:pStyle w:val="af1"/>
            <w:rPr>
              <w:rFonts w:ascii="David" w:hAnsi="David" w:cs="David"/>
              <w:sz w:val="32"/>
              <w:szCs w:val="32"/>
              <w:rtl/>
            </w:rPr>
          </w:pPr>
          <w:r w:rsidRPr="00714CE6">
            <w:rPr>
              <w:rFonts w:ascii="David" w:hAnsi="David" w:cs="David"/>
              <w:sz w:val="32"/>
              <w:szCs w:val="32"/>
              <w:rtl/>
              <w:lang w:val="he-IL"/>
            </w:rPr>
            <w:t>תוכן</w:t>
          </w:r>
          <w:r w:rsidRPr="00714CE6">
            <w:rPr>
              <w:rFonts w:ascii="David" w:hAnsi="David" w:cs="David"/>
              <w:sz w:val="32"/>
              <w:szCs w:val="32"/>
              <w:rtl/>
            </w:rPr>
            <w:t xml:space="preserve"> עניינים</w:t>
          </w:r>
          <w:r w:rsidR="002725AA">
            <w:rPr>
              <w:rFonts w:ascii="David" w:hAnsi="David" w:cs="David" w:hint="cs"/>
              <w:sz w:val="32"/>
              <w:szCs w:val="32"/>
              <w:rtl/>
            </w:rPr>
            <w:t>:</w:t>
          </w:r>
        </w:p>
        <w:p w:rsidR="00714CE6" w:rsidRPr="00714CE6" w:rsidRDefault="00714CE6" w:rsidP="00714CE6">
          <w:pPr>
            <w:bidi/>
          </w:pPr>
        </w:p>
        <w:p w:rsidR="00714CE6" w:rsidRPr="00714CE6" w:rsidRDefault="00714CE6" w:rsidP="00714CE6">
          <w:pPr>
            <w:pStyle w:val="TOC1"/>
            <w:spacing w:line="360" w:lineRule="auto"/>
            <w:rPr>
              <w:rFonts w:asciiTheme="minorHAnsi" w:eastAsiaTheme="minorEastAsia" w:hAnsiTheme="minorHAnsi" w:cstheme="minorBidi"/>
              <w:b w:val="0"/>
              <w:bCs w:val="0"/>
              <w:sz w:val="28"/>
              <w:szCs w:val="28"/>
            </w:rPr>
          </w:pPr>
          <w:r w:rsidRPr="00714CE6">
            <w:rPr>
              <w:b w:val="0"/>
              <w:bCs w:val="0"/>
              <w:sz w:val="28"/>
              <w:szCs w:val="28"/>
            </w:rPr>
            <w:fldChar w:fldCharType="begin"/>
          </w:r>
          <w:r w:rsidRPr="00714CE6">
            <w:rPr>
              <w:b w:val="0"/>
              <w:bCs w:val="0"/>
              <w:sz w:val="28"/>
              <w:szCs w:val="28"/>
            </w:rPr>
            <w:instrText xml:space="preserve"> TOC \o "1-3" \h \z \u </w:instrText>
          </w:r>
          <w:r w:rsidRPr="00714CE6">
            <w:rPr>
              <w:b w:val="0"/>
              <w:bCs w:val="0"/>
              <w:sz w:val="28"/>
              <w:szCs w:val="28"/>
            </w:rPr>
            <w:fldChar w:fldCharType="separate"/>
          </w:r>
          <w:hyperlink w:anchor="_Toc5984334" w:history="1">
            <w:r w:rsidRPr="00714CE6">
              <w:rPr>
                <w:rStyle w:val="Hyperlink"/>
                <w:b w:val="0"/>
                <w:bCs w:val="0"/>
                <w:sz w:val="28"/>
                <w:szCs w:val="28"/>
                <w:rtl/>
              </w:rPr>
              <w:t>מבוא</w:t>
            </w:r>
            <w:r w:rsidRPr="00714CE6">
              <w:rPr>
                <w:b w:val="0"/>
                <w:bCs w:val="0"/>
                <w:webHidden/>
                <w:sz w:val="28"/>
                <w:szCs w:val="28"/>
              </w:rPr>
              <w:tab/>
            </w:r>
            <w:r w:rsidRPr="00714CE6">
              <w:rPr>
                <w:rStyle w:val="Hyperlink"/>
                <w:b w:val="0"/>
                <w:bCs w:val="0"/>
                <w:sz w:val="28"/>
                <w:szCs w:val="28"/>
                <w:rtl/>
              </w:rPr>
              <w:fldChar w:fldCharType="begin"/>
            </w:r>
            <w:r w:rsidRPr="00714CE6">
              <w:rPr>
                <w:b w:val="0"/>
                <w:bCs w:val="0"/>
                <w:webHidden/>
                <w:sz w:val="28"/>
                <w:szCs w:val="28"/>
              </w:rPr>
              <w:instrText xml:space="preserve"> PAGEREF _Toc5984334 \h </w:instrText>
            </w:r>
            <w:r w:rsidRPr="00714CE6">
              <w:rPr>
                <w:rStyle w:val="Hyperlink"/>
                <w:b w:val="0"/>
                <w:bCs w:val="0"/>
                <w:sz w:val="28"/>
                <w:szCs w:val="28"/>
                <w:rtl/>
              </w:rPr>
            </w:r>
            <w:r w:rsidRPr="00714CE6">
              <w:rPr>
                <w:rStyle w:val="Hyperlink"/>
                <w:b w:val="0"/>
                <w:bCs w:val="0"/>
                <w:sz w:val="28"/>
                <w:szCs w:val="28"/>
                <w:rtl/>
              </w:rPr>
              <w:fldChar w:fldCharType="separate"/>
            </w:r>
            <w:r w:rsidR="001E776F">
              <w:rPr>
                <w:b w:val="0"/>
                <w:bCs w:val="0"/>
                <w:webHidden/>
                <w:sz w:val="28"/>
                <w:szCs w:val="28"/>
                <w:rtl/>
              </w:rPr>
              <w:t>2</w:t>
            </w:r>
            <w:r w:rsidRPr="00714CE6">
              <w:rPr>
                <w:rStyle w:val="Hyperlink"/>
                <w:b w:val="0"/>
                <w:bCs w:val="0"/>
                <w:sz w:val="28"/>
                <w:szCs w:val="28"/>
                <w:rtl/>
              </w:rPr>
              <w:fldChar w:fldCharType="end"/>
            </w:r>
          </w:hyperlink>
        </w:p>
        <w:p w:rsidR="00714CE6" w:rsidRPr="00714CE6" w:rsidRDefault="00714CE6" w:rsidP="00714CE6">
          <w:pPr>
            <w:pStyle w:val="TOC1"/>
            <w:spacing w:line="360" w:lineRule="auto"/>
            <w:rPr>
              <w:rFonts w:asciiTheme="minorHAnsi" w:eastAsiaTheme="minorEastAsia" w:hAnsiTheme="minorHAnsi" w:cstheme="minorBidi"/>
              <w:b w:val="0"/>
              <w:bCs w:val="0"/>
              <w:sz w:val="28"/>
              <w:szCs w:val="28"/>
            </w:rPr>
          </w:pPr>
          <w:hyperlink w:anchor="_Toc5984335" w:history="1">
            <w:r w:rsidRPr="00714CE6">
              <w:rPr>
                <w:rStyle w:val="Hyperlink"/>
                <w:b w:val="0"/>
                <w:bCs w:val="0"/>
                <w:sz w:val="28"/>
                <w:szCs w:val="28"/>
                <w:rtl/>
              </w:rPr>
              <w:t>נתוני רקע</w:t>
            </w:r>
            <w:r w:rsidRPr="00714CE6">
              <w:rPr>
                <w:b w:val="0"/>
                <w:bCs w:val="0"/>
                <w:webHidden/>
                <w:sz w:val="28"/>
                <w:szCs w:val="28"/>
              </w:rPr>
              <w:tab/>
            </w:r>
            <w:r w:rsidRPr="00714CE6">
              <w:rPr>
                <w:rStyle w:val="Hyperlink"/>
                <w:b w:val="0"/>
                <w:bCs w:val="0"/>
                <w:sz w:val="28"/>
                <w:szCs w:val="28"/>
                <w:rtl/>
              </w:rPr>
              <w:fldChar w:fldCharType="begin"/>
            </w:r>
            <w:r w:rsidRPr="00714CE6">
              <w:rPr>
                <w:b w:val="0"/>
                <w:bCs w:val="0"/>
                <w:webHidden/>
                <w:sz w:val="28"/>
                <w:szCs w:val="28"/>
              </w:rPr>
              <w:instrText xml:space="preserve"> PAGEREF _Toc5984335 \h </w:instrText>
            </w:r>
            <w:r w:rsidRPr="00714CE6">
              <w:rPr>
                <w:rStyle w:val="Hyperlink"/>
                <w:b w:val="0"/>
                <w:bCs w:val="0"/>
                <w:sz w:val="28"/>
                <w:szCs w:val="28"/>
                <w:rtl/>
              </w:rPr>
            </w:r>
            <w:r w:rsidRPr="00714CE6">
              <w:rPr>
                <w:rStyle w:val="Hyperlink"/>
                <w:b w:val="0"/>
                <w:bCs w:val="0"/>
                <w:sz w:val="28"/>
                <w:szCs w:val="28"/>
                <w:rtl/>
              </w:rPr>
              <w:fldChar w:fldCharType="separate"/>
            </w:r>
            <w:r w:rsidR="001E776F">
              <w:rPr>
                <w:b w:val="0"/>
                <w:bCs w:val="0"/>
                <w:webHidden/>
                <w:sz w:val="28"/>
                <w:szCs w:val="28"/>
                <w:rtl/>
              </w:rPr>
              <w:t>3</w:t>
            </w:r>
            <w:r w:rsidRPr="00714CE6">
              <w:rPr>
                <w:rStyle w:val="Hyperlink"/>
                <w:b w:val="0"/>
                <w:bCs w:val="0"/>
                <w:sz w:val="28"/>
                <w:szCs w:val="28"/>
                <w:rtl/>
              </w:rPr>
              <w:fldChar w:fldCharType="end"/>
            </w:r>
          </w:hyperlink>
        </w:p>
        <w:p w:rsidR="00714CE6" w:rsidRPr="00714CE6" w:rsidRDefault="00714CE6" w:rsidP="00714CE6">
          <w:pPr>
            <w:pStyle w:val="TOC1"/>
            <w:spacing w:line="360" w:lineRule="auto"/>
            <w:rPr>
              <w:rFonts w:asciiTheme="minorHAnsi" w:eastAsiaTheme="minorEastAsia" w:hAnsiTheme="minorHAnsi" w:cstheme="minorBidi"/>
              <w:b w:val="0"/>
              <w:bCs w:val="0"/>
              <w:sz w:val="28"/>
              <w:szCs w:val="28"/>
            </w:rPr>
          </w:pPr>
          <w:hyperlink w:anchor="_Toc5984336" w:history="1">
            <w:r w:rsidRPr="00714CE6">
              <w:rPr>
                <w:rStyle w:val="Hyperlink"/>
                <w:b w:val="0"/>
                <w:bCs w:val="0"/>
                <w:sz w:val="28"/>
                <w:szCs w:val="28"/>
                <w:rtl/>
              </w:rPr>
              <w:t>גורמים חברתיים לאלימות ופשיעה בחברה הערבית</w:t>
            </w:r>
            <w:r w:rsidRPr="00714CE6">
              <w:rPr>
                <w:b w:val="0"/>
                <w:bCs w:val="0"/>
                <w:webHidden/>
                <w:sz w:val="28"/>
                <w:szCs w:val="28"/>
              </w:rPr>
              <w:tab/>
            </w:r>
            <w:r w:rsidRPr="00714CE6">
              <w:rPr>
                <w:rStyle w:val="Hyperlink"/>
                <w:b w:val="0"/>
                <w:bCs w:val="0"/>
                <w:sz w:val="28"/>
                <w:szCs w:val="28"/>
                <w:rtl/>
              </w:rPr>
              <w:fldChar w:fldCharType="begin"/>
            </w:r>
            <w:r w:rsidRPr="00714CE6">
              <w:rPr>
                <w:b w:val="0"/>
                <w:bCs w:val="0"/>
                <w:webHidden/>
                <w:sz w:val="28"/>
                <w:szCs w:val="28"/>
              </w:rPr>
              <w:instrText xml:space="preserve"> PAGEREF _Toc5984336 \h </w:instrText>
            </w:r>
            <w:r w:rsidRPr="00714CE6">
              <w:rPr>
                <w:rStyle w:val="Hyperlink"/>
                <w:b w:val="0"/>
                <w:bCs w:val="0"/>
                <w:sz w:val="28"/>
                <w:szCs w:val="28"/>
                <w:rtl/>
              </w:rPr>
            </w:r>
            <w:r w:rsidRPr="00714CE6">
              <w:rPr>
                <w:rStyle w:val="Hyperlink"/>
                <w:b w:val="0"/>
                <w:bCs w:val="0"/>
                <w:sz w:val="28"/>
                <w:szCs w:val="28"/>
                <w:rtl/>
              </w:rPr>
              <w:fldChar w:fldCharType="separate"/>
            </w:r>
            <w:r w:rsidR="001E776F">
              <w:rPr>
                <w:b w:val="0"/>
                <w:bCs w:val="0"/>
                <w:webHidden/>
                <w:sz w:val="28"/>
                <w:szCs w:val="28"/>
                <w:rtl/>
              </w:rPr>
              <w:t>6</w:t>
            </w:r>
            <w:r w:rsidRPr="00714CE6">
              <w:rPr>
                <w:rStyle w:val="Hyperlink"/>
                <w:b w:val="0"/>
                <w:bCs w:val="0"/>
                <w:sz w:val="28"/>
                <w:szCs w:val="28"/>
                <w:rtl/>
              </w:rPr>
              <w:fldChar w:fldCharType="end"/>
            </w:r>
          </w:hyperlink>
        </w:p>
        <w:p w:rsidR="00714CE6" w:rsidRPr="00714CE6" w:rsidRDefault="00714CE6" w:rsidP="00714CE6">
          <w:pPr>
            <w:pStyle w:val="TOC1"/>
            <w:spacing w:line="360" w:lineRule="auto"/>
            <w:rPr>
              <w:rFonts w:asciiTheme="minorHAnsi" w:eastAsiaTheme="minorEastAsia" w:hAnsiTheme="minorHAnsi" w:cstheme="minorBidi"/>
              <w:b w:val="0"/>
              <w:bCs w:val="0"/>
              <w:sz w:val="28"/>
              <w:szCs w:val="28"/>
            </w:rPr>
          </w:pPr>
          <w:hyperlink w:anchor="_Toc5984337" w:history="1">
            <w:r w:rsidRPr="00714CE6">
              <w:rPr>
                <w:rStyle w:val="Hyperlink"/>
                <w:b w:val="0"/>
                <w:bCs w:val="0"/>
                <w:sz w:val="28"/>
                <w:szCs w:val="28"/>
                <w:rtl/>
              </w:rPr>
              <w:t>גורמים הכלכליים</w:t>
            </w:r>
            <w:r w:rsidRPr="00714CE6">
              <w:rPr>
                <w:b w:val="0"/>
                <w:bCs w:val="0"/>
                <w:webHidden/>
                <w:sz w:val="28"/>
                <w:szCs w:val="28"/>
              </w:rPr>
              <w:tab/>
            </w:r>
            <w:r w:rsidRPr="00714CE6">
              <w:rPr>
                <w:rStyle w:val="Hyperlink"/>
                <w:b w:val="0"/>
                <w:bCs w:val="0"/>
                <w:sz w:val="28"/>
                <w:szCs w:val="28"/>
                <w:rtl/>
              </w:rPr>
              <w:fldChar w:fldCharType="begin"/>
            </w:r>
            <w:r w:rsidRPr="00714CE6">
              <w:rPr>
                <w:b w:val="0"/>
                <w:bCs w:val="0"/>
                <w:webHidden/>
                <w:sz w:val="28"/>
                <w:szCs w:val="28"/>
              </w:rPr>
              <w:instrText xml:space="preserve"> PAGEREF _Toc5984337 \h </w:instrText>
            </w:r>
            <w:r w:rsidRPr="00714CE6">
              <w:rPr>
                <w:rStyle w:val="Hyperlink"/>
                <w:b w:val="0"/>
                <w:bCs w:val="0"/>
                <w:sz w:val="28"/>
                <w:szCs w:val="28"/>
                <w:rtl/>
              </w:rPr>
            </w:r>
            <w:r w:rsidRPr="00714CE6">
              <w:rPr>
                <w:rStyle w:val="Hyperlink"/>
                <w:b w:val="0"/>
                <w:bCs w:val="0"/>
                <w:sz w:val="28"/>
                <w:szCs w:val="28"/>
                <w:rtl/>
              </w:rPr>
              <w:fldChar w:fldCharType="separate"/>
            </w:r>
            <w:r w:rsidR="001E776F">
              <w:rPr>
                <w:b w:val="0"/>
                <w:bCs w:val="0"/>
                <w:webHidden/>
                <w:sz w:val="28"/>
                <w:szCs w:val="28"/>
                <w:rtl/>
              </w:rPr>
              <w:t>10</w:t>
            </w:r>
            <w:r w:rsidRPr="00714CE6">
              <w:rPr>
                <w:rStyle w:val="Hyperlink"/>
                <w:b w:val="0"/>
                <w:bCs w:val="0"/>
                <w:sz w:val="28"/>
                <w:szCs w:val="28"/>
                <w:rtl/>
              </w:rPr>
              <w:fldChar w:fldCharType="end"/>
            </w:r>
          </w:hyperlink>
        </w:p>
        <w:p w:rsidR="00714CE6" w:rsidRPr="00714CE6" w:rsidRDefault="00714CE6" w:rsidP="00714CE6">
          <w:pPr>
            <w:pStyle w:val="TOC1"/>
            <w:spacing w:line="360" w:lineRule="auto"/>
            <w:rPr>
              <w:rFonts w:asciiTheme="minorHAnsi" w:eastAsiaTheme="minorEastAsia" w:hAnsiTheme="minorHAnsi" w:cstheme="minorBidi"/>
              <w:b w:val="0"/>
              <w:bCs w:val="0"/>
              <w:sz w:val="28"/>
              <w:szCs w:val="28"/>
            </w:rPr>
          </w:pPr>
          <w:hyperlink w:anchor="_Toc5984338" w:history="1">
            <w:r w:rsidRPr="00714CE6">
              <w:rPr>
                <w:rStyle w:val="Hyperlink"/>
                <w:b w:val="0"/>
                <w:bCs w:val="0"/>
                <w:sz w:val="28"/>
                <w:szCs w:val="28"/>
                <w:rtl/>
              </w:rPr>
              <w:t>השפעת השלטון המקומי על התפתחות הפשיעה</w:t>
            </w:r>
            <w:r w:rsidRPr="00714CE6">
              <w:rPr>
                <w:b w:val="0"/>
                <w:bCs w:val="0"/>
                <w:webHidden/>
                <w:sz w:val="28"/>
                <w:szCs w:val="28"/>
              </w:rPr>
              <w:tab/>
            </w:r>
            <w:r w:rsidRPr="00714CE6">
              <w:rPr>
                <w:rStyle w:val="Hyperlink"/>
                <w:b w:val="0"/>
                <w:bCs w:val="0"/>
                <w:sz w:val="28"/>
                <w:szCs w:val="28"/>
                <w:rtl/>
              </w:rPr>
              <w:fldChar w:fldCharType="begin"/>
            </w:r>
            <w:r w:rsidRPr="00714CE6">
              <w:rPr>
                <w:b w:val="0"/>
                <w:bCs w:val="0"/>
                <w:webHidden/>
                <w:sz w:val="28"/>
                <w:szCs w:val="28"/>
              </w:rPr>
              <w:instrText xml:space="preserve"> PAGEREF _Toc5984338 \h </w:instrText>
            </w:r>
            <w:r w:rsidRPr="00714CE6">
              <w:rPr>
                <w:rStyle w:val="Hyperlink"/>
                <w:b w:val="0"/>
                <w:bCs w:val="0"/>
                <w:sz w:val="28"/>
                <w:szCs w:val="28"/>
                <w:rtl/>
              </w:rPr>
            </w:r>
            <w:r w:rsidRPr="00714CE6">
              <w:rPr>
                <w:rStyle w:val="Hyperlink"/>
                <w:b w:val="0"/>
                <w:bCs w:val="0"/>
                <w:sz w:val="28"/>
                <w:szCs w:val="28"/>
                <w:rtl/>
              </w:rPr>
              <w:fldChar w:fldCharType="separate"/>
            </w:r>
            <w:r w:rsidR="001E776F">
              <w:rPr>
                <w:b w:val="0"/>
                <w:bCs w:val="0"/>
                <w:webHidden/>
                <w:sz w:val="28"/>
                <w:szCs w:val="28"/>
                <w:rtl/>
              </w:rPr>
              <w:t>12</w:t>
            </w:r>
            <w:r w:rsidRPr="00714CE6">
              <w:rPr>
                <w:rStyle w:val="Hyperlink"/>
                <w:b w:val="0"/>
                <w:bCs w:val="0"/>
                <w:sz w:val="28"/>
                <w:szCs w:val="28"/>
                <w:rtl/>
              </w:rPr>
              <w:fldChar w:fldCharType="end"/>
            </w:r>
          </w:hyperlink>
        </w:p>
        <w:p w:rsidR="00714CE6" w:rsidRPr="00714CE6" w:rsidRDefault="00714CE6" w:rsidP="00714CE6">
          <w:pPr>
            <w:pStyle w:val="TOC1"/>
            <w:spacing w:line="360" w:lineRule="auto"/>
            <w:rPr>
              <w:rFonts w:asciiTheme="minorHAnsi" w:eastAsiaTheme="minorEastAsia" w:hAnsiTheme="minorHAnsi" w:cstheme="minorBidi"/>
              <w:b w:val="0"/>
              <w:bCs w:val="0"/>
              <w:sz w:val="28"/>
              <w:szCs w:val="28"/>
            </w:rPr>
          </w:pPr>
          <w:hyperlink w:anchor="_Toc5984339" w:history="1">
            <w:r w:rsidRPr="00714CE6">
              <w:rPr>
                <w:rStyle w:val="Hyperlink"/>
                <w:b w:val="0"/>
                <w:bCs w:val="0"/>
                <w:sz w:val="28"/>
                <w:szCs w:val="28"/>
                <w:rtl/>
              </w:rPr>
              <w:t>נקודת המבט של ההנהגה והאינטלקטואלים הערביים</w:t>
            </w:r>
            <w:r w:rsidRPr="00714CE6">
              <w:rPr>
                <w:b w:val="0"/>
                <w:bCs w:val="0"/>
                <w:webHidden/>
                <w:sz w:val="28"/>
                <w:szCs w:val="28"/>
              </w:rPr>
              <w:tab/>
            </w:r>
            <w:r w:rsidRPr="00714CE6">
              <w:rPr>
                <w:rStyle w:val="Hyperlink"/>
                <w:b w:val="0"/>
                <w:bCs w:val="0"/>
                <w:sz w:val="28"/>
                <w:szCs w:val="28"/>
                <w:rtl/>
              </w:rPr>
              <w:fldChar w:fldCharType="begin"/>
            </w:r>
            <w:r w:rsidRPr="00714CE6">
              <w:rPr>
                <w:b w:val="0"/>
                <w:bCs w:val="0"/>
                <w:webHidden/>
                <w:sz w:val="28"/>
                <w:szCs w:val="28"/>
              </w:rPr>
              <w:instrText xml:space="preserve"> PAGEREF _Toc5984339 \h </w:instrText>
            </w:r>
            <w:r w:rsidRPr="00714CE6">
              <w:rPr>
                <w:rStyle w:val="Hyperlink"/>
                <w:b w:val="0"/>
                <w:bCs w:val="0"/>
                <w:sz w:val="28"/>
                <w:szCs w:val="28"/>
                <w:rtl/>
              </w:rPr>
            </w:r>
            <w:r w:rsidRPr="00714CE6">
              <w:rPr>
                <w:rStyle w:val="Hyperlink"/>
                <w:b w:val="0"/>
                <w:bCs w:val="0"/>
                <w:sz w:val="28"/>
                <w:szCs w:val="28"/>
                <w:rtl/>
              </w:rPr>
              <w:fldChar w:fldCharType="separate"/>
            </w:r>
            <w:r w:rsidR="001E776F">
              <w:rPr>
                <w:b w:val="0"/>
                <w:bCs w:val="0"/>
                <w:webHidden/>
                <w:sz w:val="28"/>
                <w:szCs w:val="28"/>
                <w:rtl/>
              </w:rPr>
              <w:t>13</w:t>
            </w:r>
            <w:r w:rsidRPr="00714CE6">
              <w:rPr>
                <w:rStyle w:val="Hyperlink"/>
                <w:b w:val="0"/>
                <w:bCs w:val="0"/>
                <w:sz w:val="28"/>
                <w:szCs w:val="28"/>
                <w:rtl/>
              </w:rPr>
              <w:fldChar w:fldCharType="end"/>
            </w:r>
          </w:hyperlink>
        </w:p>
        <w:p w:rsidR="00714CE6" w:rsidRPr="00714CE6" w:rsidRDefault="00714CE6" w:rsidP="00714CE6">
          <w:pPr>
            <w:pStyle w:val="TOC1"/>
            <w:spacing w:line="360" w:lineRule="auto"/>
            <w:rPr>
              <w:rFonts w:asciiTheme="minorHAnsi" w:eastAsiaTheme="minorEastAsia" w:hAnsiTheme="minorHAnsi" w:cstheme="minorBidi"/>
              <w:b w:val="0"/>
              <w:bCs w:val="0"/>
              <w:sz w:val="28"/>
              <w:szCs w:val="28"/>
            </w:rPr>
          </w:pPr>
          <w:hyperlink w:anchor="_Toc5984340" w:history="1">
            <w:r w:rsidRPr="00714CE6">
              <w:rPr>
                <w:rStyle w:val="Hyperlink"/>
                <w:b w:val="0"/>
                <w:bCs w:val="0"/>
                <w:sz w:val="28"/>
                <w:szCs w:val="28"/>
                <w:rtl/>
              </w:rPr>
              <w:t>בעיית המשילות במגזר הערבי וההשפעה על הפשיעה</w:t>
            </w:r>
            <w:r w:rsidRPr="00714CE6">
              <w:rPr>
                <w:b w:val="0"/>
                <w:bCs w:val="0"/>
                <w:webHidden/>
                <w:sz w:val="28"/>
                <w:szCs w:val="28"/>
              </w:rPr>
              <w:tab/>
            </w:r>
            <w:r w:rsidRPr="00714CE6">
              <w:rPr>
                <w:rStyle w:val="Hyperlink"/>
                <w:b w:val="0"/>
                <w:bCs w:val="0"/>
                <w:sz w:val="28"/>
                <w:szCs w:val="28"/>
                <w:rtl/>
              </w:rPr>
              <w:fldChar w:fldCharType="begin"/>
            </w:r>
            <w:r w:rsidRPr="00714CE6">
              <w:rPr>
                <w:b w:val="0"/>
                <w:bCs w:val="0"/>
                <w:webHidden/>
                <w:sz w:val="28"/>
                <w:szCs w:val="28"/>
              </w:rPr>
              <w:instrText xml:space="preserve"> PAGEREF _Toc5984340 \h </w:instrText>
            </w:r>
            <w:r w:rsidRPr="00714CE6">
              <w:rPr>
                <w:rStyle w:val="Hyperlink"/>
                <w:b w:val="0"/>
                <w:bCs w:val="0"/>
                <w:sz w:val="28"/>
                <w:szCs w:val="28"/>
                <w:rtl/>
              </w:rPr>
            </w:r>
            <w:r w:rsidRPr="00714CE6">
              <w:rPr>
                <w:rStyle w:val="Hyperlink"/>
                <w:b w:val="0"/>
                <w:bCs w:val="0"/>
                <w:sz w:val="28"/>
                <w:szCs w:val="28"/>
                <w:rtl/>
              </w:rPr>
              <w:fldChar w:fldCharType="separate"/>
            </w:r>
            <w:r w:rsidR="001E776F">
              <w:rPr>
                <w:b w:val="0"/>
                <w:bCs w:val="0"/>
                <w:webHidden/>
                <w:sz w:val="28"/>
                <w:szCs w:val="28"/>
                <w:rtl/>
              </w:rPr>
              <w:t>14</w:t>
            </w:r>
            <w:r w:rsidRPr="00714CE6">
              <w:rPr>
                <w:rStyle w:val="Hyperlink"/>
                <w:b w:val="0"/>
                <w:bCs w:val="0"/>
                <w:sz w:val="28"/>
                <w:szCs w:val="28"/>
                <w:rtl/>
              </w:rPr>
              <w:fldChar w:fldCharType="end"/>
            </w:r>
          </w:hyperlink>
        </w:p>
        <w:p w:rsidR="00714CE6" w:rsidRPr="00714CE6" w:rsidRDefault="00714CE6" w:rsidP="00714CE6">
          <w:pPr>
            <w:pStyle w:val="TOC1"/>
            <w:spacing w:line="360" w:lineRule="auto"/>
            <w:rPr>
              <w:rFonts w:asciiTheme="minorHAnsi" w:eastAsiaTheme="minorEastAsia" w:hAnsiTheme="minorHAnsi" w:cstheme="minorBidi"/>
              <w:b w:val="0"/>
              <w:bCs w:val="0"/>
              <w:sz w:val="28"/>
              <w:szCs w:val="28"/>
            </w:rPr>
          </w:pPr>
          <w:hyperlink w:anchor="_Toc5984341" w:history="1">
            <w:r w:rsidRPr="00714CE6">
              <w:rPr>
                <w:rStyle w:val="Hyperlink"/>
                <w:b w:val="0"/>
                <w:bCs w:val="0"/>
                <w:sz w:val="28"/>
                <w:szCs w:val="28"/>
                <w:rtl/>
              </w:rPr>
              <w:t>תחושת הביטחון האישי, האמון במשטרה והציות לחוק בחברה הערבית</w:t>
            </w:r>
            <w:r w:rsidRPr="00714CE6">
              <w:rPr>
                <w:b w:val="0"/>
                <w:bCs w:val="0"/>
                <w:webHidden/>
                <w:sz w:val="28"/>
                <w:szCs w:val="28"/>
              </w:rPr>
              <w:tab/>
            </w:r>
            <w:r w:rsidRPr="00714CE6">
              <w:rPr>
                <w:rStyle w:val="Hyperlink"/>
                <w:b w:val="0"/>
                <w:bCs w:val="0"/>
                <w:sz w:val="28"/>
                <w:szCs w:val="28"/>
                <w:rtl/>
              </w:rPr>
              <w:fldChar w:fldCharType="begin"/>
            </w:r>
            <w:r w:rsidRPr="00714CE6">
              <w:rPr>
                <w:b w:val="0"/>
                <w:bCs w:val="0"/>
                <w:webHidden/>
                <w:sz w:val="28"/>
                <w:szCs w:val="28"/>
              </w:rPr>
              <w:instrText xml:space="preserve"> PAGEREF _Toc5984341 \h </w:instrText>
            </w:r>
            <w:r w:rsidRPr="00714CE6">
              <w:rPr>
                <w:rStyle w:val="Hyperlink"/>
                <w:b w:val="0"/>
                <w:bCs w:val="0"/>
                <w:sz w:val="28"/>
                <w:szCs w:val="28"/>
                <w:rtl/>
              </w:rPr>
            </w:r>
            <w:r w:rsidRPr="00714CE6">
              <w:rPr>
                <w:rStyle w:val="Hyperlink"/>
                <w:b w:val="0"/>
                <w:bCs w:val="0"/>
                <w:sz w:val="28"/>
                <w:szCs w:val="28"/>
                <w:rtl/>
              </w:rPr>
              <w:fldChar w:fldCharType="separate"/>
            </w:r>
            <w:r w:rsidR="001E776F">
              <w:rPr>
                <w:b w:val="0"/>
                <w:bCs w:val="0"/>
                <w:webHidden/>
                <w:sz w:val="28"/>
                <w:szCs w:val="28"/>
                <w:rtl/>
              </w:rPr>
              <w:t>16</w:t>
            </w:r>
            <w:r w:rsidRPr="00714CE6">
              <w:rPr>
                <w:rStyle w:val="Hyperlink"/>
                <w:b w:val="0"/>
                <w:bCs w:val="0"/>
                <w:sz w:val="28"/>
                <w:szCs w:val="28"/>
                <w:rtl/>
              </w:rPr>
              <w:fldChar w:fldCharType="end"/>
            </w:r>
          </w:hyperlink>
        </w:p>
        <w:p w:rsidR="00714CE6" w:rsidRPr="00714CE6" w:rsidRDefault="00714CE6" w:rsidP="00714CE6">
          <w:pPr>
            <w:pStyle w:val="TOC1"/>
            <w:spacing w:line="360" w:lineRule="auto"/>
            <w:rPr>
              <w:rFonts w:asciiTheme="minorHAnsi" w:eastAsiaTheme="minorEastAsia" w:hAnsiTheme="minorHAnsi" w:cstheme="minorBidi"/>
              <w:b w:val="0"/>
              <w:bCs w:val="0"/>
              <w:sz w:val="28"/>
              <w:szCs w:val="28"/>
            </w:rPr>
          </w:pPr>
          <w:hyperlink w:anchor="_Toc5984342" w:history="1">
            <w:r w:rsidRPr="00714CE6">
              <w:rPr>
                <w:rStyle w:val="Hyperlink"/>
                <w:b w:val="0"/>
                <w:bCs w:val="0"/>
                <w:sz w:val="28"/>
                <w:szCs w:val="28"/>
                <w:rtl/>
              </w:rPr>
              <w:t>ארגוני הפשיעה הערביים</w:t>
            </w:r>
            <w:r w:rsidRPr="00714CE6">
              <w:rPr>
                <w:b w:val="0"/>
                <w:bCs w:val="0"/>
                <w:webHidden/>
                <w:sz w:val="28"/>
                <w:szCs w:val="28"/>
              </w:rPr>
              <w:tab/>
            </w:r>
            <w:r w:rsidRPr="00714CE6">
              <w:rPr>
                <w:rStyle w:val="Hyperlink"/>
                <w:b w:val="0"/>
                <w:bCs w:val="0"/>
                <w:sz w:val="28"/>
                <w:szCs w:val="28"/>
                <w:rtl/>
              </w:rPr>
              <w:fldChar w:fldCharType="begin"/>
            </w:r>
            <w:r w:rsidRPr="00714CE6">
              <w:rPr>
                <w:b w:val="0"/>
                <w:bCs w:val="0"/>
                <w:webHidden/>
                <w:sz w:val="28"/>
                <w:szCs w:val="28"/>
              </w:rPr>
              <w:instrText xml:space="preserve"> PAGEREF _Toc5984342 \h </w:instrText>
            </w:r>
            <w:r w:rsidRPr="00714CE6">
              <w:rPr>
                <w:rStyle w:val="Hyperlink"/>
                <w:b w:val="0"/>
                <w:bCs w:val="0"/>
                <w:sz w:val="28"/>
                <w:szCs w:val="28"/>
                <w:rtl/>
              </w:rPr>
            </w:r>
            <w:r w:rsidRPr="00714CE6">
              <w:rPr>
                <w:rStyle w:val="Hyperlink"/>
                <w:b w:val="0"/>
                <w:bCs w:val="0"/>
                <w:sz w:val="28"/>
                <w:szCs w:val="28"/>
                <w:rtl/>
              </w:rPr>
              <w:fldChar w:fldCharType="separate"/>
            </w:r>
            <w:r w:rsidR="001E776F">
              <w:rPr>
                <w:b w:val="0"/>
                <w:bCs w:val="0"/>
                <w:webHidden/>
                <w:sz w:val="28"/>
                <w:szCs w:val="28"/>
                <w:rtl/>
              </w:rPr>
              <w:t>18</w:t>
            </w:r>
            <w:r w:rsidRPr="00714CE6">
              <w:rPr>
                <w:rStyle w:val="Hyperlink"/>
                <w:b w:val="0"/>
                <w:bCs w:val="0"/>
                <w:sz w:val="28"/>
                <w:szCs w:val="28"/>
                <w:rtl/>
              </w:rPr>
              <w:fldChar w:fldCharType="end"/>
            </w:r>
          </w:hyperlink>
        </w:p>
        <w:p w:rsidR="00714CE6" w:rsidRPr="00714CE6" w:rsidRDefault="00714CE6" w:rsidP="00714CE6">
          <w:pPr>
            <w:pStyle w:val="TOC1"/>
            <w:spacing w:line="360" w:lineRule="auto"/>
            <w:rPr>
              <w:rFonts w:asciiTheme="minorHAnsi" w:eastAsiaTheme="minorEastAsia" w:hAnsiTheme="minorHAnsi" w:cstheme="minorBidi"/>
              <w:b w:val="0"/>
              <w:bCs w:val="0"/>
              <w:sz w:val="28"/>
              <w:szCs w:val="28"/>
            </w:rPr>
          </w:pPr>
          <w:hyperlink w:anchor="_Toc5984343" w:history="1">
            <w:r w:rsidRPr="00714CE6">
              <w:rPr>
                <w:rStyle w:val="Hyperlink"/>
                <w:b w:val="0"/>
                <w:bCs w:val="0"/>
                <w:sz w:val="28"/>
                <w:szCs w:val="28"/>
                <w:rtl/>
              </w:rPr>
              <w:t>עבריינות כלכלית כמנוע מרכזי לפשיעה חמורה בחברה הערבית</w:t>
            </w:r>
            <w:r w:rsidRPr="00714CE6">
              <w:rPr>
                <w:b w:val="0"/>
                <w:bCs w:val="0"/>
                <w:webHidden/>
                <w:sz w:val="28"/>
                <w:szCs w:val="28"/>
              </w:rPr>
              <w:tab/>
            </w:r>
            <w:r w:rsidRPr="00714CE6">
              <w:rPr>
                <w:rStyle w:val="Hyperlink"/>
                <w:b w:val="0"/>
                <w:bCs w:val="0"/>
                <w:sz w:val="28"/>
                <w:szCs w:val="28"/>
                <w:rtl/>
              </w:rPr>
              <w:fldChar w:fldCharType="begin"/>
            </w:r>
            <w:r w:rsidRPr="00714CE6">
              <w:rPr>
                <w:b w:val="0"/>
                <w:bCs w:val="0"/>
                <w:webHidden/>
                <w:sz w:val="28"/>
                <w:szCs w:val="28"/>
              </w:rPr>
              <w:instrText xml:space="preserve"> PAGEREF _Toc5984343 \h </w:instrText>
            </w:r>
            <w:r w:rsidRPr="00714CE6">
              <w:rPr>
                <w:rStyle w:val="Hyperlink"/>
                <w:b w:val="0"/>
                <w:bCs w:val="0"/>
                <w:sz w:val="28"/>
                <w:szCs w:val="28"/>
                <w:rtl/>
              </w:rPr>
            </w:r>
            <w:r w:rsidRPr="00714CE6">
              <w:rPr>
                <w:rStyle w:val="Hyperlink"/>
                <w:b w:val="0"/>
                <w:bCs w:val="0"/>
                <w:sz w:val="28"/>
                <w:szCs w:val="28"/>
                <w:rtl/>
              </w:rPr>
              <w:fldChar w:fldCharType="separate"/>
            </w:r>
            <w:r w:rsidR="001E776F">
              <w:rPr>
                <w:b w:val="0"/>
                <w:bCs w:val="0"/>
                <w:webHidden/>
                <w:sz w:val="28"/>
                <w:szCs w:val="28"/>
                <w:rtl/>
              </w:rPr>
              <w:t>19</w:t>
            </w:r>
            <w:r w:rsidRPr="00714CE6">
              <w:rPr>
                <w:rStyle w:val="Hyperlink"/>
                <w:b w:val="0"/>
                <w:bCs w:val="0"/>
                <w:sz w:val="28"/>
                <w:szCs w:val="28"/>
                <w:rtl/>
              </w:rPr>
              <w:fldChar w:fldCharType="end"/>
            </w:r>
          </w:hyperlink>
        </w:p>
        <w:p w:rsidR="00714CE6" w:rsidRPr="00714CE6" w:rsidRDefault="00714CE6" w:rsidP="00714CE6">
          <w:pPr>
            <w:pStyle w:val="TOC1"/>
            <w:spacing w:line="360" w:lineRule="auto"/>
            <w:rPr>
              <w:rFonts w:asciiTheme="minorHAnsi" w:eastAsiaTheme="minorEastAsia" w:hAnsiTheme="minorHAnsi" w:cstheme="minorBidi"/>
              <w:b w:val="0"/>
              <w:bCs w:val="0"/>
              <w:sz w:val="28"/>
              <w:szCs w:val="28"/>
            </w:rPr>
          </w:pPr>
          <w:hyperlink w:anchor="_Toc5984344" w:history="1">
            <w:r w:rsidRPr="00714CE6">
              <w:rPr>
                <w:rStyle w:val="Hyperlink"/>
                <w:b w:val="0"/>
                <w:bCs w:val="0"/>
                <w:sz w:val="28"/>
                <w:szCs w:val="28"/>
                <w:shd w:val="clear" w:color="auto" w:fill="FFFFFF"/>
                <w:rtl/>
              </w:rPr>
              <w:t>סיכום</w:t>
            </w:r>
            <w:r w:rsidRPr="00714CE6">
              <w:rPr>
                <w:b w:val="0"/>
                <w:bCs w:val="0"/>
                <w:webHidden/>
                <w:sz w:val="28"/>
                <w:szCs w:val="28"/>
              </w:rPr>
              <w:tab/>
            </w:r>
            <w:r w:rsidRPr="00714CE6">
              <w:rPr>
                <w:rStyle w:val="Hyperlink"/>
                <w:b w:val="0"/>
                <w:bCs w:val="0"/>
                <w:sz w:val="28"/>
                <w:szCs w:val="28"/>
                <w:rtl/>
              </w:rPr>
              <w:fldChar w:fldCharType="begin"/>
            </w:r>
            <w:r w:rsidRPr="00714CE6">
              <w:rPr>
                <w:b w:val="0"/>
                <w:bCs w:val="0"/>
                <w:webHidden/>
                <w:sz w:val="28"/>
                <w:szCs w:val="28"/>
              </w:rPr>
              <w:instrText xml:space="preserve"> PAGEREF _Toc5984344 \h </w:instrText>
            </w:r>
            <w:r w:rsidRPr="00714CE6">
              <w:rPr>
                <w:rStyle w:val="Hyperlink"/>
                <w:b w:val="0"/>
                <w:bCs w:val="0"/>
                <w:sz w:val="28"/>
                <w:szCs w:val="28"/>
                <w:rtl/>
              </w:rPr>
            </w:r>
            <w:r w:rsidRPr="00714CE6">
              <w:rPr>
                <w:rStyle w:val="Hyperlink"/>
                <w:b w:val="0"/>
                <w:bCs w:val="0"/>
                <w:sz w:val="28"/>
                <w:szCs w:val="28"/>
                <w:rtl/>
              </w:rPr>
              <w:fldChar w:fldCharType="separate"/>
            </w:r>
            <w:r w:rsidR="001E776F">
              <w:rPr>
                <w:b w:val="0"/>
                <w:bCs w:val="0"/>
                <w:webHidden/>
                <w:sz w:val="28"/>
                <w:szCs w:val="28"/>
                <w:rtl/>
              </w:rPr>
              <w:t>21</w:t>
            </w:r>
            <w:r w:rsidRPr="00714CE6">
              <w:rPr>
                <w:rStyle w:val="Hyperlink"/>
                <w:b w:val="0"/>
                <w:bCs w:val="0"/>
                <w:sz w:val="28"/>
                <w:szCs w:val="28"/>
                <w:rtl/>
              </w:rPr>
              <w:fldChar w:fldCharType="end"/>
            </w:r>
          </w:hyperlink>
        </w:p>
        <w:p w:rsidR="00714CE6" w:rsidRPr="00714CE6" w:rsidRDefault="00714CE6" w:rsidP="00714CE6">
          <w:pPr>
            <w:pStyle w:val="TOC1"/>
            <w:spacing w:line="360" w:lineRule="auto"/>
            <w:rPr>
              <w:rFonts w:asciiTheme="minorHAnsi" w:eastAsiaTheme="minorEastAsia" w:hAnsiTheme="minorHAnsi" w:cstheme="minorBidi"/>
              <w:b w:val="0"/>
              <w:bCs w:val="0"/>
              <w:sz w:val="28"/>
              <w:szCs w:val="28"/>
            </w:rPr>
          </w:pPr>
          <w:hyperlink w:anchor="_Toc5984345" w:history="1">
            <w:r w:rsidRPr="00714CE6">
              <w:rPr>
                <w:rStyle w:val="Hyperlink"/>
                <w:b w:val="0"/>
                <w:bCs w:val="0"/>
                <w:sz w:val="28"/>
                <w:szCs w:val="28"/>
                <w:rtl/>
                <w:lang w:val="he-IL"/>
              </w:rPr>
              <w:t>ביבליוגרפיה</w:t>
            </w:r>
            <w:r w:rsidRPr="00714CE6">
              <w:rPr>
                <w:b w:val="0"/>
                <w:bCs w:val="0"/>
                <w:webHidden/>
                <w:sz w:val="28"/>
                <w:szCs w:val="28"/>
              </w:rPr>
              <w:tab/>
            </w:r>
            <w:r w:rsidRPr="00714CE6">
              <w:rPr>
                <w:rStyle w:val="Hyperlink"/>
                <w:b w:val="0"/>
                <w:bCs w:val="0"/>
                <w:sz w:val="28"/>
                <w:szCs w:val="28"/>
                <w:rtl/>
              </w:rPr>
              <w:fldChar w:fldCharType="begin"/>
            </w:r>
            <w:r w:rsidRPr="00714CE6">
              <w:rPr>
                <w:b w:val="0"/>
                <w:bCs w:val="0"/>
                <w:webHidden/>
                <w:sz w:val="28"/>
                <w:szCs w:val="28"/>
              </w:rPr>
              <w:instrText xml:space="preserve"> PAGEREF _Toc5984345 \h </w:instrText>
            </w:r>
            <w:r w:rsidRPr="00714CE6">
              <w:rPr>
                <w:rStyle w:val="Hyperlink"/>
                <w:b w:val="0"/>
                <w:bCs w:val="0"/>
                <w:sz w:val="28"/>
                <w:szCs w:val="28"/>
                <w:rtl/>
              </w:rPr>
            </w:r>
            <w:r w:rsidRPr="00714CE6">
              <w:rPr>
                <w:rStyle w:val="Hyperlink"/>
                <w:b w:val="0"/>
                <w:bCs w:val="0"/>
                <w:sz w:val="28"/>
                <w:szCs w:val="28"/>
                <w:rtl/>
              </w:rPr>
              <w:fldChar w:fldCharType="separate"/>
            </w:r>
            <w:r w:rsidR="001E776F">
              <w:rPr>
                <w:b w:val="0"/>
                <w:bCs w:val="0"/>
                <w:webHidden/>
                <w:sz w:val="28"/>
                <w:szCs w:val="28"/>
                <w:rtl/>
              </w:rPr>
              <w:t>22</w:t>
            </w:r>
            <w:r w:rsidRPr="00714CE6">
              <w:rPr>
                <w:rStyle w:val="Hyperlink"/>
                <w:b w:val="0"/>
                <w:bCs w:val="0"/>
                <w:sz w:val="28"/>
                <w:szCs w:val="28"/>
                <w:rtl/>
              </w:rPr>
              <w:fldChar w:fldCharType="end"/>
            </w:r>
          </w:hyperlink>
        </w:p>
        <w:p w:rsidR="00714CE6" w:rsidRDefault="00714CE6" w:rsidP="00714CE6">
          <w:pPr>
            <w:bidi/>
            <w:spacing w:line="360" w:lineRule="auto"/>
          </w:pPr>
          <w:r w:rsidRPr="00714CE6">
            <w:rPr>
              <w:sz w:val="28"/>
              <w:szCs w:val="28"/>
            </w:rPr>
            <w:fldChar w:fldCharType="end"/>
          </w:r>
        </w:p>
      </w:sdtContent>
    </w:sdt>
    <w:p w:rsidR="002725AA" w:rsidRDefault="002725AA" w:rsidP="002725AA">
      <w:pPr>
        <w:pStyle w:val="1"/>
        <w:bidi/>
        <w:rPr>
          <w:rFonts w:ascii="David" w:hAnsi="David" w:cs="David" w:hint="cs"/>
          <w:rtl/>
        </w:rPr>
      </w:pPr>
      <w:bookmarkStart w:id="1" w:name="_Toc4948716"/>
      <w:bookmarkStart w:id="2" w:name="_Toc4950567"/>
      <w:bookmarkStart w:id="3" w:name="_Toc5984334"/>
    </w:p>
    <w:p w:rsidR="002725AA" w:rsidRDefault="002725AA" w:rsidP="002725AA">
      <w:pPr>
        <w:bidi/>
        <w:rPr>
          <w:rFonts w:hint="cs"/>
          <w:rtl/>
        </w:rPr>
      </w:pPr>
    </w:p>
    <w:p w:rsidR="002725AA" w:rsidRPr="002725AA" w:rsidRDefault="002725AA" w:rsidP="002725AA">
      <w:pPr>
        <w:bidi/>
        <w:rPr>
          <w:rFonts w:hint="cs"/>
          <w:rtl/>
        </w:rPr>
      </w:pPr>
    </w:p>
    <w:p w:rsidR="002725AA" w:rsidRDefault="002725AA" w:rsidP="002725AA">
      <w:pPr>
        <w:pStyle w:val="1"/>
        <w:bidi/>
        <w:rPr>
          <w:rFonts w:ascii="David" w:hAnsi="David" w:cs="David" w:hint="cs"/>
          <w:rtl/>
        </w:rPr>
      </w:pPr>
    </w:p>
    <w:p w:rsidR="002725AA" w:rsidRDefault="002725AA" w:rsidP="002725AA">
      <w:pPr>
        <w:bidi/>
        <w:rPr>
          <w:rFonts w:hint="cs"/>
          <w:rtl/>
        </w:rPr>
      </w:pPr>
    </w:p>
    <w:p w:rsidR="002725AA" w:rsidRDefault="002725AA" w:rsidP="002725AA">
      <w:pPr>
        <w:bidi/>
        <w:rPr>
          <w:rFonts w:hint="cs"/>
          <w:rtl/>
        </w:rPr>
      </w:pPr>
    </w:p>
    <w:p w:rsidR="002725AA" w:rsidRDefault="002725AA" w:rsidP="002725AA">
      <w:pPr>
        <w:bidi/>
        <w:rPr>
          <w:rFonts w:hint="cs"/>
          <w:rtl/>
        </w:rPr>
      </w:pPr>
    </w:p>
    <w:p w:rsidR="002725AA" w:rsidRPr="002725AA" w:rsidRDefault="002725AA" w:rsidP="002725AA">
      <w:pPr>
        <w:bidi/>
        <w:rPr>
          <w:rFonts w:hint="cs"/>
          <w:rtl/>
        </w:rPr>
      </w:pPr>
    </w:p>
    <w:p w:rsidR="002725AA" w:rsidRDefault="002725AA" w:rsidP="002725AA">
      <w:pPr>
        <w:pStyle w:val="1"/>
        <w:bidi/>
        <w:rPr>
          <w:rFonts w:ascii="David" w:hAnsi="David" w:cs="David" w:hint="cs"/>
          <w:rtl/>
        </w:rPr>
      </w:pPr>
    </w:p>
    <w:p w:rsidR="002725AA" w:rsidRPr="002725AA" w:rsidRDefault="002725AA" w:rsidP="002725AA">
      <w:pPr>
        <w:bidi/>
        <w:rPr>
          <w:rFonts w:hint="cs"/>
          <w:rtl/>
        </w:rPr>
      </w:pPr>
    </w:p>
    <w:p w:rsidR="00667ECD" w:rsidRPr="00714CE6" w:rsidRDefault="00667ECD" w:rsidP="002725AA">
      <w:pPr>
        <w:pStyle w:val="1"/>
        <w:bidi/>
        <w:spacing w:line="240" w:lineRule="auto"/>
        <w:rPr>
          <w:rFonts w:ascii="David" w:hAnsi="David" w:cs="David"/>
          <w:rtl/>
        </w:rPr>
      </w:pPr>
      <w:r w:rsidRPr="00714CE6">
        <w:rPr>
          <w:rFonts w:ascii="David" w:hAnsi="David" w:cs="David"/>
          <w:rtl/>
        </w:rPr>
        <w:lastRenderedPageBreak/>
        <w:t>מבוא</w:t>
      </w:r>
      <w:bookmarkEnd w:id="1"/>
      <w:bookmarkEnd w:id="2"/>
      <w:bookmarkEnd w:id="3"/>
    </w:p>
    <w:p w:rsidR="00667ECD" w:rsidRPr="00667ECD" w:rsidRDefault="00667ECD" w:rsidP="00667ECD">
      <w:pPr>
        <w:bidi/>
        <w:spacing w:after="0" w:line="240" w:lineRule="auto"/>
        <w:jc w:val="both"/>
        <w:rPr>
          <w:rFonts w:ascii="Arial" w:hAnsi="Arial" w:cs="David"/>
          <w:b/>
          <w:bCs/>
          <w:sz w:val="28"/>
          <w:szCs w:val="28"/>
          <w:rtl/>
        </w:rPr>
      </w:pPr>
    </w:p>
    <w:p w:rsidR="00667ECD" w:rsidRPr="00412F94" w:rsidRDefault="00667ECD" w:rsidP="00D03FDE">
      <w:pPr>
        <w:bidi/>
        <w:spacing w:line="360" w:lineRule="auto"/>
        <w:jc w:val="both"/>
        <w:rPr>
          <w:rFonts w:ascii="Arial" w:hAnsi="Arial" w:cs="David"/>
          <w:sz w:val="24"/>
          <w:szCs w:val="24"/>
        </w:rPr>
      </w:pPr>
      <w:r w:rsidRPr="00412F94">
        <w:rPr>
          <w:rFonts w:ascii="Arial" w:hAnsi="Arial" w:cs="David" w:hint="cs"/>
          <w:sz w:val="24"/>
          <w:szCs w:val="24"/>
          <w:rtl/>
        </w:rPr>
        <w:t>אירועי אוקטובר 2000 אשר כללו התקוממות נרחבת של ערבים אזרחי ישראל היוו אבן דרך משמעותית במערכת היחסים המורכבת שבין מדינת ישראל לחברה הערבית. בעקבות האירועים הוקמה ועדת חקירה ממלכתית בראשות שופט בית המשפט העליון תיאודור אור (ועדת  אור), שניתחה, בין היתר את הגורמים והתהליכים שהובילו לפרוץ המהומות. בסיכומיה, המליצה הועדה לפעול לשיפור הקשר בין משטרת ישראל והציבור הערבי ולהגביר את הפעולות לאכיפת החוק</w:t>
      </w:r>
      <w:sdt>
        <w:sdtPr>
          <w:rPr>
            <w:rFonts w:ascii="Arial" w:hAnsi="Arial" w:cs="David" w:hint="cs"/>
            <w:sz w:val="24"/>
            <w:szCs w:val="24"/>
            <w:rtl/>
          </w:rPr>
          <w:id w:val="1779658985"/>
          <w:citation/>
        </w:sdtPr>
        <w:sdtContent>
          <w:r w:rsidR="002B306D" w:rsidRPr="00412F94">
            <w:rPr>
              <w:rFonts w:ascii="Arial" w:hAnsi="Arial" w:cs="David"/>
              <w:sz w:val="24"/>
              <w:szCs w:val="24"/>
              <w:rtl/>
            </w:rPr>
            <w:fldChar w:fldCharType="begin"/>
          </w:r>
          <w:r w:rsidR="00A64853" w:rsidRPr="00412F94">
            <w:rPr>
              <w:rFonts w:ascii="Arial" w:hAnsi="Arial" w:cs="David"/>
              <w:sz w:val="24"/>
              <w:szCs w:val="24"/>
              <w:rtl/>
            </w:rPr>
            <w:instrText xml:space="preserve"> </w:instrText>
          </w:r>
          <w:r w:rsidR="00A64853" w:rsidRPr="00412F94">
            <w:rPr>
              <w:rFonts w:ascii="Arial" w:hAnsi="Arial" w:cs="David" w:hint="cs"/>
              <w:sz w:val="24"/>
              <w:szCs w:val="24"/>
            </w:rPr>
            <w:instrText>CITATION</w:instrText>
          </w:r>
          <w:r w:rsidR="00A64853" w:rsidRPr="00412F94">
            <w:rPr>
              <w:rFonts w:ascii="Arial" w:hAnsi="Arial" w:cs="David" w:hint="cs"/>
              <w:sz w:val="24"/>
              <w:szCs w:val="24"/>
              <w:rtl/>
            </w:rPr>
            <w:instrText xml:space="preserve"> ועד \</w:instrText>
          </w:r>
          <w:r w:rsidR="00A64853" w:rsidRPr="00412F94">
            <w:rPr>
              <w:rFonts w:ascii="Arial" w:hAnsi="Arial" w:cs="David" w:hint="cs"/>
              <w:sz w:val="24"/>
              <w:szCs w:val="24"/>
            </w:rPr>
            <w:instrText>l 1037</w:instrText>
          </w:r>
          <w:r w:rsidR="00A64853" w:rsidRPr="00412F94">
            <w:rPr>
              <w:rFonts w:ascii="Arial" w:hAnsi="Arial" w:cs="David"/>
              <w:sz w:val="24"/>
              <w:szCs w:val="24"/>
              <w:rtl/>
            </w:rPr>
            <w:instrText xml:space="preserve"> </w:instrText>
          </w:r>
          <w:r w:rsidR="002B306D" w:rsidRPr="00412F94">
            <w:rPr>
              <w:rFonts w:ascii="Arial" w:hAnsi="Arial" w:cs="David"/>
              <w:sz w:val="24"/>
              <w:szCs w:val="24"/>
              <w:rtl/>
            </w:rPr>
            <w:fldChar w:fldCharType="separate"/>
          </w:r>
          <w:r w:rsidR="00A64853" w:rsidRPr="00412F94">
            <w:rPr>
              <w:rFonts w:ascii="Arial" w:hAnsi="Arial" w:cs="David"/>
              <w:noProof/>
              <w:sz w:val="24"/>
              <w:szCs w:val="24"/>
              <w:rtl/>
            </w:rPr>
            <w:t xml:space="preserve"> </w:t>
          </w:r>
          <w:r w:rsidR="00A64853" w:rsidRPr="00412F94">
            <w:rPr>
              <w:rFonts w:ascii="Arial" w:hAnsi="Arial" w:cs="David" w:hint="cs"/>
              <w:noProof/>
              <w:sz w:val="24"/>
              <w:szCs w:val="24"/>
              <w:rtl/>
            </w:rPr>
            <w:t>(ועדת חקירה ממלכתית בראשות השופט תיאודור אור, 2003)</w:t>
          </w:r>
          <w:r w:rsidR="002B306D" w:rsidRPr="00412F94">
            <w:rPr>
              <w:rFonts w:ascii="Arial" w:hAnsi="Arial" w:cs="David"/>
              <w:sz w:val="24"/>
              <w:szCs w:val="24"/>
              <w:rtl/>
            </w:rPr>
            <w:fldChar w:fldCharType="end"/>
          </w:r>
        </w:sdtContent>
      </w:sdt>
      <w:r w:rsidRPr="00412F94">
        <w:rPr>
          <w:rFonts w:ascii="Arial" w:hAnsi="Arial" w:cs="David" w:hint="cs"/>
          <w:sz w:val="24"/>
          <w:szCs w:val="24"/>
          <w:rtl/>
        </w:rPr>
        <w:t>.</w:t>
      </w:r>
      <w:r w:rsidR="0067087B" w:rsidRPr="00412F94">
        <w:rPr>
          <w:rFonts w:ascii="Arial" w:hAnsi="Arial" w:cs="David" w:hint="cs"/>
          <w:sz w:val="24"/>
          <w:szCs w:val="24"/>
          <w:rtl/>
        </w:rPr>
        <w:t xml:space="preserve"> ממשלת ישראל קיבלה את המלצות הועדה והחליטה ליישמן </w:t>
      </w:r>
      <w:r w:rsidR="002274B5" w:rsidRPr="00412F94">
        <w:rPr>
          <w:rFonts w:ascii="Arial" w:hAnsi="Arial" w:cs="David" w:hint="cs"/>
          <w:sz w:val="24"/>
          <w:szCs w:val="24"/>
          <w:rtl/>
        </w:rPr>
        <w:t>בהתאם להמלצת ועדת שרים בראשות שר המשפטים דאז, יוסף(טומי) לפיד</w:t>
      </w:r>
      <w:sdt>
        <w:sdtPr>
          <w:rPr>
            <w:rFonts w:ascii="Arial" w:hAnsi="Arial" w:cs="David" w:hint="cs"/>
            <w:sz w:val="24"/>
            <w:szCs w:val="24"/>
            <w:rtl/>
          </w:rPr>
          <w:id w:val="1779658990"/>
          <w:citation/>
        </w:sdtPr>
        <w:sdtContent>
          <w:r w:rsidR="002B306D" w:rsidRPr="00412F94">
            <w:rPr>
              <w:rFonts w:ascii="Arial" w:hAnsi="Arial" w:cs="David"/>
              <w:sz w:val="24"/>
              <w:szCs w:val="24"/>
              <w:rtl/>
            </w:rPr>
            <w:fldChar w:fldCharType="begin"/>
          </w:r>
          <w:r w:rsidR="002274B5" w:rsidRPr="00412F94">
            <w:rPr>
              <w:rFonts w:ascii="Arial" w:hAnsi="Arial" w:cs="David"/>
              <w:sz w:val="24"/>
              <w:szCs w:val="24"/>
              <w:rtl/>
            </w:rPr>
            <w:instrText xml:space="preserve"> </w:instrText>
          </w:r>
          <w:r w:rsidR="002274B5" w:rsidRPr="00412F94">
            <w:rPr>
              <w:rFonts w:ascii="Arial" w:hAnsi="Arial" w:cs="David" w:hint="cs"/>
              <w:sz w:val="24"/>
              <w:szCs w:val="24"/>
            </w:rPr>
            <w:instrText>CITATION</w:instrText>
          </w:r>
          <w:r w:rsidR="002274B5" w:rsidRPr="00412F94">
            <w:rPr>
              <w:rFonts w:ascii="Arial" w:hAnsi="Arial" w:cs="David" w:hint="cs"/>
              <w:sz w:val="24"/>
              <w:szCs w:val="24"/>
              <w:rtl/>
            </w:rPr>
            <w:instrText xml:space="preserve"> ועד04 \</w:instrText>
          </w:r>
          <w:r w:rsidR="002274B5" w:rsidRPr="00412F94">
            <w:rPr>
              <w:rFonts w:ascii="Arial" w:hAnsi="Arial" w:cs="David" w:hint="cs"/>
              <w:sz w:val="24"/>
              <w:szCs w:val="24"/>
            </w:rPr>
            <w:instrText>l 1037</w:instrText>
          </w:r>
          <w:r w:rsidR="002274B5" w:rsidRPr="00412F94">
            <w:rPr>
              <w:rFonts w:ascii="Arial" w:hAnsi="Arial" w:cs="David"/>
              <w:sz w:val="24"/>
              <w:szCs w:val="24"/>
              <w:rtl/>
            </w:rPr>
            <w:instrText xml:space="preserve"> </w:instrText>
          </w:r>
          <w:r w:rsidR="002B306D" w:rsidRPr="00412F94">
            <w:rPr>
              <w:rFonts w:ascii="Arial" w:hAnsi="Arial" w:cs="David"/>
              <w:sz w:val="24"/>
              <w:szCs w:val="24"/>
              <w:rtl/>
            </w:rPr>
            <w:fldChar w:fldCharType="separate"/>
          </w:r>
          <w:r w:rsidR="002274B5" w:rsidRPr="00412F94">
            <w:rPr>
              <w:rFonts w:ascii="Arial" w:hAnsi="Arial" w:cs="David"/>
              <w:noProof/>
              <w:sz w:val="24"/>
              <w:szCs w:val="24"/>
              <w:rtl/>
            </w:rPr>
            <w:t xml:space="preserve"> </w:t>
          </w:r>
          <w:r w:rsidR="002274B5" w:rsidRPr="00412F94">
            <w:rPr>
              <w:rFonts w:ascii="Arial" w:hAnsi="Arial" w:cs="David" w:hint="cs"/>
              <w:noProof/>
              <w:sz w:val="24"/>
              <w:szCs w:val="24"/>
              <w:rtl/>
            </w:rPr>
            <w:t>(ועדת שרים לעניין ועדת אור, 2004)</w:t>
          </w:r>
          <w:r w:rsidR="002B306D" w:rsidRPr="00412F94">
            <w:rPr>
              <w:rFonts w:ascii="Arial" w:hAnsi="Arial" w:cs="David"/>
              <w:sz w:val="24"/>
              <w:szCs w:val="24"/>
              <w:rtl/>
            </w:rPr>
            <w:fldChar w:fldCharType="end"/>
          </w:r>
        </w:sdtContent>
      </w:sdt>
      <w:r w:rsidR="002274B5" w:rsidRPr="00412F94">
        <w:rPr>
          <w:rFonts w:ascii="Arial" w:hAnsi="Arial" w:cs="David" w:hint="cs"/>
          <w:sz w:val="24"/>
          <w:szCs w:val="24"/>
          <w:rtl/>
        </w:rPr>
        <w:t>.</w:t>
      </w:r>
    </w:p>
    <w:p w:rsidR="00667ECD" w:rsidRPr="00412F94" w:rsidRDefault="00667ECD" w:rsidP="00FC3C32">
      <w:pPr>
        <w:bidi/>
        <w:spacing w:line="360" w:lineRule="auto"/>
        <w:jc w:val="both"/>
        <w:rPr>
          <w:rFonts w:ascii="Arial" w:hAnsi="Arial" w:cs="David"/>
          <w:sz w:val="24"/>
          <w:szCs w:val="24"/>
          <w:rtl/>
        </w:rPr>
      </w:pPr>
      <w:r w:rsidRPr="00412F94">
        <w:rPr>
          <w:rFonts w:ascii="Arial" w:hAnsi="Arial" w:cs="David" w:hint="cs"/>
          <w:sz w:val="24"/>
          <w:szCs w:val="24"/>
          <w:rtl/>
        </w:rPr>
        <w:t>בין השנים 201</w:t>
      </w:r>
      <w:r w:rsidR="00A57190" w:rsidRPr="00412F94">
        <w:rPr>
          <w:rFonts w:ascii="Arial" w:hAnsi="Arial" w:cs="David" w:hint="cs"/>
          <w:sz w:val="24"/>
          <w:szCs w:val="24"/>
          <w:rtl/>
        </w:rPr>
        <w:t>6</w:t>
      </w:r>
      <w:r w:rsidRPr="00412F94">
        <w:rPr>
          <w:rFonts w:ascii="Arial" w:hAnsi="Arial" w:cs="David" w:hint="cs"/>
          <w:sz w:val="24"/>
          <w:szCs w:val="24"/>
          <w:rtl/>
        </w:rPr>
        <w:t>-201</w:t>
      </w:r>
      <w:r w:rsidR="000F657F" w:rsidRPr="00412F94">
        <w:rPr>
          <w:rFonts w:ascii="Arial" w:hAnsi="Arial" w:cs="David" w:hint="cs"/>
          <w:sz w:val="24"/>
          <w:szCs w:val="24"/>
          <w:rtl/>
        </w:rPr>
        <w:t>5</w:t>
      </w:r>
      <w:r w:rsidRPr="00412F94">
        <w:rPr>
          <w:rFonts w:ascii="Arial" w:hAnsi="Arial" w:cs="David" w:hint="cs"/>
          <w:sz w:val="24"/>
          <w:szCs w:val="24"/>
          <w:rtl/>
        </w:rPr>
        <w:t xml:space="preserve"> התקבלו </w:t>
      </w:r>
      <w:r w:rsidR="000F657F" w:rsidRPr="00412F94">
        <w:rPr>
          <w:rFonts w:ascii="Arial" w:hAnsi="Arial" w:cs="David" w:hint="cs"/>
          <w:sz w:val="24"/>
          <w:szCs w:val="24"/>
          <w:rtl/>
        </w:rPr>
        <w:t>שתי</w:t>
      </w:r>
      <w:r w:rsidRPr="00412F94">
        <w:rPr>
          <w:rFonts w:ascii="Arial" w:hAnsi="Arial" w:cs="David" w:hint="cs"/>
          <w:sz w:val="24"/>
          <w:szCs w:val="24"/>
          <w:rtl/>
        </w:rPr>
        <w:t xml:space="preserve"> החלטות ממשלה</w:t>
      </w:r>
      <w:r w:rsidR="00752B60" w:rsidRPr="00412F94">
        <w:rPr>
          <w:rFonts w:ascii="Arial" w:hAnsi="Arial" w:cs="David" w:hint="cs"/>
          <w:sz w:val="24"/>
          <w:szCs w:val="24"/>
          <w:rtl/>
        </w:rPr>
        <w:t>:</w:t>
      </w:r>
      <w:r w:rsidR="000F657F" w:rsidRPr="00412F94">
        <w:rPr>
          <w:rFonts w:ascii="Arial" w:hAnsi="Arial" w:cs="David" w:hint="cs"/>
          <w:sz w:val="24"/>
          <w:szCs w:val="24"/>
          <w:rtl/>
        </w:rPr>
        <w:t xml:space="preserve"> החלטה 922,</w:t>
      </w:r>
      <w:r w:rsidRPr="00412F94">
        <w:rPr>
          <w:rFonts w:ascii="Arial" w:hAnsi="Arial" w:cs="David" w:hint="cs"/>
          <w:sz w:val="24"/>
          <w:szCs w:val="24"/>
          <w:rtl/>
        </w:rPr>
        <w:t xml:space="preserve"> בנוגע </w:t>
      </w:r>
      <w:r w:rsidR="003A523B" w:rsidRPr="00412F94">
        <w:rPr>
          <w:rFonts w:ascii="Arial" w:hAnsi="Arial" w:cs="David" w:hint="cs"/>
          <w:sz w:val="24"/>
          <w:szCs w:val="24"/>
          <w:rtl/>
        </w:rPr>
        <w:t>ל</w:t>
      </w:r>
      <w:r w:rsidR="000F657F" w:rsidRPr="00412F94">
        <w:rPr>
          <w:rFonts w:ascii="Arial" w:hAnsi="Arial" w:cs="David" w:hint="cs"/>
          <w:sz w:val="24"/>
          <w:szCs w:val="24"/>
          <w:rtl/>
        </w:rPr>
        <w:t>פעילות הממשלה לפיתוח כלכלי באוכלוסיית המיעוטים</w:t>
      </w:r>
      <w:sdt>
        <w:sdtPr>
          <w:rPr>
            <w:rFonts w:ascii="Arial" w:hAnsi="Arial" w:cs="David" w:hint="cs"/>
            <w:sz w:val="24"/>
            <w:szCs w:val="24"/>
            <w:rtl/>
          </w:rPr>
          <w:id w:val="1779658986"/>
          <w:citation/>
        </w:sdtPr>
        <w:sdtContent>
          <w:r w:rsidR="002B306D" w:rsidRPr="00412F94">
            <w:rPr>
              <w:rFonts w:ascii="Arial" w:hAnsi="Arial" w:cs="David"/>
              <w:sz w:val="24"/>
              <w:szCs w:val="24"/>
              <w:rtl/>
            </w:rPr>
            <w:fldChar w:fldCharType="begin"/>
          </w:r>
          <w:r w:rsidR="000F657F" w:rsidRPr="00412F94">
            <w:rPr>
              <w:rFonts w:ascii="Arial" w:hAnsi="Arial" w:cs="David"/>
              <w:sz w:val="24"/>
              <w:szCs w:val="24"/>
              <w:rtl/>
            </w:rPr>
            <w:instrText xml:space="preserve"> </w:instrText>
          </w:r>
          <w:r w:rsidR="000F657F" w:rsidRPr="00412F94">
            <w:rPr>
              <w:rFonts w:ascii="Arial" w:hAnsi="Arial" w:cs="David" w:hint="cs"/>
              <w:sz w:val="24"/>
              <w:szCs w:val="24"/>
            </w:rPr>
            <w:instrText>CITATION</w:instrText>
          </w:r>
          <w:r w:rsidR="000F657F" w:rsidRPr="00412F94">
            <w:rPr>
              <w:rFonts w:ascii="Arial" w:hAnsi="Arial" w:cs="David" w:hint="cs"/>
              <w:sz w:val="24"/>
              <w:szCs w:val="24"/>
              <w:rtl/>
            </w:rPr>
            <w:instrText xml:space="preserve"> ממש15 \</w:instrText>
          </w:r>
          <w:r w:rsidR="000F657F" w:rsidRPr="00412F94">
            <w:rPr>
              <w:rFonts w:ascii="Arial" w:hAnsi="Arial" w:cs="David" w:hint="cs"/>
              <w:sz w:val="24"/>
              <w:szCs w:val="24"/>
            </w:rPr>
            <w:instrText>l 1037</w:instrText>
          </w:r>
          <w:r w:rsidR="000F657F" w:rsidRPr="00412F94">
            <w:rPr>
              <w:rFonts w:ascii="Arial" w:hAnsi="Arial" w:cs="David"/>
              <w:sz w:val="24"/>
              <w:szCs w:val="24"/>
              <w:rtl/>
            </w:rPr>
            <w:instrText xml:space="preserve"> </w:instrText>
          </w:r>
          <w:r w:rsidR="002B306D" w:rsidRPr="00412F94">
            <w:rPr>
              <w:rFonts w:ascii="Arial" w:hAnsi="Arial" w:cs="David"/>
              <w:sz w:val="24"/>
              <w:szCs w:val="24"/>
              <w:rtl/>
            </w:rPr>
            <w:fldChar w:fldCharType="separate"/>
          </w:r>
          <w:r w:rsidR="000F657F" w:rsidRPr="00412F94">
            <w:rPr>
              <w:rFonts w:ascii="Arial" w:hAnsi="Arial" w:cs="David"/>
              <w:noProof/>
              <w:sz w:val="24"/>
              <w:szCs w:val="24"/>
              <w:rtl/>
            </w:rPr>
            <w:t xml:space="preserve"> </w:t>
          </w:r>
          <w:r w:rsidR="000F657F" w:rsidRPr="00412F94">
            <w:rPr>
              <w:rFonts w:ascii="Arial" w:hAnsi="Arial" w:cs="David" w:hint="cs"/>
              <w:noProof/>
              <w:sz w:val="24"/>
              <w:szCs w:val="24"/>
              <w:rtl/>
            </w:rPr>
            <w:t>(ממשלת ישראל, 2015)</w:t>
          </w:r>
          <w:r w:rsidR="002B306D" w:rsidRPr="00412F94">
            <w:rPr>
              <w:rFonts w:ascii="Arial" w:hAnsi="Arial" w:cs="David"/>
              <w:sz w:val="24"/>
              <w:szCs w:val="24"/>
              <w:rtl/>
            </w:rPr>
            <w:fldChar w:fldCharType="end"/>
          </w:r>
        </w:sdtContent>
      </w:sdt>
      <w:r w:rsidR="000F657F" w:rsidRPr="00412F94">
        <w:rPr>
          <w:rFonts w:ascii="Arial" w:hAnsi="Arial" w:cs="David" w:hint="cs"/>
          <w:sz w:val="24"/>
          <w:szCs w:val="24"/>
          <w:rtl/>
        </w:rPr>
        <w:t xml:space="preserve"> והחלטה 1402 לשיפור רמת הביטחון במגזר הערבי וחיזוק הביטחון בירושלים</w:t>
      </w:r>
      <w:sdt>
        <w:sdtPr>
          <w:rPr>
            <w:rFonts w:ascii="Arial" w:hAnsi="Arial" w:cs="David" w:hint="cs"/>
            <w:sz w:val="24"/>
            <w:szCs w:val="24"/>
            <w:rtl/>
          </w:rPr>
          <w:id w:val="1779658988"/>
          <w:citation/>
        </w:sdtPr>
        <w:sdtContent>
          <w:r w:rsidR="002B306D" w:rsidRPr="00412F94">
            <w:rPr>
              <w:rFonts w:ascii="Arial" w:hAnsi="Arial" w:cs="David"/>
              <w:sz w:val="24"/>
              <w:szCs w:val="24"/>
              <w:rtl/>
            </w:rPr>
            <w:fldChar w:fldCharType="begin"/>
          </w:r>
          <w:r w:rsidR="000F657F" w:rsidRPr="00412F94">
            <w:rPr>
              <w:rFonts w:ascii="Arial" w:hAnsi="Arial" w:cs="David"/>
              <w:sz w:val="24"/>
              <w:szCs w:val="24"/>
              <w:rtl/>
            </w:rPr>
            <w:instrText xml:space="preserve"> </w:instrText>
          </w:r>
          <w:r w:rsidR="000F657F" w:rsidRPr="00412F94">
            <w:rPr>
              <w:rFonts w:ascii="Arial" w:hAnsi="Arial" w:cs="David" w:hint="cs"/>
              <w:sz w:val="24"/>
              <w:szCs w:val="24"/>
            </w:rPr>
            <w:instrText>CITATION</w:instrText>
          </w:r>
          <w:r w:rsidR="000F657F" w:rsidRPr="00412F94">
            <w:rPr>
              <w:rFonts w:ascii="Arial" w:hAnsi="Arial" w:cs="David" w:hint="cs"/>
              <w:sz w:val="24"/>
              <w:szCs w:val="24"/>
              <w:rtl/>
            </w:rPr>
            <w:instrText xml:space="preserve"> ממש16 \</w:instrText>
          </w:r>
          <w:r w:rsidR="000F657F" w:rsidRPr="00412F94">
            <w:rPr>
              <w:rFonts w:ascii="Arial" w:hAnsi="Arial" w:cs="David" w:hint="cs"/>
              <w:sz w:val="24"/>
              <w:szCs w:val="24"/>
            </w:rPr>
            <w:instrText>l 1037</w:instrText>
          </w:r>
          <w:r w:rsidR="000F657F" w:rsidRPr="00412F94">
            <w:rPr>
              <w:rFonts w:ascii="Arial" w:hAnsi="Arial" w:cs="David"/>
              <w:sz w:val="24"/>
              <w:szCs w:val="24"/>
              <w:rtl/>
            </w:rPr>
            <w:instrText xml:space="preserve"> </w:instrText>
          </w:r>
          <w:r w:rsidR="002B306D" w:rsidRPr="00412F94">
            <w:rPr>
              <w:rFonts w:ascii="Arial" w:hAnsi="Arial" w:cs="David"/>
              <w:sz w:val="24"/>
              <w:szCs w:val="24"/>
              <w:rtl/>
            </w:rPr>
            <w:fldChar w:fldCharType="separate"/>
          </w:r>
          <w:r w:rsidR="000F657F" w:rsidRPr="00412F94">
            <w:rPr>
              <w:rFonts w:ascii="Arial" w:hAnsi="Arial" w:cs="David"/>
              <w:noProof/>
              <w:sz w:val="24"/>
              <w:szCs w:val="24"/>
              <w:rtl/>
            </w:rPr>
            <w:t xml:space="preserve"> </w:t>
          </w:r>
          <w:r w:rsidR="000F657F" w:rsidRPr="00412F94">
            <w:rPr>
              <w:rFonts w:ascii="Arial" w:hAnsi="Arial" w:cs="David" w:hint="cs"/>
              <w:noProof/>
              <w:sz w:val="24"/>
              <w:szCs w:val="24"/>
              <w:rtl/>
            </w:rPr>
            <w:t>(ממשלת ישראל, 2016)</w:t>
          </w:r>
          <w:r w:rsidR="002B306D" w:rsidRPr="00412F94">
            <w:rPr>
              <w:rFonts w:ascii="Arial" w:hAnsi="Arial" w:cs="David"/>
              <w:sz w:val="24"/>
              <w:szCs w:val="24"/>
              <w:rtl/>
            </w:rPr>
            <w:fldChar w:fldCharType="end"/>
          </w:r>
        </w:sdtContent>
      </w:sdt>
      <w:r w:rsidRPr="00412F94">
        <w:rPr>
          <w:rFonts w:ascii="Arial" w:hAnsi="Arial" w:cs="David" w:hint="cs"/>
          <w:sz w:val="24"/>
          <w:szCs w:val="24"/>
          <w:rtl/>
        </w:rPr>
        <w:t xml:space="preserve"> תוך הקצאה תקציבית של </w:t>
      </w:r>
      <w:r w:rsidR="00FC3C32" w:rsidRPr="00412F94">
        <w:rPr>
          <w:rFonts w:ascii="Arial" w:hAnsi="Arial" w:cs="David" w:hint="cs"/>
          <w:sz w:val="24"/>
          <w:szCs w:val="24"/>
          <w:rtl/>
        </w:rPr>
        <w:t>למעלה ממיליארד</w:t>
      </w:r>
      <w:r w:rsidRPr="00412F94">
        <w:rPr>
          <w:rFonts w:ascii="Arial" w:hAnsi="Arial" w:cs="David" w:hint="cs"/>
          <w:sz w:val="24"/>
          <w:szCs w:val="24"/>
          <w:rtl/>
        </w:rPr>
        <w:t xml:space="preserve"> שקלים. </w:t>
      </w:r>
      <w:r w:rsidR="001A1094" w:rsidRPr="00412F94">
        <w:rPr>
          <w:rFonts w:ascii="Arial" w:hAnsi="Arial" w:cs="David" w:hint="cs"/>
          <w:sz w:val="24"/>
          <w:szCs w:val="24"/>
          <w:rtl/>
        </w:rPr>
        <w:t xml:space="preserve">החלטה 1402 מחודש אפריל 2016 </w:t>
      </w:r>
      <w:r w:rsidRPr="00412F94">
        <w:rPr>
          <w:rFonts w:ascii="Arial" w:hAnsi="Arial" w:cs="David" w:hint="cs"/>
          <w:sz w:val="24"/>
          <w:szCs w:val="24"/>
          <w:rtl/>
        </w:rPr>
        <w:t xml:space="preserve"> </w:t>
      </w:r>
      <w:r w:rsidR="001A1094" w:rsidRPr="00412F94">
        <w:rPr>
          <w:rFonts w:ascii="Arial" w:hAnsi="Arial" w:cs="David" w:hint="cs"/>
          <w:sz w:val="24"/>
          <w:szCs w:val="24"/>
          <w:rtl/>
        </w:rPr>
        <w:t>כוללת קידום</w:t>
      </w:r>
      <w:r w:rsidRPr="00412F94">
        <w:rPr>
          <w:rFonts w:ascii="Arial" w:hAnsi="Arial" w:cs="David" w:hint="cs"/>
          <w:sz w:val="24"/>
          <w:szCs w:val="24"/>
          <w:rtl/>
        </w:rPr>
        <w:t xml:space="preserve"> תכנית רב שנתית של המשרד לביטחון הפנים בנושא</w:t>
      </w:r>
      <w:r w:rsidR="001A1094" w:rsidRPr="00412F94">
        <w:rPr>
          <w:rFonts w:ascii="Arial" w:hAnsi="Arial" w:cs="David" w:hint="cs"/>
          <w:sz w:val="24"/>
          <w:szCs w:val="24"/>
          <w:rtl/>
        </w:rPr>
        <w:t xml:space="preserve"> הביטחון האישי במגזר הערבי</w:t>
      </w:r>
      <w:r w:rsidRPr="00412F94">
        <w:rPr>
          <w:rFonts w:ascii="Arial" w:hAnsi="Arial" w:cs="David" w:hint="cs"/>
          <w:sz w:val="24"/>
          <w:szCs w:val="24"/>
          <w:rtl/>
        </w:rPr>
        <w:t xml:space="preserve"> (לשנים 20</w:t>
      </w:r>
      <w:r w:rsidR="00A57190" w:rsidRPr="00412F94">
        <w:rPr>
          <w:rFonts w:ascii="Arial" w:hAnsi="Arial" w:cs="David" w:hint="cs"/>
          <w:sz w:val="24"/>
          <w:szCs w:val="24"/>
          <w:rtl/>
        </w:rPr>
        <w:t>20</w:t>
      </w:r>
      <w:r w:rsidRPr="00412F94">
        <w:rPr>
          <w:rFonts w:ascii="Arial" w:hAnsi="Arial" w:cs="David" w:hint="cs"/>
          <w:sz w:val="24"/>
          <w:szCs w:val="24"/>
          <w:rtl/>
        </w:rPr>
        <w:t>-20</w:t>
      </w:r>
      <w:r w:rsidR="00A57190" w:rsidRPr="00412F94">
        <w:rPr>
          <w:rFonts w:ascii="Arial" w:hAnsi="Arial" w:cs="David" w:hint="cs"/>
          <w:sz w:val="24"/>
          <w:szCs w:val="24"/>
          <w:rtl/>
        </w:rPr>
        <w:t>16</w:t>
      </w:r>
      <w:r w:rsidR="00375123" w:rsidRPr="00412F94">
        <w:rPr>
          <w:rFonts w:ascii="Arial" w:hAnsi="Arial" w:cs="David" w:hint="cs"/>
          <w:sz w:val="24"/>
          <w:szCs w:val="24"/>
          <w:rtl/>
        </w:rPr>
        <w:t xml:space="preserve">). </w:t>
      </w:r>
      <w:r w:rsidR="001A1094" w:rsidRPr="00412F94">
        <w:rPr>
          <w:rFonts w:ascii="Arial" w:hAnsi="Arial" w:cs="David" w:hint="cs"/>
          <w:sz w:val="24"/>
          <w:szCs w:val="24"/>
          <w:rtl/>
        </w:rPr>
        <w:t>להובלת יישומה,</w:t>
      </w:r>
      <w:r w:rsidRPr="00412F94">
        <w:rPr>
          <w:rFonts w:ascii="Arial" w:hAnsi="Arial" w:cs="David" w:hint="cs"/>
          <w:sz w:val="24"/>
          <w:szCs w:val="24"/>
          <w:rtl/>
        </w:rPr>
        <w:t xml:space="preserve"> הוקמה במשטרת ישראל מנהלת ייחודית </w:t>
      </w:r>
      <w:r w:rsidR="001A1094" w:rsidRPr="00412F94">
        <w:rPr>
          <w:rFonts w:ascii="Arial" w:hAnsi="Arial" w:cs="David" w:hint="cs"/>
          <w:sz w:val="24"/>
          <w:szCs w:val="24"/>
          <w:rtl/>
        </w:rPr>
        <w:t xml:space="preserve">בראשות </w:t>
      </w:r>
      <w:r w:rsidRPr="00412F94">
        <w:rPr>
          <w:rFonts w:ascii="Arial" w:hAnsi="Arial" w:cs="David" w:hint="cs"/>
          <w:sz w:val="24"/>
          <w:szCs w:val="24"/>
          <w:rtl/>
        </w:rPr>
        <w:t>ניצב</w:t>
      </w:r>
      <w:r w:rsidR="001A1094" w:rsidRPr="00412F94">
        <w:rPr>
          <w:rFonts w:ascii="Arial" w:hAnsi="Arial" w:cs="David" w:hint="cs"/>
          <w:sz w:val="24"/>
          <w:szCs w:val="24"/>
          <w:rtl/>
        </w:rPr>
        <w:t xml:space="preserve"> ג'מאל חכרוש שהוא קצין המשטרה</w:t>
      </w:r>
      <w:r w:rsidRPr="00412F94">
        <w:rPr>
          <w:rFonts w:ascii="Arial" w:hAnsi="Arial" w:cs="David" w:hint="cs"/>
          <w:sz w:val="24"/>
          <w:szCs w:val="24"/>
          <w:rtl/>
        </w:rPr>
        <w:t xml:space="preserve"> הערבי הראשון </w:t>
      </w:r>
      <w:r w:rsidR="001A1094" w:rsidRPr="00412F94">
        <w:rPr>
          <w:rFonts w:ascii="Arial" w:hAnsi="Arial" w:cs="David" w:hint="cs"/>
          <w:sz w:val="24"/>
          <w:szCs w:val="24"/>
          <w:rtl/>
        </w:rPr>
        <w:t>שקודם לדרגת ניצב.</w:t>
      </w:r>
      <w:r w:rsidR="00AC1260" w:rsidRPr="00412F94">
        <w:rPr>
          <w:rFonts w:ascii="Arial" w:hAnsi="Arial" w:cs="David" w:hint="cs"/>
          <w:sz w:val="24"/>
          <w:szCs w:val="24"/>
          <w:rtl/>
        </w:rPr>
        <w:t xml:space="preserve"> יישום התכנית הביא עד עתה להקמתן של 11 תחנות ונקודות משטרה חדשות </w:t>
      </w:r>
      <w:r w:rsidR="00560F46" w:rsidRPr="00412F94">
        <w:rPr>
          <w:rFonts w:ascii="Arial" w:hAnsi="Arial" w:cs="David" w:hint="cs"/>
          <w:sz w:val="24"/>
          <w:szCs w:val="24"/>
          <w:rtl/>
        </w:rPr>
        <w:t>בישובים ערביים ולחיזוק משמעותי של תחנות משטרה קיימות.</w:t>
      </w:r>
      <w:sdt>
        <w:sdtPr>
          <w:rPr>
            <w:rFonts w:ascii="Arial" w:hAnsi="Arial" w:cs="David"/>
            <w:sz w:val="24"/>
            <w:szCs w:val="24"/>
            <w:rtl/>
          </w:rPr>
          <w:id w:val="1015034626"/>
          <w:citation/>
        </w:sdtPr>
        <w:sdtContent>
          <w:r w:rsidR="002B306D" w:rsidRPr="00412F94">
            <w:rPr>
              <w:rFonts w:ascii="Arial" w:hAnsi="Arial" w:cs="David"/>
              <w:sz w:val="24"/>
              <w:szCs w:val="24"/>
              <w:rtl/>
            </w:rPr>
            <w:fldChar w:fldCharType="begin"/>
          </w:r>
          <w:r w:rsidR="00D50B1F" w:rsidRPr="00412F94">
            <w:rPr>
              <w:rFonts w:ascii="Arial" w:hAnsi="Arial" w:cs="David"/>
              <w:sz w:val="24"/>
              <w:szCs w:val="24"/>
              <w:rtl/>
            </w:rPr>
            <w:instrText xml:space="preserve"> </w:instrText>
          </w:r>
          <w:r w:rsidR="00D50B1F" w:rsidRPr="00412F94">
            <w:rPr>
              <w:rFonts w:ascii="Arial" w:hAnsi="Arial" w:cs="David" w:hint="cs"/>
              <w:sz w:val="24"/>
              <w:szCs w:val="24"/>
            </w:rPr>
            <w:instrText>CITATION</w:instrText>
          </w:r>
          <w:r w:rsidR="00D50B1F" w:rsidRPr="00412F94">
            <w:rPr>
              <w:rFonts w:ascii="Arial" w:hAnsi="Arial" w:cs="David" w:hint="cs"/>
              <w:sz w:val="24"/>
              <w:szCs w:val="24"/>
              <w:rtl/>
            </w:rPr>
            <w:instrText xml:space="preserve"> מבק181 \</w:instrText>
          </w:r>
          <w:r w:rsidR="00D50B1F" w:rsidRPr="00412F94">
            <w:rPr>
              <w:rFonts w:ascii="Arial" w:hAnsi="Arial" w:cs="David" w:hint="cs"/>
              <w:sz w:val="24"/>
              <w:szCs w:val="24"/>
            </w:rPr>
            <w:instrText>l 1037</w:instrText>
          </w:r>
          <w:r w:rsidR="00D50B1F" w:rsidRPr="00412F94">
            <w:rPr>
              <w:rFonts w:ascii="Arial" w:hAnsi="Arial" w:cs="David"/>
              <w:sz w:val="24"/>
              <w:szCs w:val="24"/>
              <w:rtl/>
            </w:rPr>
            <w:instrText xml:space="preserve"> </w:instrText>
          </w:r>
          <w:r w:rsidR="002B306D" w:rsidRPr="00412F94">
            <w:rPr>
              <w:rFonts w:ascii="Arial" w:hAnsi="Arial" w:cs="David"/>
              <w:sz w:val="24"/>
              <w:szCs w:val="24"/>
              <w:rtl/>
            </w:rPr>
            <w:fldChar w:fldCharType="separate"/>
          </w:r>
          <w:r w:rsidR="00D50B1F" w:rsidRPr="00412F94">
            <w:rPr>
              <w:rFonts w:ascii="Arial" w:hAnsi="Arial" w:cs="David"/>
              <w:noProof/>
              <w:sz w:val="24"/>
              <w:szCs w:val="24"/>
              <w:rtl/>
            </w:rPr>
            <w:t xml:space="preserve"> </w:t>
          </w:r>
          <w:r w:rsidR="00D50B1F" w:rsidRPr="00412F94">
            <w:rPr>
              <w:rFonts w:ascii="Arial" w:hAnsi="Arial" w:cs="David" w:hint="cs"/>
              <w:noProof/>
              <w:sz w:val="24"/>
              <w:szCs w:val="24"/>
              <w:rtl/>
            </w:rPr>
            <w:t>(מבקר המדינה, 2018)</w:t>
          </w:r>
          <w:r w:rsidR="002B306D" w:rsidRPr="00412F94">
            <w:rPr>
              <w:rFonts w:ascii="Arial" w:hAnsi="Arial" w:cs="David"/>
              <w:sz w:val="24"/>
              <w:szCs w:val="24"/>
              <w:rtl/>
            </w:rPr>
            <w:fldChar w:fldCharType="end"/>
          </w:r>
        </w:sdtContent>
      </w:sdt>
    </w:p>
    <w:p w:rsidR="00667ECD" w:rsidRPr="00412F94" w:rsidRDefault="00560F46" w:rsidP="0075006C">
      <w:pPr>
        <w:bidi/>
        <w:spacing w:line="360" w:lineRule="auto"/>
        <w:jc w:val="both"/>
        <w:rPr>
          <w:rFonts w:ascii="Arial" w:hAnsi="Arial" w:cs="David"/>
          <w:sz w:val="24"/>
          <w:szCs w:val="24"/>
          <w:rtl/>
        </w:rPr>
      </w:pPr>
      <w:r w:rsidRPr="00412F94">
        <w:rPr>
          <w:rFonts w:ascii="Arial" w:hAnsi="Arial" w:cs="David" w:hint="cs"/>
          <w:sz w:val="24"/>
          <w:szCs w:val="24"/>
          <w:rtl/>
        </w:rPr>
        <w:t xml:space="preserve">עם זאת, </w:t>
      </w:r>
      <w:r w:rsidR="00667ECD" w:rsidRPr="00412F94">
        <w:rPr>
          <w:rFonts w:ascii="Arial" w:hAnsi="Arial" w:cs="David" w:hint="cs"/>
          <w:sz w:val="24"/>
          <w:szCs w:val="24"/>
          <w:rtl/>
        </w:rPr>
        <w:t xml:space="preserve">נתוני המשטרה מלמדים כי שיעור המעורבים בפשיעה החמורה מקרב הציבור </w:t>
      </w:r>
      <w:r w:rsidR="008E201D" w:rsidRPr="00412F94">
        <w:rPr>
          <w:rFonts w:ascii="Arial" w:hAnsi="Arial" w:cs="David" w:hint="cs"/>
          <w:sz w:val="24"/>
          <w:szCs w:val="24"/>
          <w:rtl/>
        </w:rPr>
        <w:t>הערבי גדול</w:t>
      </w:r>
      <w:r w:rsidRPr="00412F94">
        <w:rPr>
          <w:rFonts w:ascii="Arial" w:hAnsi="Arial" w:cs="David" w:hint="cs"/>
          <w:sz w:val="24"/>
          <w:szCs w:val="24"/>
          <w:rtl/>
        </w:rPr>
        <w:t xml:space="preserve"> באופן משמעותי ביחס למשקלו</w:t>
      </w:r>
      <w:r w:rsidR="00667ECD" w:rsidRPr="00412F94">
        <w:rPr>
          <w:rFonts w:ascii="Arial" w:hAnsi="Arial" w:cs="David" w:hint="cs"/>
          <w:sz w:val="24"/>
          <w:szCs w:val="24"/>
          <w:rtl/>
        </w:rPr>
        <w:t xml:space="preserve"> באוכלוסיה. בעבירות אלימות חמורה (עבירות נגד גוף) שיעור המעורבים הערבים גדול פי שניים משיעורם באוכלוסיה ובעבירות רצח, פי שניים וחצי</w:t>
      </w:r>
      <w:sdt>
        <w:sdtPr>
          <w:rPr>
            <w:rFonts w:ascii="Arial" w:hAnsi="Arial" w:cs="David" w:hint="cs"/>
            <w:sz w:val="24"/>
            <w:szCs w:val="24"/>
            <w:rtl/>
          </w:rPr>
          <w:id w:val="2583172"/>
          <w:citation/>
        </w:sdtPr>
        <w:sdtContent>
          <w:r w:rsidR="002B306D" w:rsidRPr="00412F94">
            <w:rPr>
              <w:rFonts w:ascii="Arial" w:hAnsi="Arial" w:cs="David"/>
              <w:sz w:val="24"/>
              <w:szCs w:val="24"/>
              <w:rtl/>
            </w:rPr>
            <w:fldChar w:fldCharType="begin"/>
          </w:r>
          <w:r w:rsidR="0075006C" w:rsidRPr="00412F94">
            <w:rPr>
              <w:rFonts w:ascii="Arial" w:hAnsi="Arial" w:cs="David"/>
              <w:sz w:val="24"/>
              <w:szCs w:val="24"/>
              <w:rtl/>
            </w:rPr>
            <w:instrText xml:space="preserve"> </w:instrText>
          </w:r>
          <w:r w:rsidR="0075006C" w:rsidRPr="00412F94">
            <w:rPr>
              <w:rFonts w:ascii="Arial" w:hAnsi="Arial" w:cs="David" w:hint="cs"/>
              <w:sz w:val="24"/>
              <w:szCs w:val="24"/>
            </w:rPr>
            <w:instrText>CITATION</w:instrText>
          </w:r>
          <w:r w:rsidR="0075006C" w:rsidRPr="00412F94">
            <w:rPr>
              <w:rFonts w:ascii="Arial" w:hAnsi="Arial" w:cs="David" w:hint="cs"/>
              <w:sz w:val="24"/>
              <w:szCs w:val="24"/>
              <w:rtl/>
            </w:rPr>
            <w:instrText xml:space="preserve"> מבק181 \</w:instrText>
          </w:r>
          <w:r w:rsidR="0075006C" w:rsidRPr="00412F94">
            <w:rPr>
              <w:rFonts w:ascii="Arial" w:hAnsi="Arial" w:cs="David" w:hint="cs"/>
              <w:sz w:val="24"/>
              <w:szCs w:val="24"/>
            </w:rPr>
            <w:instrText>l 1037</w:instrText>
          </w:r>
          <w:r w:rsidR="0075006C" w:rsidRPr="00412F94">
            <w:rPr>
              <w:rFonts w:ascii="Arial" w:hAnsi="Arial" w:cs="David"/>
              <w:sz w:val="24"/>
              <w:szCs w:val="24"/>
              <w:rtl/>
            </w:rPr>
            <w:instrText xml:space="preserve"> </w:instrText>
          </w:r>
          <w:r w:rsidR="002B306D" w:rsidRPr="00412F94">
            <w:rPr>
              <w:rFonts w:ascii="Arial" w:hAnsi="Arial" w:cs="David"/>
              <w:sz w:val="24"/>
              <w:szCs w:val="24"/>
              <w:rtl/>
            </w:rPr>
            <w:fldChar w:fldCharType="separate"/>
          </w:r>
          <w:r w:rsidR="0075006C" w:rsidRPr="00412F94">
            <w:rPr>
              <w:rFonts w:ascii="Arial" w:hAnsi="Arial" w:cs="David"/>
              <w:noProof/>
              <w:sz w:val="24"/>
              <w:szCs w:val="24"/>
              <w:rtl/>
            </w:rPr>
            <w:t xml:space="preserve"> </w:t>
          </w:r>
          <w:r w:rsidR="0075006C" w:rsidRPr="00412F94">
            <w:rPr>
              <w:rFonts w:ascii="Arial" w:hAnsi="Arial" w:cs="David" w:hint="cs"/>
              <w:noProof/>
              <w:sz w:val="24"/>
              <w:szCs w:val="24"/>
              <w:rtl/>
            </w:rPr>
            <w:t>(מבקר המדינה, 2018)</w:t>
          </w:r>
          <w:r w:rsidR="002B306D" w:rsidRPr="00412F94">
            <w:rPr>
              <w:rFonts w:ascii="Arial" w:hAnsi="Arial" w:cs="David"/>
              <w:sz w:val="24"/>
              <w:szCs w:val="24"/>
              <w:rtl/>
            </w:rPr>
            <w:fldChar w:fldCharType="end"/>
          </w:r>
        </w:sdtContent>
      </w:sdt>
      <w:r w:rsidR="0075006C" w:rsidRPr="00412F94">
        <w:rPr>
          <w:rFonts w:ascii="Arial" w:hAnsi="Arial" w:cs="David" w:hint="cs"/>
          <w:sz w:val="24"/>
          <w:szCs w:val="24"/>
          <w:rtl/>
        </w:rPr>
        <w:t>. המיעוט הערבי מהווה כחמישית מכלל האוכלוסייה בישראל אולם, שיעור האסירים הפליליים גבוה בהרבה משיעור הערבים בכלל אוכלוסיית המדינה. ביוני 2014 למשל, עמד שיעור האסירים הפליליים הערבים על כ 49% מכלל האסירים בישראל</w:t>
      </w:r>
      <w:sdt>
        <w:sdtPr>
          <w:rPr>
            <w:rFonts w:ascii="Arial" w:hAnsi="Arial" w:cs="David" w:hint="cs"/>
            <w:sz w:val="24"/>
            <w:szCs w:val="24"/>
            <w:rtl/>
          </w:rPr>
          <w:id w:val="2583173"/>
          <w:citation/>
        </w:sdtPr>
        <w:sdtContent>
          <w:r w:rsidR="002B306D" w:rsidRPr="00412F94">
            <w:rPr>
              <w:rFonts w:ascii="Arial" w:hAnsi="Arial" w:cs="David"/>
              <w:sz w:val="24"/>
              <w:szCs w:val="24"/>
              <w:rtl/>
            </w:rPr>
            <w:fldChar w:fldCharType="begin"/>
          </w:r>
          <w:r w:rsidR="0075006C" w:rsidRPr="00412F94">
            <w:rPr>
              <w:rFonts w:ascii="Arial" w:hAnsi="Arial" w:cs="David"/>
              <w:sz w:val="24"/>
              <w:szCs w:val="24"/>
              <w:rtl/>
            </w:rPr>
            <w:instrText xml:space="preserve"> </w:instrText>
          </w:r>
          <w:r w:rsidR="0075006C" w:rsidRPr="00412F94">
            <w:rPr>
              <w:rFonts w:ascii="Arial" w:hAnsi="Arial" w:cs="David" w:hint="cs"/>
              <w:sz w:val="24"/>
              <w:szCs w:val="24"/>
            </w:rPr>
            <w:instrText>CITATION</w:instrText>
          </w:r>
          <w:r w:rsidR="0075006C" w:rsidRPr="00412F94">
            <w:rPr>
              <w:rFonts w:ascii="Arial" w:hAnsi="Arial" w:cs="David" w:hint="cs"/>
              <w:sz w:val="24"/>
              <w:szCs w:val="24"/>
              <w:rtl/>
            </w:rPr>
            <w:instrText xml:space="preserve"> ראד14 \</w:instrText>
          </w:r>
          <w:r w:rsidR="0075006C" w:rsidRPr="00412F94">
            <w:rPr>
              <w:rFonts w:ascii="Arial" w:hAnsi="Arial" w:cs="David" w:hint="cs"/>
              <w:sz w:val="24"/>
              <w:szCs w:val="24"/>
            </w:rPr>
            <w:instrText>l 1037</w:instrText>
          </w:r>
          <w:r w:rsidR="0075006C" w:rsidRPr="00412F94">
            <w:rPr>
              <w:rFonts w:ascii="Arial" w:hAnsi="Arial" w:cs="David"/>
              <w:sz w:val="24"/>
              <w:szCs w:val="24"/>
              <w:rtl/>
            </w:rPr>
            <w:instrText xml:space="preserve"> </w:instrText>
          </w:r>
          <w:r w:rsidR="002B306D" w:rsidRPr="00412F94">
            <w:rPr>
              <w:rFonts w:ascii="Arial" w:hAnsi="Arial" w:cs="David"/>
              <w:sz w:val="24"/>
              <w:szCs w:val="24"/>
              <w:rtl/>
            </w:rPr>
            <w:fldChar w:fldCharType="separate"/>
          </w:r>
          <w:r w:rsidR="0075006C" w:rsidRPr="00412F94">
            <w:rPr>
              <w:rFonts w:ascii="Arial" w:hAnsi="Arial" w:cs="David"/>
              <w:noProof/>
              <w:sz w:val="24"/>
              <w:szCs w:val="24"/>
              <w:rtl/>
            </w:rPr>
            <w:t xml:space="preserve"> </w:t>
          </w:r>
          <w:r w:rsidR="0075006C" w:rsidRPr="00412F94">
            <w:rPr>
              <w:rFonts w:ascii="Arial" w:hAnsi="Arial" w:cs="David" w:hint="cs"/>
              <w:noProof/>
              <w:sz w:val="24"/>
              <w:szCs w:val="24"/>
              <w:rtl/>
            </w:rPr>
            <w:t>(טשנר, 2014)</w:t>
          </w:r>
          <w:r w:rsidR="002B306D" w:rsidRPr="00412F94">
            <w:rPr>
              <w:rFonts w:ascii="Arial" w:hAnsi="Arial" w:cs="David"/>
              <w:sz w:val="24"/>
              <w:szCs w:val="24"/>
              <w:rtl/>
            </w:rPr>
            <w:fldChar w:fldCharType="end"/>
          </w:r>
        </w:sdtContent>
      </w:sdt>
      <w:r w:rsidR="0075006C" w:rsidRPr="00412F94">
        <w:rPr>
          <w:rFonts w:ascii="Arial" w:hAnsi="Arial" w:cs="David" w:hint="cs"/>
          <w:sz w:val="24"/>
          <w:szCs w:val="24"/>
          <w:rtl/>
        </w:rPr>
        <w:t xml:space="preserve"> והמגמה אף מחריפה. </w:t>
      </w:r>
      <w:r w:rsidR="00667ECD" w:rsidRPr="00412F94">
        <w:rPr>
          <w:rFonts w:ascii="Arial" w:hAnsi="Arial" w:cs="David" w:hint="cs"/>
          <w:sz w:val="24"/>
          <w:szCs w:val="24"/>
          <w:rtl/>
        </w:rPr>
        <w:t xml:space="preserve"> אחת התופעות החמורות והבולטות בחברה הערבית הנה החזקה ושימוש באמצעי לחימה בלתי חוקיים. בין השנים 201</w:t>
      </w:r>
      <w:r w:rsidR="008E201D" w:rsidRPr="00412F94">
        <w:rPr>
          <w:rFonts w:ascii="Arial" w:hAnsi="Arial" w:cs="David" w:hint="cs"/>
          <w:sz w:val="24"/>
          <w:szCs w:val="24"/>
          <w:rtl/>
        </w:rPr>
        <w:t>6</w:t>
      </w:r>
      <w:r w:rsidR="00667ECD" w:rsidRPr="00412F94">
        <w:rPr>
          <w:rFonts w:ascii="Arial" w:hAnsi="Arial" w:cs="David" w:hint="cs"/>
          <w:sz w:val="24"/>
          <w:szCs w:val="24"/>
          <w:rtl/>
        </w:rPr>
        <w:t>-201</w:t>
      </w:r>
      <w:r w:rsidR="008E201D" w:rsidRPr="00412F94">
        <w:rPr>
          <w:rFonts w:ascii="Arial" w:hAnsi="Arial" w:cs="David" w:hint="cs"/>
          <w:sz w:val="24"/>
          <w:szCs w:val="24"/>
          <w:rtl/>
        </w:rPr>
        <w:t>4</w:t>
      </w:r>
      <w:r w:rsidR="00667ECD" w:rsidRPr="00412F94">
        <w:rPr>
          <w:rFonts w:ascii="Arial" w:hAnsi="Arial" w:cs="David" w:hint="cs"/>
          <w:sz w:val="24"/>
          <w:szCs w:val="24"/>
          <w:rtl/>
        </w:rPr>
        <w:t xml:space="preserve"> היה שיעור עבירות הירי, מסכנות החיים, בחברה הערבית גדול פי שבע-עשרה וחצי מאשר במגזר היהודי. </w:t>
      </w:r>
      <w:r w:rsidRPr="00412F94">
        <w:rPr>
          <w:rFonts w:ascii="Arial" w:hAnsi="Arial" w:cs="David" w:hint="cs"/>
          <w:sz w:val="24"/>
          <w:szCs w:val="24"/>
          <w:rtl/>
        </w:rPr>
        <w:t xml:space="preserve">כמו כן, </w:t>
      </w:r>
      <w:r w:rsidR="00667ECD" w:rsidRPr="00412F94">
        <w:rPr>
          <w:rFonts w:ascii="Arial" w:hAnsi="Arial" w:cs="David" w:hint="cs"/>
          <w:sz w:val="24"/>
          <w:szCs w:val="24"/>
          <w:rtl/>
        </w:rPr>
        <w:t xml:space="preserve">שיעור הנפגעים מעבירות אלימות </w:t>
      </w:r>
      <w:r w:rsidRPr="00412F94">
        <w:rPr>
          <w:rFonts w:ascii="Arial" w:hAnsi="Arial" w:cs="David" w:hint="cs"/>
          <w:sz w:val="24"/>
          <w:szCs w:val="24"/>
          <w:rtl/>
        </w:rPr>
        <w:t xml:space="preserve">שנעשה בהן שימוש באמצעי לחימה בקרב האוכלוסייה הערבית גבוה פי שתיים וחצי עד פי 12 משיעור הנפגעים באירועי אלימות כאלה במגזרים אחרים בחברה הישראלית. </w:t>
      </w:r>
      <w:r w:rsidR="00667ECD" w:rsidRPr="00412F94">
        <w:rPr>
          <w:rFonts w:ascii="Arial" w:hAnsi="Arial" w:cs="David" w:hint="cs"/>
          <w:sz w:val="24"/>
          <w:szCs w:val="24"/>
          <w:rtl/>
        </w:rPr>
        <w:t>בין השנים 20</w:t>
      </w:r>
      <w:r w:rsidR="008E201D" w:rsidRPr="00412F94">
        <w:rPr>
          <w:rFonts w:ascii="Arial" w:hAnsi="Arial" w:cs="David" w:hint="cs"/>
          <w:sz w:val="24"/>
          <w:szCs w:val="24"/>
          <w:rtl/>
        </w:rPr>
        <w:t>17</w:t>
      </w:r>
      <w:r w:rsidR="00667ECD" w:rsidRPr="00412F94">
        <w:rPr>
          <w:rFonts w:ascii="Arial" w:hAnsi="Arial" w:cs="David" w:hint="cs"/>
          <w:sz w:val="24"/>
          <w:szCs w:val="24"/>
          <w:rtl/>
        </w:rPr>
        <w:t>-20</w:t>
      </w:r>
      <w:r w:rsidR="008E201D" w:rsidRPr="00412F94">
        <w:rPr>
          <w:rFonts w:ascii="Arial" w:hAnsi="Arial" w:cs="David" w:hint="cs"/>
          <w:sz w:val="24"/>
          <w:szCs w:val="24"/>
          <w:rtl/>
        </w:rPr>
        <w:t>00</w:t>
      </w:r>
      <w:r w:rsidR="00667ECD" w:rsidRPr="00412F94">
        <w:rPr>
          <w:rFonts w:ascii="Arial" w:hAnsi="Arial" w:cs="David" w:hint="cs"/>
          <w:sz w:val="24"/>
          <w:szCs w:val="24"/>
          <w:rtl/>
        </w:rPr>
        <w:t xml:space="preserve">, נרצחו 1236 גברים ונשים </w:t>
      </w:r>
      <w:r w:rsidR="00556475" w:rsidRPr="00412F94">
        <w:rPr>
          <w:rFonts w:ascii="Arial" w:hAnsi="Arial" w:cs="David" w:hint="cs"/>
          <w:sz w:val="24"/>
          <w:szCs w:val="24"/>
          <w:rtl/>
        </w:rPr>
        <w:t>מן החברה הערבית ובין השנים 2014 ועד 2016 נרצחו 30 נשים שהן 42% מכלל הנשים שנרצחו באותה תקופה בישראל</w:t>
      </w:r>
      <w:sdt>
        <w:sdtPr>
          <w:rPr>
            <w:rFonts w:ascii="Arial" w:hAnsi="Arial" w:cs="David" w:hint="cs"/>
            <w:sz w:val="24"/>
            <w:szCs w:val="24"/>
            <w:rtl/>
          </w:rPr>
          <w:id w:val="1779658998"/>
          <w:citation/>
        </w:sdtPr>
        <w:sdtContent>
          <w:r w:rsidR="002B306D" w:rsidRPr="00412F94">
            <w:rPr>
              <w:rFonts w:ascii="Arial" w:hAnsi="Arial" w:cs="David"/>
              <w:sz w:val="24"/>
              <w:szCs w:val="24"/>
              <w:rtl/>
            </w:rPr>
            <w:fldChar w:fldCharType="begin"/>
          </w:r>
          <w:r w:rsidR="00FC3C32" w:rsidRPr="00412F94">
            <w:rPr>
              <w:rFonts w:ascii="Arial" w:hAnsi="Arial" w:cs="David"/>
              <w:sz w:val="24"/>
              <w:szCs w:val="24"/>
              <w:rtl/>
            </w:rPr>
            <w:instrText xml:space="preserve"> </w:instrText>
          </w:r>
          <w:r w:rsidR="00FC3C32" w:rsidRPr="00412F94">
            <w:rPr>
              <w:rFonts w:ascii="Arial" w:hAnsi="Arial" w:cs="David" w:hint="cs"/>
              <w:sz w:val="24"/>
              <w:szCs w:val="24"/>
            </w:rPr>
            <w:instrText>CITATION</w:instrText>
          </w:r>
          <w:r w:rsidR="00FC3C32" w:rsidRPr="00412F94">
            <w:rPr>
              <w:rFonts w:ascii="Arial" w:hAnsi="Arial" w:cs="David" w:hint="cs"/>
              <w:sz w:val="24"/>
              <w:szCs w:val="24"/>
              <w:rtl/>
            </w:rPr>
            <w:instrText xml:space="preserve"> מבק181 \</w:instrText>
          </w:r>
          <w:r w:rsidR="00FC3C32" w:rsidRPr="00412F94">
            <w:rPr>
              <w:rFonts w:ascii="Arial" w:hAnsi="Arial" w:cs="David" w:hint="cs"/>
              <w:sz w:val="24"/>
              <w:szCs w:val="24"/>
            </w:rPr>
            <w:instrText>l 1037</w:instrText>
          </w:r>
          <w:r w:rsidR="00FC3C32" w:rsidRPr="00412F94">
            <w:rPr>
              <w:rFonts w:ascii="Arial" w:hAnsi="Arial" w:cs="David"/>
              <w:sz w:val="24"/>
              <w:szCs w:val="24"/>
              <w:rtl/>
            </w:rPr>
            <w:instrText xml:space="preserve"> </w:instrText>
          </w:r>
          <w:r w:rsidR="002B306D" w:rsidRPr="00412F94">
            <w:rPr>
              <w:rFonts w:ascii="Arial" w:hAnsi="Arial" w:cs="David"/>
              <w:sz w:val="24"/>
              <w:szCs w:val="24"/>
              <w:rtl/>
            </w:rPr>
            <w:fldChar w:fldCharType="separate"/>
          </w:r>
          <w:r w:rsidR="00FC3C32" w:rsidRPr="00412F94">
            <w:rPr>
              <w:rFonts w:ascii="Arial" w:hAnsi="Arial" w:cs="David"/>
              <w:noProof/>
              <w:sz w:val="24"/>
              <w:szCs w:val="24"/>
              <w:rtl/>
            </w:rPr>
            <w:t xml:space="preserve"> </w:t>
          </w:r>
          <w:r w:rsidR="00FC3C32" w:rsidRPr="00412F94">
            <w:rPr>
              <w:rFonts w:ascii="Arial" w:hAnsi="Arial" w:cs="David" w:hint="cs"/>
              <w:noProof/>
              <w:sz w:val="24"/>
              <w:szCs w:val="24"/>
              <w:rtl/>
            </w:rPr>
            <w:t>(מבקר המדינה, 2018)</w:t>
          </w:r>
          <w:r w:rsidR="002B306D" w:rsidRPr="00412F94">
            <w:rPr>
              <w:rFonts w:ascii="Arial" w:hAnsi="Arial" w:cs="David"/>
              <w:sz w:val="24"/>
              <w:szCs w:val="24"/>
              <w:rtl/>
            </w:rPr>
            <w:fldChar w:fldCharType="end"/>
          </w:r>
        </w:sdtContent>
      </w:sdt>
      <w:r w:rsidR="00667ECD" w:rsidRPr="00412F94">
        <w:rPr>
          <w:rFonts w:ascii="Arial" w:hAnsi="Arial" w:cs="David" w:hint="cs"/>
          <w:sz w:val="24"/>
          <w:szCs w:val="24"/>
          <w:rtl/>
        </w:rPr>
        <w:t>.</w:t>
      </w:r>
    </w:p>
    <w:p w:rsidR="00F41725" w:rsidRPr="00412F94" w:rsidRDefault="00F41725" w:rsidP="003A523B">
      <w:pPr>
        <w:bidi/>
        <w:spacing w:line="360" w:lineRule="auto"/>
        <w:jc w:val="both"/>
        <w:rPr>
          <w:rFonts w:ascii="Arial" w:hAnsi="Arial" w:cs="David"/>
          <w:sz w:val="24"/>
          <w:szCs w:val="24"/>
          <w:rtl/>
        </w:rPr>
      </w:pPr>
      <w:r w:rsidRPr="00412F94">
        <w:rPr>
          <w:rFonts w:ascii="Arial" w:hAnsi="Arial" w:cs="David" w:hint="cs"/>
          <w:sz w:val="24"/>
          <w:szCs w:val="24"/>
          <w:rtl/>
        </w:rPr>
        <w:t>היקף האלימות והשימוש בנשק ואמצעי לחימה בחברה הערבית פוגעים בתחושת הביטחון של האזרחים הערבים, 32% מהתושבים בישובים הערבים אינם חשים ביטחון ביישובם     ו 49% חשים כי ביישובם יש תופעה של ירי ושימוש בנשק</w:t>
      </w:r>
      <w:sdt>
        <w:sdtPr>
          <w:rPr>
            <w:rFonts w:ascii="Arial" w:hAnsi="Arial" w:cs="David" w:hint="cs"/>
            <w:sz w:val="24"/>
            <w:szCs w:val="24"/>
            <w:rtl/>
          </w:rPr>
          <w:id w:val="8509407"/>
          <w:citation/>
        </w:sdtPr>
        <w:sdtContent>
          <w:r w:rsidR="002B306D" w:rsidRPr="00412F94">
            <w:rPr>
              <w:rFonts w:ascii="Arial" w:hAnsi="Arial" w:cs="David"/>
              <w:sz w:val="24"/>
              <w:szCs w:val="24"/>
              <w:rtl/>
            </w:rPr>
            <w:fldChar w:fldCharType="begin"/>
          </w:r>
          <w:r w:rsidRPr="00412F94">
            <w:rPr>
              <w:rFonts w:ascii="Arial" w:hAnsi="Arial" w:cs="David"/>
              <w:sz w:val="24"/>
              <w:szCs w:val="24"/>
              <w:rtl/>
            </w:rPr>
            <w:instrText xml:space="preserve"> </w:instrText>
          </w:r>
          <w:r w:rsidRPr="00412F94">
            <w:rPr>
              <w:rFonts w:ascii="Arial" w:hAnsi="Arial" w:cs="David" w:hint="cs"/>
              <w:sz w:val="24"/>
              <w:szCs w:val="24"/>
            </w:rPr>
            <w:instrText>CITATION</w:instrText>
          </w:r>
          <w:r w:rsidRPr="00412F94">
            <w:rPr>
              <w:rFonts w:ascii="Arial" w:hAnsi="Arial" w:cs="David" w:hint="cs"/>
              <w:sz w:val="24"/>
              <w:szCs w:val="24"/>
              <w:rtl/>
            </w:rPr>
            <w:instrText xml:space="preserve"> יוז181 \</w:instrText>
          </w:r>
          <w:r w:rsidRPr="00412F94">
            <w:rPr>
              <w:rFonts w:ascii="Arial" w:hAnsi="Arial" w:cs="David" w:hint="cs"/>
              <w:sz w:val="24"/>
              <w:szCs w:val="24"/>
            </w:rPr>
            <w:instrText>l 1037</w:instrText>
          </w:r>
          <w:r w:rsidRPr="00412F94">
            <w:rPr>
              <w:rFonts w:ascii="Arial" w:hAnsi="Arial" w:cs="David"/>
              <w:sz w:val="24"/>
              <w:szCs w:val="24"/>
              <w:rtl/>
            </w:rPr>
            <w:instrText xml:space="preserve"> </w:instrText>
          </w:r>
          <w:r w:rsidR="002B306D" w:rsidRPr="00412F94">
            <w:rPr>
              <w:rFonts w:ascii="Arial" w:hAnsi="Arial" w:cs="David"/>
              <w:sz w:val="24"/>
              <w:szCs w:val="24"/>
              <w:rtl/>
            </w:rPr>
            <w:fldChar w:fldCharType="separate"/>
          </w:r>
          <w:r w:rsidRPr="00412F94">
            <w:rPr>
              <w:rFonts w:ascii="Arial" w:hAnsi="Arial" w:cs="David"/>
              <w:noProof/>
              <w:sz w:val="24"/>
              <w:szCs w:val="24"/>
              <w:rtl/>
            </w:rPr>
            <w:t xml:space="preserve"> </w:t>
          </w:r>
          <w:r w:rsidRPr="00412F94">
            <w:rPr>
              <w:rFonts w:ascii="Arial" w:hAnsi="Arial" w:cs="David" w:hint="cs"/>
              <w:noProof/>
              <w:sz w:val="24"/>
              <w:szCs w:val="24"/>
              <w:rtl/>
            </w:rPr>
            <w:t>(יוזמות קרן אברהם, 2018)</w:t>
          </w:r>
          <w:r w:rsidR="002B306D" w:rsidRPr="00412F94">
            <w:rPr>
              <w:rFonts w:ascii="Arial" w:hAnsi="Arial" w:cs="David"/>
              <w:sz w:val="24"/>
              <w:szCs w:val="24"/>
              <w:rtl/>
            </w:rPr>
            <w:fldChar w:fldCharType="end"/>
          </w:r>
        </w:sdtContent>
      </w:sdt>
      <w:r w:rsidRPr="00412F94">
        <w:rPr>
          <w:rFonts w:ascii="Arial" w:hAnsi="Arial" w:cs="David" w:hint="cs"/>
          <w:sz w:val="24"/>
          <w:szCs w:val="24"/>
          <w:rtl/>
        </w:rPr>
        <w:t xml:space="preserve">. </w:t>
      </w:r>
    </w:p>
    <w:p w:rsidR="0070315B" w:rsidRPr="00412F94" w:rsidRDefault="0070315B" w:rsidP="00412F94">
      <w:pPr>
        <w:bidi/>
        <w:spacing w:line="360" w:lineRule="auto"/>
        <w:jc w:val="both"/>
        <w:rPr>
          <w:rFonts w:ascii="Arial" w:hAnsi="Arial" w:cs="David"/>
          <w:sz w:val="24"/>
          <w:szCs w:val="24"/>
          <w:rtl/>
        </w:rPr>
      </w:pPr>
      <w:r w:rsidRPr="00412F94">
        <w:rPr>
          <w:rFonts w:ascii="Arial" w:hAnsi="Arial" w:cs="David" w:hint="cs"/>
          <w:sz w:val="24"/>
          <w:szCs w:val="24"/>
          <w:rtl/>
        </w:rPr>
        <w:t>המניע המרכזי להחזקת הנשק הבלתי חוקי הוא פלילי, דהיינו על מנת לבצע באמצעותו עבירות</w:t>
      </w:r>
      <w:r w:rsidR="00587CC2" w:rsidRPr="00412F94">
        <w:rPr>
          <w:rFonts w:ascii="Arial" w:hAnsi="Arial" w:cs="David" w:hint="cs"/>
          <w:sz w:val="24"/>
          <w:szCs w:val="24"/>
          <w:rtl/>
        </w:rPr>
        <w:t xml:space="preserve"> חמורות כמו רצח, שוד וסחיטת דמי חסות וגם </w:t>
      </w:r>
      <w:r w:rsidRPr="00412F94">
        <w:rPr>
          <w:rFonts w:ascii="Arial" w:hAnsi="Arial" w:cs="David" w:hint="cs"/>
          <w:sz w:val="24"/>
          <w:szCs w:val="24"/>
          <w:rtl/>
        </w:rPr>
        <w:t xml:space="preserve">כדי </w:t>
      </w:r>
      <w:r w:rsidR="00587CC2" w:rsidRPr="00412F94">
        <w:rPr>
          <w:rFonts w:ascii="Arial" w:hAnsi="Arial" w:cs="David" w:hint="cs"/>
          <w:sz w:val="24"/>
          <w:szCs w:val="24"/>
          <w:rtl/>
        </w:rPr>
        <w:t xml:space="preserve">לצבור כוח ועוצמה במסגרת מאבקים בין ארגוני פשיעה וסכסוכי חמולות. </w:t>
      </w:r>
      <w:r w:rsidR="00B72D6B" w:rsidRPr="00412F94">
        <w:rPr>
          <w:rFonts w:ascii="Arial" w:hAnsi="Arial" w:cs="David" w:hint="cs"/>
          <w:sz w:val="24"/>
          <w:szCs w:val="24"/>
          <w:rtl/>
        </w:rPr>
        <w:t xml:space="preserve">בנוסף לכך, </w:t>
      </w:r>
      <w:r w:rsidRPr="00412F94">
        <w:rPr>
          <w:rFonts w:ascii="Arial" w:hAnsi="Arial" w:cs="David" w:hint="cs"/>
          <w:sz w:val="24"/>
          <w:szCs w:val="24"/>
          <w:rtl/>
        </w:rPr>
        <w:t>גם אזרחים נורמטיביים רבים מחזיקים נשק בלתי חוקי, משום שתחושת הביטחון שלהם נמוכה ובכך הם סבורים שיגנו על משפחתם</w:t>
      </w:r>
      <w:r w:rsidR="00B72D6B" w:rsidRPr="00412F94">
        <w:rPr>
          <w:rFonts w:ascii="Arial" w:hAnsi="Arial" w:cs="David" w:hint="cs"/>
          <w:sz w:val="24"/>
          <w:szCs w:val="24"/>
          <w:rtl/>
        </w:rPr>
        <w:t xml:space="preserve"> או יתמודדו עם סכסוכים באופן עצמאי וללא מעורבות של רשויות החוק. תופעה זו מוכרת בספרות כ </w:t>
      </w:r>
      <w:r w:rsidR="00B72D6B" w:rsidRPr="00412F94">
        <w:rPr>
          <w:rFonts w:ascii="Arial" w:hAnsi="Arial" w:cs="David"/>
          <w:sz w:val="24"/>
          <w:szCs w:val="24"/>
        </w:rPr>
        <w:t>"Self-Help"</w:t>
      </w:r>
      <w:r w:rsidRPr="00412F94">
        <w:rPr>
          <w:rFonts w:ascii="Arial" w:hAnsi="Arial" w:cs="David" w:hint="cs"/>
          <w:sz w:val="24"/>
          <w:szCs w:val="24"/>
          <w:rtl/>
        </w:rPr>
        <w:t xml:space="preserve"> </w:t>
      </w:r>
      <w:r w:rsidR="00B72D6B" w:rsidRPr="00412F94">
        <w:rPr>
          <w:rFonts w:ascii="Arial" w:hAnsi="Arial" w:cs="David" w:hint="cs"/>
          <w:sz w:val="24"/>
          <w:szCs w:val="24"/>
          <w:rtl/>
        </w:rPr>
        <w:t>והיא נפוצה על רקע היעדר אמון ברשויות החוק.</w:t>
      </w:r>
      <w:sdt>
        <w:sdtPr>
          <w:rPr>
            <w:rFonts w:ascii="Arial" w:hAnsi="Arial" w:cs="David" w:hint="cs"/>
            <w:sz w:val="24"/>
            <w:szCs w:val="24"/>
            <w:rtl/>
          </w:rPr>
          <w:id w:val="8509408"/>
          <w:citation/>
        </w:sdtPr>
        <w:sdtContent>
          <w:r w:rsidR="002B306D" w:rsidRPr="00412F94">
            <w:rPr>
              <w:rFonts w:ascii="Arial" w:hAnsi="Arial" w:cs="David"/>
              <w:sz w:val="24"/>
              <w:szCs w:val="24"/>
              <w:rtl/>
            </w:rPr>
            <w:fldChar w:fldCharType="begin"/>
          </w:r>
          <w:r w:rsidR="00CF1430" w:rsidRPr="00412F94">
            <w:rPr>
              <w:rFonts w:ascii="Arial" w:hAnsi="Arial" w:cs="David"/>
              <w:sz w:val="24"/>
              <w:szCs w:val="24"/>
            </w:rPr>
            <w:instrText xml:space="preserve"> CITATION Par10 \l 1033 </w:instrText>
          </w:r>
          <w:r w:rsidR="002B306D" w:rsidRPr="00412F94">
            <w:rPr>
              <w:rFonts w:ascii="Arial" w:hAnsi="Arial" w:cs="David"/>
              <w:sz w:val="24"/>
              <w:szCs w:val="24"/>
              <w:rtl/>
            </w:rPr>
            <w:fldChar w:fldCharType="separate"/>
          </w:r>
          <w:r w:rsidR="00CF1430" w:rsidRPr="00412F94">
            <w:rPr>
              <w:rFonts w:ascii="Arial" w:hAnsi="Arial" w:cs="David"/>
              <w:noProof/>
              <w:sz w:val="24"/>
              <w:szCs w:val="24"/>
            </w:rPr>
            <w:t xml:space="preserve"> (Pare, 2010)</w:t>
          </w:r>
          <w:r w:rsidR="002B306D" w:rsidRPr="00412F94">
            <w:rPr>
              <w:rFonts w:ascii="Arial" w:hAnsi="Arial" w:cs="David"/>
              <w:sz w:val="24"/>
              <w:szCs w:val="24"/>
              <w:rtl/>
            </w:rPr>
            <w:fldChar w:fldCharType="end"/>
          </w:r>
        </w:sdtContent>
      </w:sdt>
      <w:r w:rsidR="00561219" w:rsidRPr="00412F94">
        <w:rPr>
          <w:rFonts w:ascii="Arial" w:hAnsi="Arial" w:cs="David" w:hint="cs"/>
          <w:sz w:val="24"/>
          <w:szCs w:val="24"/>
          <w:rtl/>
        </w:rPr>
        <w:t xml:space="preserve">. </w:t>
      </w:r>
    </w:p>
    <w:p w:rsidR="002F33A4" w:rsidRPr="00412F94" w:rsidRDefault="002F33A4" w:rsidP="00B5309F">
      <w:pPr>
        <w:bidi/>
        <w:spacing w:line="360" w:lineRule="auto"/>
        <w:jc w:val="both"/>
        <w:rPr>
          <w:rFonts w:ascii="Arial" w:hAnsi="Arial" w:cs="David"/>
          <w:sz w:val="24"/>
          <w:szCs w:val="24"/>
          <w:rtl/>
        </w:rPr>
      </w:pPr>
      <w:r w:rsidRPr="00412F94">
        <w:rPr>
          <w:rFonts w:ascii="Arial" w:hAnsi="Arial" w:cs="David" w:hint="cs"/>
          <w:sz w:val="24"/>
          <w:szCs w:val="24"/>
          <w:rtl/>
        </w:rPr>
        <w:lastRenderedPageBreak/>
        <w:t xml:space="preserve">השילוב שבין הזמינות הגבוהה של נשק בחברה הערבית </w:t>
      </w:r>
      <w:r w:rsidR="00745950" w:rsidRPr="00412F94">
        <w:rPr>
          <w:rFonts w:ascii="Arial" w:hAnsi="Arial" w:cs="David" w:hint="cs"/>
          <w:sz w:val="24"/>
          <w:szCs w:val="24"/>
          <w:rtl/>
        </w:rPr>
        <w:t>לשיעור</w:t>
      </w:r>
      <w:r w:rsidRPr="00412F94">
        <w:rPr>
          <w:rFonts w:ascii="Arial" w:hAnsi="Arial" w:cs="David" w:hint="cs"/>
          <w:sz w:val="24"/>
          <w:szCs w:val="24"/>
          <w:rtl/>
        </w:rPr>
        <w:t xml:space="preserve"> האלימות </w:t>
      </w:r>
      <w:r w:rsidR="00745950" w:rsidRPr="00412F94">
        <w:rPr>
          <w:rFonts w:ascii="Arial" w:hAnsi="Arial" w:cs="David" w:hint="cs"/>
          <w:sz w:val="24"/>
          <w:szCs w:val="24"/>
          <w:rtl/>
        </w:rPr>
        <w:t>ה</w:t>
      </w:r>
      <w:r w:rsidRPr="00412F94">
        <w:rPr>
          <w:rFonts w:ascii="Arial" w:hAnsi="Arial" w:cs="David" w:hint="cs"/>
          <w:sz w:val="24"/>
          <w:szCs w:val="24"/>
          <w:rtl/>
        </w:rPr>
        <w:t>גבוה</w:t>
      </w:r>
      <w:r w:rsidR="00745950" w:rsidRPr="00412F94">
        <w:rPr>
          <w:rFonts w:ascii="Arial" w:hAnsi="Arial" w:cs="David" w:hint="cs"/>
          <w:sz w:val="24"/>
          <w:szCs w:val="24"/>
          <w:rtl/>
        </w:rPr>
        <w:t xml:space="preserve"> המאפיין אותה,</w:t>
      </w:r>
      <w:r w:rsidRPr="00412F94">
        <w:rPr>
          <w:rFonts w:ascii="Arial" w:hAnsi="Arial" w:cs="David" w:hint="cs"/>
          <w:sz w:val="24"/>
          <w:szCs w:val="24"/>
          <w:rtl/>
        </w:rPr>
        <w:t xml:space="preserve"> גורם לכך ש</w:t>
      </w:r>
      <w:r w:rsidR="00745950" w:rsidRPr="00412F94">
        <w:rPr>
          <w:rFonts w:ascii="Arial" w:hAnsi="Arial" w:cs="David" w:hint="cs"/>
          <w:sz w:val="24"/>
          <w:szCs w:val="24"/>
          <w:rtl/>
        </w:rPr>
        <w:t>הסיכוי לשימוש בנשק בסיטואציות של עימות, הוא גבוה יחסית</w:t>
      </w:r>
      <w:sdt>
        <w:sdtPr>
          <w:rPr>
            <w:rFonts w:ascii="Arial" w:hAnsi="Arial" w:cs="David" w:hint="cs"/>
            <w:sz w:val="24"/>
            <w:szCs w:val="24"/>
            <w:rtl/>
          </w:rPr>
          <w:id w:val="315608555"/>
          <w:citation/>
        </w:sdtPr>
        <w:sdtContent>
          <w:r w:rsidR="002B306D" w:rsidRPr="00412F94">
            <w:rPr>
              <w:rFonts w:ascii="Arial" w:hAnsi="Arial" w:cs="David"/>
              <w:sz w:val="24"/>
              <w:szCs w:val="24"/>
              <w:rtl/>
            </w:rPr>
            <w:fldChar w:fldCharType="begin"/>
          </w:r>
          <w:r w:rsidR="00745950" w:rsidRPr="00412F94">
            <w:rPr>
              <w:rFonts w:ascii="Arial" w:hAnsi="Arial" w:cs="David"/>
              <w:sz w:val="24"/>
              <w:szCs w:val="24"/>
              <w:rtl/>
            </w:rPr>
            <w:instrText xml:space="preserve"> </w:instrText>
          </w:r>
          <w:r w:rsidR="00745950" w:rsidRPr="00412F94">
            <w:rPr>
              <w:rFonts w:ascii="Arial" w:hAnsi="Arial" w:cs="David" w:hint="cs"/>
              <w:sz w:val="24"/>
              <w:szCs w:val="24"/>
            </w:rPr>
            <w:instrText>CITATION</w:instrText>
          </w:r>
          <w:r w:rsidR="00745950" w:rsidRPr="00412F94">
            <w:rPr>
              <w:rFonts w:ascii="Arial" w:hAnsi="Arial" w:cs="David" w:hint="cs"/>
              <w:sz w:val="24"/>
              <w:szCs w:val="24"/>
              <w:rtl/>
            </w:rPr>
            <w:instrText xml:space="preserve"> </w:instrText>
          </w:r>
          <w:r w:rsidR="00745950" w:rsidRPr="00412F94">
            <w:rPr>
              <w:rFonts w:ascii="Arial" w:hAnsi="Arial" w:cs="David" w:hint="cs"/>
              <w:sz w:val="24"/>
              <w:szCs w:val="24"/>
            </w:rPr>
            <w:instrText>Lud04 \l 1037</w:instrText>
          </w:r>
          <w:r w:rsidR="00745950" w:rsidRPr="00412F94">
            <w:rPr>
              <w:rFonts w:ascii="Arial" w:hAnsi="Arial" w:cs="David"/>
              <w:sz w:val="24"/>
              <w:szCs w:val="24"/>
              <w:rtl/>
            </w:rPr>
            <w:instrText xml:space="preserve"> </w:instrText>
          </w:r>
          <w:r w:rsidR="002B306D" w:rsidRPr="00412F94">
            <w:rPr>
              <w:rFonts w:ascii="Arial" w:hAnsi="Arial" w:cs="David"/>
              <w:sz w:val="24"/>
              <w:szCs w:val="24"/>
              <w:rtl/>
            </w:rPr>
            <w:fldChar w:fldCharType="separate"/>
          </w:r>
          <w:r w:rsidR="00745950" w:rsidRPr="00412F94">
            <w:rPr>
              <w:rFonts w:ascii="Arial" w:hAnsi="Arial" w:cs="David"/>
              <w:noProof/>
              <w:sz w:val="24"/>
              <w:szCs w:val="24"/>
              <w:rtl/>
            </w:rPr>
            <w:t xml:space="preserve"> </w:t>
          </w:r>
          <w:r w:rsidR="00745950" w:rsidRPr="00412F94">
            <w:rPr>
              <w:rFonts w:ascii="Arial" w:hAnsi="Arial" w:cs="David" w:hint="cs"/>
              <w:noProof/>
              <w:sz w:val="24"/>
              <w:szCs w:val="24"/>
              <w:rtl/>
            </w:rPr>
            <w:t>(</w:t>
          </w:r>
          <w:r w:rsidR="00745950" w:rsidRPr="00412F94">
            <w:rPr>
              <w:rFonts w:ascii="Arial" w:hAnsi="Arial" w:cs="David" w:hint="cs"/>
              <w:noProof/>
              <w:sz w:val="24"/>
              <w:szCs w:val="24"/>
            </w:rPr>
            <w:t>Ludwwig, 2004</w:t>
          </w:r>
          <w:r w:rsidR="00745950" w:rsidRPr="00412F94">
            <w:rPr>
              <w:rFonts w:ascii="Arial" w:hAnsi="Arial" w:cs="David" w:hint="cs"/>
              <w:noProof/>
              <w:sz w:val="24"/>
              <w:szCs w:val="24"/>
              <w:rtl/>
            </w:rPr>
            <w:t>)</w:t>
          </w:r>
          <w:r w:rsidR="002B306D" w:rsidRPr="00412F94">
            <w:rPr>
              <w:rFonts w:ascii="Arial" w:hAnsi="Arial" w:cs="David"/>
              <w:sz w:val="24"/>
              <w:szCs w:val="24"/>
              <w:rtl/>
            </w:rPr>
            <w:fldChar w:fldCharType="end"/>
          </w:r>
        </w:sdtContent>
      </w:sdt>
      <w:r w:rsidR="00745950" w:rsidRPr="00412F94">
        <w:rPr>
          <w:rFonts w:ascii="Arial" w:hAnsi="Arial" w:cs="David" w:hint="cs"/>
          <w:sz w:val="24"/>
          <w:szCs w:val="24"/>
          <w:rtl/>
        </w:rPr>
        <w:t>.</w:t>
      </w:r>
      <w:r w:rsidR="00B5309F" w:rsidRPr="00412F94">
        <w:rPr>
          <w:rFonts w:ascii="Arial" w:hAnsi="Arial" w:cs="David" w:hint="cs"/>
          <w:sz w:val="24"/>
          <w:szCs w:val="24"/>
          <w:rtl/>
        </w:rPr>
        <w:t xml:space="preserve"> השימוש בנשק מגביר את הסיכוי לרצח או פגיעה חמורה יותר</w:t>
      </w:r>
      <w:r w:rsidR="00F43FD8" w:rsidRPr="00412F94">
        <w:rPr>
          <w:rFonts w:ascii="Arial" w:hAnsi="Arial" w:cs="David" w:hint="cs"/>
          <w:sz w:val="24"/>
          <w:szCs w:val="24"/>
          <w:rtl/>
        </w:rPr>
        <w:t>,</w:t>
      </w:r>
      <w:r w:rsidR="00B5309F" w:rsidRPr="00412F94">
        <w:rPr>
          <w:rFonts w:ascii="Arial" w:hAnsi="Arial" w:cs="David" w:hint="cs"/>
          <w:sz w:val="24"/>
          <w:szCs w:val="24"/>
          <w:rtl/>
        </w:rPr>
        <w:t xml:space="preserve"> אשר במקרים רבים גוררת תגובה, החמרת הסכסוך והזנה של מעגל האלימות. </w:t>
      </w:r>
    </w:p>
    <w:p w:rsidR="00624CAA" w:rsidRPr="00412F94" w:rsidRDefault="002C2E8F" w:rsidP="00B13D9F">
      <w:pPr>
        <w:bidi/>
        <w:spacing w:line="360" w:lineRule="auto"/>
        <w:jc w:val="both"/>
        <w:rPr>
          <w:rFonts w:ascii="Arial" w:hAnsi="Arial" w:cs="David" w:hint="cs"/>
          <w:sz w:val="24"/>
          <w:szCs w:val="24"/>
          <w:rtl/>
        </w:rPr>
      </w:pPr>
      <w:r w:rsidRPr="00412F94">
        <w:rPr>
          <w:rFonts w:ascii="Arial" w:hAnsi="Arial" w:cs="David" w:hint="cs"/>
          <w:sz w:val="24"/>
          <w:szCs w:val="24"/>
          <w:rtl/>
        </w:rPr>
        <w:t>מאפיין מטריד נוסף של הפשיעה במגזר הערבי הוא התעצמות ארגוני פשיעה ערביים מתחילת העשור הנוכחי</w:t>
      </w:r>
      <w:r w:rsidR="00401BA0" w:rsidRPr="00412F94">
        <w:rPr>
          <w:rFonts w:ascii="Arial" w:hAnsi="Arial" w:cs="David" w:hint="cs"/>
          <w:sz w:val="24"/>
          <w:szCs w:val="24"/>
          <w:rtl/>
        </w:rPr>
        <w:t>.</w:t>
      </w:r>
      <w:r w:rsidRPr="00412F94">
        <w:rPr>
          <w:rFonts w:ascii="Arial" w:hAnsi="Arial" w:cs="David" w:hint="cs"/>
          <w:sz w:val="24"/>
          <w:szCs w:val="24"/>
          <w:rtl/>
        </w:rPr>
        <w:t xml:space="preserve"> ארגונים אלה צמחו דווקא על רקע הצלחת המשטרה למוטט את רוב ארגוני הפשיעה הגדולים במגזר היהודי</w:t>
      </w:r>
      <w:r w:rsidR="00B13D9F" w:rsidRPr="00412F94">
        <w:rPr>
          <w:rFonts w:ascii="Arial" w:hAnsi="Arial" w:cs="David" w:hint="cs"/>
          <w:sz w:val="24"/>
          <w:szCs w:val="24"/>
          <w:rtl/>
        </w:rPr>
        <w:t>.  בעולם ידועים מקרים רבים של קשרים בין ארגוני פשיעה לארגוני טרור וכך גם בישראל. בשנים האחרונות נחשפו מספר מקרים שבהם ניצלו ארגוני טרור את הקשר לכנופיות וארגוני פשיעה ערבים בישראל כדי לקדם פיגועים.</w:t>
      </w:r>
      <w:sdt>
        <w:sdtPr>
          <w:rPr>
            <w:rFonts w:ascii="Arial" w:hAnsi="Arial" w:cs="David" w:hint="cs"/>
            <w:sz w:val="24"/>
            <w:szCs w:val="24"/>
            <w:rtl/>
          </w:rPr>
          <w:id w:val="1702960"/>
          <w:citation/>
        </w:sdtPr>
        <w:sdtContent>
          <w:r w:rsidR="00B13D9F" w:rsidRPr="00412F94">
            <w:rPr>
              <w:rFonts w:ascii="Arial" w:hAnsi="Arial" w:cs="David"/>
              <w:sz w:val="24"/>
              <w:szCs w:val="24"/>
              <w:rtl/>
            </w:rPr>
            <w:fldChar w:fldCharType="begin"/>
          </w:r>
          <w:r w:rsidR="00B13D9F" w:rsidRPr="00412F94">
            <w:rPr>
              <w:rFonts w:ascii="Arial" w:hAnsi="Arial" w:cs="David"/>
              <w:sz w:val="24"/>
              <w:szCs w:val="24"/>
              <w:rtl/>
            </w:rPr>
            <w:instrText xml:space="preserve"> </w:instrText>
          </w:r>
          <w:r w:rsidR="00B13D9F" w:rsidRPr="00412F94">
            <w:rPr>
              <w:rFonts w:ascii="Arial" w:hAnsi="Arial" w:cs="David" w:hint="cs"/>
              <w:sz w:val="24"/>
              <w:szCs w:val="24"/>
            </w:rPr>
            <w:instrText>CITATION</w:instrText>
          </w:r>
          <w:r w:rsidR="00B13D9F" w:rsidRPr="00412F94">
            <w:rPr>
              <w:rFonts w:ascii="Arial" w:hAnsi="Arial" w:cs="David" w:hint="cs"/>
              <w:sz w:val="24"/>
              <w:szCs w:val="24"/>
              <w:rtl/>
            </w:rPr>
            <w:instrText xml:space="preserve"> מנח01 \</w:instrText>
          </w:r>
          <w:r w:rsidR="00B13D9F" w:rsidRPr="00412F94">
            <w:rPr>
              <w:rFonts w:ascii="Arial" w:hAnsi="Arial" w:cs="David" w:hint="cs"/>
              <w:sz w:val="24"/>
              <w:szCs w:val="24"/>
            </w:rPr>
            <w:instrText>l 1037</w:instrText>
          </w:r>
          <w:r w:rsidR="00B13D9F" w:rsidRPr="00412F94">
            <w:rPr>
              <w:rFonts w:ascii="Arial" w:hAnsi="Arial" w:cs="David"/>
              <w:sz w:val="24"/>
              <w:szCs w:val="24"/>
              <w:rtl/>
            </w:rPr>
            <w:instrText xml:space="preserve"> </w:instrText>
          </w:r>
          <w:r w:rsidR="00B13D9F" w:rsidRPr="00412F94">
            <w:rPr>
              <w:rFonts w:ascii="Arial" w:hAnsi="Arial" w:cs="David"/>
              <w:sz w:val="24"/>
              <w:szCs w:val="24"/>
              <w:rtl/>
            </w:rPr>
            <w:fldChar w:fldCharType="separate"/>
          </w:r>
          <w:r w:rsidR="00B13D9F" w:rsidRPr="00412F94">
            <w:rPr>
              <w:rFonts w:ascii="Arial" w:hAnsi="Arial" w:cs="David"/>
              <w:noProof/>
              <w:sz w:val="24"/>
              <w:szCs w:val="24"/>
              <w:rtl/>
            </w:rPr>
            <w:t xml:space="preserve"> </w:t>
          </w:r>
          <w:r w:rsidR="00B13D9F" w:rsidRPr="00412F94">
            <w:rPr>
              <w:rFonts w:ascii="Arial" w:hAnsi="Arial" w:cs="David" w:hint="cs"/>
              <w:noProof/>
              <w:sz w:val="24"/>
              <w:szCs w:val="24"/>
              <w:rtl/>
            </w:rPr>
            <w:t>(אמיר, 2001)</w:t>
          </w:r>
          <w:r w:rsidR="00B13D9F" w:rsidRPr="00412F94">
            <w:rPr>
              <w:rFonts w:ascii="Arial" w:hAnsi="Arial" w:cs="David"/>
              <w:sz w:val="24"/>
              <w:szCs w:val="24"/>
              <w:rtl/>
            </w:rPr>
            <w:fldChar w:fldCharType="end"/>
          </w:r>
        </w:sdtContent>
      </w:sdt>
      <w:sdt>
        <w:sdtPr>
          <w:rPr>
            <w:rFonts w:ascii="Arial" w:hAnsi="Arial" w:cs="David" w:hint="cs"/>
            <w:sz w:val="24"/>
            <w:szCs w:val="24"/>
            <w:rtl/>
          </w:rPr>
          <w:id w:val="1702961"/>
          <w:citation/>
        </w:sdtPr>
        <w:sdtContent>
          <w:r w:rsidR="00B13D9F" w:rsidRPr="00412F94">
            <w:rPr>
              <w:rFonts w:ascii="Arial" w:hAnsi="Arial" w:cs="David"/>
              <w:sz w:val="24"/>
              <w:szCs w:val="24"/>
              <w:rtl/>
            </w:rPr>
            <w:fldChar w:fldCharType="begin"/>
          </w:r>
          <w:r w:rsidR="00B13D9F" w:rsidRPr="00412F94">
            <w:rPr>
              <w:rFonts w:ascii="Arial" w:hAnsi="Arial" w:cs="David"/>
              <w:sz w:val="24"/>
              <w:szCs w:val="24"/>
              <w:rtl/>
            </w:rPr>
            <w:instrText xml:space="preserve"> </w:instrText>
          </w:r>
          <w:r w:rsidR="00B13D9F" w:rsidRPr="00412F94">
            <w:rPr>
              <w:rFonts w:ascii="Arial" w:hAnsi="Arial" w:cs="David" w:hint="cs"/>
              <w:sz w:val="24"/>
              <w:szCs w:val="24"/>
            </w:rPr>
            <w:instrText>CITATION</w:instrText>
          </w:r>
          <w:r w:rsidR="00B13D9F" w:rsidRPr="00412F94">
            <w:rPr>
              <w:rFonts w:ascii="Arial" w:hAnsi="Arial" w:cs="David" w:hint="cs"/>
              <w:sz w:val="24"/>
              <w:szCs w:val="24"/>
              <w:rtl/>
            </w:rPr>
            <w:instrText xml:space="preserve"> פינ18 \</w:instrText>
          </w:r>
          <w:r w:rsidR="00B13D9F" w:rsidRPr="00412F94">
            <w:rPr>
              <w:rFonts w:ascii="Arial" w:hAnsi="Arial" w:cs="David" w:hint="cs"/>
              <w:sz w:val="24"/>
              <w:szCs w:val="24"/>
            </w:rPr>
            <w:instrText>l 1037</w:instrText>
          </w:r>
          <w:r w:rsidR="00B13D9F" w:rsidRPr="00412F94">
            <w:rPr>
              <w:rFonts w:ascii="Arial" w:hAnsi="Arial" w:cs="David"/>
              <w:sz w:val="24"/>
              <w:szCs w:val="24"/>
              <w:rtl/>
            </w:rPr>
            <w:instrText xml:space="preserve"> </w:instrText>
          </w:r>
          <w:r w:rsidR="00B13D9F" w:rsidRPr="00412F94">
            <w:rPr>
              <w:rFonts w:ascii="Arial" w:hAnsi="Arial" w:cs="David"/>
              <w:sz w:val="24"/>
              <w:szCs w:val="24"/>
              <w:rtl/>
            </w:rPr>
            <w:fldChar w:fldCharType="separate"/>
          </w:r>
          <w:r w:rsidR="00B13D9F" w:rsidRPr="00412F94">
            <w:rPr>
              <w:rFonts w:ascii="Arial" w:hAnsi="Arial" w:cs="David"/>
              <w:noProof/>
              <w:sz w:val="24"/>
              <w:szCs w:val="24"/>
              <w:rtl/>
            </w:rPr>
            <w:t xml:space="preserve"> </w:t>
          </w:r>
          <w:r w:rsidR="00B13D9F" w:rsidRPr="00412F94">
            <w:rPr>
              <w:rFonts w:ascii="Arial" w:hAnsi="Arial" w:cs="David" w:hint="cs"/>
              <w:noProof/>
              <w:sz w:val="24"/>
              <w:szCs w:val="24"/>
              <w:rtl/>
            </w:rPr>
            <w:t>(יחזקאלי, ארגוני הפשע הערביים: המרחק הדק בין פשיעה לטרור, 2018)</w:t>
          </w:r>
          <w:r w:rsidR="00B13D9F" w:rsidRPr="00412F94">
            <w:rPr>
              <w:rFonts w:ascii="Arial" w:hAnsi="Arial" w:cs="David"/>
              <w:sz w:val="24"/>
              <w:szCs w:val="24"/>
              <w:rtl/>
            </w:rPr>
            <w:fldChar w:fldCharType="end"/>
          </w:r>
        </w:sdtContent>
      </w:sdt>
      <w:r w:rsidR="00B13D9F" w:rsidRPr="00412F94">
        <w:rPr>
          <w:rFonts w:ascii="Arial" w:hAnsi="Arial" w:cs="David" w:hint="cs"/>
          <w:sz w:val="24"/>
          <w:szCs w:val="24"/>
          <w:rtl/>
        </w:rPr>
        <w:t>.</w:t>
      </w:r>
    </w:p>
    <w:p w:rsidR="00B13D9F" w:rsidRPr="00412F94" w:rsidRDefault="00B13D9F" w:rsidP="00412F94">
      <w:pPr>
        <w:bidi/>
        <w:spacing w:line="360" w:lineRule="auto"/>
        <w:jc w:val="both"/>
        <w:rPr>
          <w:rFonts w:ascii="Arial" w:hAnsi="Arial" w:cs="David"/>
          <w:sz w:val="24"/>
          <w:szCs w:val="24"/>
          <w:rtl/>
        </w:rPr>
      </w:pPr>
      <w:r w:rsidRPr="00412F94">
        <w:rPr>
          <w:rFonts w:ascii="Arial" w:hAnsi="Arial" w:cs="David" w:hint="cs"/>
          <w:sz w:val="24"/>
          <w:szCs w:val="24"/>
          <w:rtl/>
        </w:rPr>
        <w:t>בעבודה זו אסקור את המגמות הבולטות של תופעת הפשיעה בחברה הערבית ואת הגורמים המשפיעים על מגמות אלה, המקורות לעבודה כוללים חומר תיאורטי מן הספרות הרלוונטית, נתונים ממחקרים ומאגף התכנון של משטרת ישראל, ראיונות עם פעילים בחברה הערבית ואנשי משטרה</w:t>
      </w:r>
      <w:r w:rsidRPr="00412F94">
        <w:rPr>
          <w:rStyle w:val="ae"/>
          <w:rFonts w:ascii="Arial" w:hAnsi="Arial" w:cs="David"/>
          <w:sz w:val="24"/>
          <w:szCs w:val="24"/>
          <w:rtl/>
        </w:rPr>
        <w:footnoteReference w:id="2"/>
      </w:r>
      <w:r w:rsidRPr="00412F94">
        <w:rPr>
          <w:rFonts w:ascii="Arial" w:hAnsi="Arial" w:cs="David" w:hint="cs"/>
          <w:sz w:val="24"/>
          <w:szCs w:val="24"/>
          <w:rtl/>
        </w:rPr>
        <w:t>.</w:t>
      </w:r>
    </w:p>
    <w:p w:rsidR="00D03FDE" w:rsidRPr="00714CE6" w:rsidRDefault="004C14D9" w:rsidP="00714CE6">
      <w:pPr>
        <w:pStyle w:val="1"/>
        <w:bidi/>
        <w:rPr>
          <w:rFonts w:ascii="David" w:hAnsi="David" w:cs="David"/>
          <w:rtl/>
        </w:rPr>
      </w:pPr>
      <w:bookmarkStart w:id="4" w:name="_Toc4948718"/>
      <w:bookmarkStart w:id="5" w:name="_Toc4950569"/>
      <w:bookmarkStart w:id="6" w:name="_Toc5984335"/>
      <w:r w:rsidRPr="00714CE6">
        <w:rPr>
          <w:rFonts w:ascii="David" w:hAnsi="David" w:cs="David"/>
          <w:rtl/>
        </w:rPr>
        <w:t>נתוני רקע</w:t>
      </w:r>
      <w:bookmarkEnd w:id="4"/>
      <w:bookmarkEnd w:id="5"/>
      <w:bookmarkEnd w:id="6"/>
    </w:p>
    <w:p w:rsidR="004D4C1F" w:rsidRPr="00D03FDE" w:rsidRDefault="00B04C73" w:rsidP="00D03FDE">
      <w:pPr>
        <w:bidi/>
        <w:spacing w:line="360" w:lineRule="auto"/>
        <w:jc w:val="both"/>
        <w:rPr>
          <w:rFonts w:ascii="Arial" w:hAnsi="Arial" w:cs="David"/>
          <w:b/>
          <w:bCs/>
          <w:sz w:val="28"/>
          <w:szCs w:val="28"/>
          <w:rtl/>
        </w:rPr>
      </w:pPr>
      <w:r w:rsidRPr="00412F94">
        <w:rPr>
          <w:rFonts w:ascii="Arial" w:hAnsi="Arial" w:cs="David" w:hint="cs"/>
          <w:color w:val="000000" w:themeColor="text1"/>
          <w:sz w:val="24"/>
          <w:szCs w:val="24"/>
          <w:rtl/>
        </w:rPr>
        <w:t xml:space="preserve">החברה הערבית בישראל </w:t>
      </w:r>
      <w:r w:rsidR="001704C0" w:rsidRPr="00412F94">
        <w:rPr>
          <w:rFonts w:ascii="Arial" w:hAnsi="Arial" w:cs="David" w:hint="cs"/>
          <w:color w:val="000000" w:themeColor="text1"/>
          <w:sz w:val="24"/>
          <w:szCs w:val="24"/>
          <w:rtl/>
        </w:rPr>
        <w:t>מונה כ 1.5 מיליון נפש ו</w:t>
      </w:r>
      <w:r w:rsidRPr="00412F94">
        <w:rPr>
          <w:rFonts w:ascii="Arial" w:hAnsi="Arial" w:cs="David" w:hint="cs"/>
          <w:color w:val="000000" w:themeColor="text1"/>
          <w:sz w:val="24"/>
          <w:szCs w:val="24"/>
          <w:rtl/>
        </w:rPr>
        <w:t>מהווה כעשרים</w:t>
      </w:r>
      <w:r w:rsidR="000B6792" w:rsidRPr="00412F94">
        <w:rPr>
          <w:rFonts w:ascii="Arial" w:hAnsi="Arial" w:cs="David" w:hint="cs"/>
          <w:color w:val="000000" w:themeColor="text1"/>
          <w:sz w:val="24"/>
          <w:szCs w:val="24"/>
          <w:rtl/>
        </w:rPr>
        <w:t xml:space="preserve"> ואחד</w:t>
      </w:r>
      <w:r w:rsidRPr="00412F94">
        <w:rPr>
          <w:rFonts w:ascii="Arial" w:hAnsi="Arial" w:cs="David" w:hint="cs"/>
          <w:color w:val="000000" w:themeColor="text1"/>
          <w:sz w:val="24"/>
          <w:szCs w:val="24"/>
          <w:rtl/>
        </w:rPr>
        <w:t xml:space="preserve"> אחוזים מכלל האוכלוסייה בישראל</w:t>
      </w:r>
      <w:r w:rsidR="001704C0" w:rsidRPr="00412F94">
        <w:rPr>
          <w:rFonts w:ascii="Arial" w:hAnsi="Arial" w:cs="David" w:hint="cs"/>
          <w:color w:val="000000" w:themeColor="text1"/>
          <w:sz w:val="24"/>
          <w:szCs w:val="24"/>
          <w:rtl/>
        </w:rPr>
        <w:t>.</w:t>
      </w:r>
      <w:r w:rsidR="00F82B71" w:rsidRPr="00412F94">
        <w:rPr>
          <w:rFonts w:ascii="Arial" w:hAnsi="Arial" w:cs="David" w:hint="cs"/>
          <w:color w:val="000000" w:themeColor="text1"/>
          <w:sz w:val="24"/>
          <w:szCs w:val="24"/>
          <w:rtl/>
        </w:rPr>
        <w:t xml:space="preserve"> שיעור הגידול השנתי הממוצע של הערבים בישראל (מאז 2001) עומד על כ 2.7% לעומת שיעור גידול של 1.7% באוכלוסייה היהודית. </w:t>
      </w:r>
      <w:r w:rsidR="001704C0" w:rsidRPr="00412F94">
        <w:rPr>
          <w:rFonts w:ascii="Arial" w:hAnsi="Arial" w:cs="David" w:hint="cs"/>
          <w:color w:val="000000" w:themeColor="text1"/>
          <w:sz w:val="24"/>
          <w:szCs w:val="24"/>
          <w:rtl/>
        </w:rPr>
        <w:t xml:space="preserve"> </w:t>
      </w:r>
      <w:r w:rsidRPr="00412F94">
        <w:rPr>
          <w:rFonts w:ascii="Arial" w:hAnsi="Arial" w:cs="David" w:hint="cs"/>
          <w:color w:val="000000" w:themeColor="text1"/>
          <w:sz w:val="24"/>
          <w:szCs w:val="24"/>
          <w:rtl/>
        </w:rPr>
        <w:t>מרכיבי</w:t>
      </w:r>
      <w:r w:rsidR="00F82B71" w:rsidRPr="00412F94">
        <w:rPr>
          <w:rFonts w:ascii="Arial" w:hAnsi="Arial" w:cs="David" w:hint="cs"/>
          <w:color w:val="000000" w:themeColor="text1"/>
          <w:sz w:val="24"/>
          <w:szCs w:val="24"/>
          <w:rtl/>
        </w:rPr>
        <w:t xml:space="preserve"> החברה הערבית </w:t>
      </w:r>
      <w:r w:rsidRPr="00412F94">
        <w:rPr>
          <w:rFonts w:ascii="Arial" w:hAnsi="Arial" w:cs="David" w:hint="cs"/>
          <w:color w:val="000000" w:themeColor="text1"/>
          <w:sz w:val="24"/>
          <w:szCs w:val="24"/>
          <w:rtl/>
        </w:rPr>
        <w:t xml:space="preserve">הם </w:t>
      </w:r>
      <w:r w:rsidRPr="00412F94">
        <w:rPr>
          <w:rFonts w:ascii="Arial" w:hAnsi="Arial" w:cs="David"/>
          <w:color w:val="000000" w:themeColor="text1"/>
          <w:sz w:val="24"/>
          <w:szCs w:val="24"/>
          <w:rtl/>
        </w:rPr>
        <w:t>–</w:t>
      </w:r>
      <w:r w:rsidRPr="00412F94">
        <w:rPr>
          <w:rFonts w:ascii="Arial" w:hAnsi="Arial" w:cs="David" w:hint="cs"/>
          <w:color w:val="000000" w:themeColor="text1"/>
          <w:sz w:val="24"/>
          <w:szCs w:val="24"/>
          <w:rtl/>
        </w:rPr>
        <w:t xml:space="preserve"> ערבים מוסלמים (</w:t>
      </w:r>
      <w:r w:rsidR="00F82B71" w:rsidRPr="00412F94">
        <w:rPr>
          <w:rFonts w:ascii="Arial" w:hAnsi="Arial" w:cs="David" w:hint="cs"/>
          <w:color w:val="000000" w:themeColor="text1"/>
          <w:sz w:val="24"/>
          <w:szCs w:val="24"/>
          <w:rtl/>
        </w:rPr>
        <w:t>83</w:t>
      </w:r>
      <w:r w:rsidRPr="00412F94">
        <w:rPr>
          <w:rFonts w:ascii="Arial" w:hAnsi="Arial" w:cs="David" w:hint="cs"/>
          <w:color w:val="000000" w:themeColor="text1"/>
          <w:sz w:val="24"/>
          <w:szCs w:val="24"/>
          <w:rtl/>
        </w:rPr>
        <w:t>%), ערבים נוצרים (</w:t>
      </w:r>
      <w:r w:rsidR="00F82B71" w:rsidRPr="00412F94">
        <w:rPr>
          <w:rFonts w:ascii="Arial" w:hAnsi="Arial" w:cs="David" w:hint="cs"/>
          <w:color w:val="000000" w:themeColor="text1"/>
          <w:sz w:val="24"/>
          <w:szCs w:val="24"/>
          <w:rtl/>
        </w:rPr>
        <w:t>9</w:t>
      </w:r>
      <w:r w:rsidRPr="00412F94">
        <w:rPr>
          <w:rFonts w:ascii="Arial" w:hAnsi="Arial" w:cs="David" w:hint="cs"/>
          <w:color w:val="000000" w:themeColor="text1"/>
          <w:sz w:val="24"/>
          <w:szCs w:val="24"/>
          <w:rtl/>
        </w:rPr>
        <w:t>%) ודרוזים (8%)</w:t>
      </w:r>
      <w:r w:rsidR="00151B00" w:rsidRPr="00412F94">
        <w:rPr>
          <w:rFonts w:ascii="Arial" w:hAnsi="Arial" w:cs="David" w:hint="cs"/>
          <w:color w:val="000000" w:themeColor="text1"/>
          <w:sz w:val="24"/>
          <w:szCs w:val="24"/>
          <w:rtl/>
        </w:rPr>
        <w:t>.</w:t>
      </w:r>
      <w:r w:rsidR="00B51774" w:rsidRPr="00412F94">
        <w:rPr>
          <w:rFonts w:ascii="Arial" w:hAnsi="Arial" w:cs="David" w:hint="cs"/>
          <w:color w:val="000000" w:themeColor="text1"/>
          <w:sz w:val="24"/>
          <w:szCs w:val="24"/>
          <w:rtl/>
        </w:rPr>
        <w:t xml:space="preserve"> </w:t>
      </w:r>
      <w:r w:rsidR="00151B00" w:rsidRPr="00412F94">
        <w:rPr>
          <w:rFonts w:ascii="Arial" w:hAnsi="Arial" w:cs="David" w:hint="cs"/>
          <w:color w:val="000000" w:themeColor="text1"/>
          <w:sz w:val="24"/>
          <w:szCs w:val="24"/>
          <w:rtl/>
        </w:rPr>
        <w:t xml:space="preserve">כ 56% מכלל האזרחים הערבים מתגוררים בצפון הארץ, </w:t>
      </w:r>
      <w:r w:rsidR="00B51774" w:rsidRPr="00412F94">
        <w:rPr>
          <w:rFonts w:ascii="Arial" w:hAnsi="Arial" w:cs="David" w:hint="cs"/>
          <w:color w:val="000000" w:themeColor="text1"/>
          <w:sz w:val="24"/>
          <w:szCs w:val="24"/>
          <w:rtl/>
        </w:rPr>
        <w:t>(ב</w:t>
      </w:r>
      <w:r w:rsidR="00151B00" w:rsidRPr="00412F94">
        <w:rPr>
          <w:rFonts w:ascii="Arial" w:hAnsi="Arial" w:cs="David" w:hint="cs"/>
          <w:color w:val="000000" w:themeColor="text1"/>
          <w:sz w:val="24"/>
          <w:szCs w:val="24"/>
          <w:rtl/>
        </w:rPr>
        <w:t>גליל</w:t>
      </w:r>
      <w:r w:rsidR="00B51774" w:rsidRPr="00412F94">
        <w:rPr>
          <w:rFonts w:ascii="Arial" w:hAnsi="Arial" w:cs="David" w:hint="cs"/>
          <w:color w:val="000000" w:themeColor="text1"/>
          <w:sz w:val="24"/>
          <w:szCs w:val="24"/>
          <w:rtl/>
        </w:rPr>
        <w:t>, בעמקים</w:t>
      </w:r>
      <w:r w:rsidR="00151B00" w:rsidRPr="00412F94">
        <w:rPr>
          <w:rFonts w:ascii="Arial" w:hAnsi="Arial" w:cs="David" w:hint="cs"/>
          <w:color w:val="000000" w:themeColor="text1"/>
          <w:sz w:val="24"/>
          <w:szCs w:val="24"/>
          <w:rtl/>
        </w:rPr>
        <w:t xml:space="preserve"> ובחיפה</w:t>
      </w:r>
      <w:r w:rsidR="00B51774" w:rsidRPr="00412F94">
        <w:rPr>
          <w:rFonts w:ascii="Arial" w:hAnsi="Arial" w:cs="David" w:hint="cs"/>
          <w:color w:val="000000" w:themeColor="text1"/>
          <w:sz w:val="24"/>
          <w:szCs w:val="24"/>
          <w:rtl/>
        </w:rPr>
        <w:t>) ו 44% במרכז ובדרום</w:t>
      </w:r>
      <w:r w:rsidR="00151B00" w:rsidRPr="00412F94">
        <w:rPr>
          <w:rFonts w:ascii="Arial" w:hAnsi="Arial" w:cs="David" w:hint="cs"/>
          <w:color w:val="000000" w:themeColor="text1"/>
          <w:sz w:val="24"/>
          <w:szCs w:val="24"/>
          <w:rtl/>
        </w:rPr>
        <w:t xml:space="preserve">. </w:t>
      </w:r>
      <w:r w:rsidR="00362796" w:rsidRPr="00412F94">
        <w:rPr>
          <w:rFonts w:ascii="Arial" w:hAnsi="Arial" w:cs="David" w:hint="cs"/>
          <w:color w:val="000000" w:themeColor="text1"/>
          <w:sz w:val="24"/>
          <w:szCs w:val="24"/>
          <w:rtl/>
        </w:rPr>
        <w:t>לערביי ישראל יש ייצוג יתר בפשיעה ביחס למשקלם בכלל האוכלוסייה, ובאופן מיוחד ביחס לעבירות האלימות. בשנת 2010 היוו האסירים הערבים כ 42% מכלל האסירים בשירות בתי הסוהר. מגמה זו אף החמירה ובשנת 2014 עמד שיעורם על 49% מכלל האסירים</w:t>
      </w:r>
      <w:sdt>
        <w:sdtPr>
          <w:rPr>
            <w:rFonts w:ascii="Arial" w:hAnsi="Arial" w:cs="David" w:hint="cs"/>
            <w:color w:val="000000" w:themeColor="text1"/>
            <w:sz w:val="24"/>
            <w:szCs w:val="24"/>
            <w:rtl/>
          </w:rPr>
          <w:id w:val="1033899016"/>
          <w:citation/>
        </w:sdtPr>
        <w:sdtContent>
          <w:r w:rsidR="002B306D" w:rsidRPr="00412F94">
            <w:rPr>
              <w:rFonts w:ascii="Arial" w:hAnsi="Arial" w:cs="David"/>
              <w:color w:val="000000" w:themeColor="text1"/>
              <w:sz w:val="24"/>
              <w:szCs w:val="24"/>
              <w:rtl/>
            </w:rPr>
            <w:fldChar w:fldCharType="begin"/>
          </w:r>
          <w:r w:rsidR="00362796" w:rsidRPr="00412F94">
            <w:rPr>
              <w:rFonts w:ascii="Arial" w:hAnsi="Arial" w:cs="David"/>
              <w:color w:val="000000" w:themeColor="text1"/>
              <w:sz w:val="24"/>
              <w:szCs w:val="24"/>
              <w:rtl/>
            </w:rPr>
            <w:instrText xml:space="preserve"> </w:instrText>
          </w:r>
          <w:r w:rsidR="00362796" w:rsidRPr="00412F94">
            <w:rPr>
              <w:rFonts w:ascii="Arial" w:hAnsi="Arial" w:cs="David" w:hint="cs"/>
              <w:color w:val="000000" w:themeColor="text1"/>
              <w:sz w:val="24"/>
              <w:szCs w:val="24"/>
            </w:rPr>
            <w:instrText>CITATION</w:instrText>
          </w:r>
          <w:r w:rsidR="00362796" w:rsidRPr="00412F94">
            <w:rPr>
              <w:rFonts w:ascii="Arial" w:hAnsi="Arial" w:cs="David" w:hint="cs"/>
              <w:color w:val="000000" w:themeColor="text1"/>
              <w:sz w:val="24"/>
              <w:szCs w:val="24"/>
              <w:rtl/>
            </w:rPr>
            <w:instrText xml:space="preserve"> ראד14 \</w:instrText>
          </w:r>
          <w:r w:rsidR="00362796" w:rsidRPr="00412F94">
            <w:rPr>
              <w:rFonts w:ascii="Arial" w:hAnsi="Arial" w:cs="David" w:hint="cs"/>
              <w:color w:val="000000" w:themeColor="text1"/>
              <w:sz w:val="24"/>
              <w:szCs w:val="24"/>
            </w:rPr>
            <w:instrText>l 1037</w:instrText>
          </w:r>
          <w:r w:rsidR="00362796" w:rsidRPr="00412F94">
            <w:rPr>
              <w:rFonts w:ascii="Arial" w:hAnsi="Arial" w:cs="David"/>
              <w:color w:val="000000" w:themeColor="text1"/>
              <w:sz w:val="24"/>
              <w:szCs w:val="24"/>
              <w:rtl/>
            </w:rPr>
            <w:instrText xml:space="preserve"> </w:instrText>
          </w:r>
          <w:r w:rsidR="002B306D" w:rsidRPr="00412F94">
            <w:rPr>
              <w:rFonts w:ascii="Arial" w:hAnsi="Arial" w:cs="David"/>
              <w:color w:val="000000" w:themeColor="text1"/>
              <w:sz w:val="24"/>
              <w:szCs w:val="24"/>
              <w:rtl/>
            </w:rPr>
            <w:fldChar w:fldCharType="separate"/>
          </w:r>
          <w:r w:rsidR="00362796" w:rsidRPr="00412F94">
            <w:rPr>
              <w:rFonts w:ascii="Arial" w:hAnsi="Arial" w:cs="David"/>
              <w:noProof/>
              <w:color w:val="000000" w:themeColor="text1"/>
              <w:sz w:val="24"/>
              <w:szCs w:val="24"/>
              <w:rtl/>
            </w:rPr>
            <w:t xml:space="preserve"> </w:t>
          </w:r>
          <w:r w:rsidR="00362796" w:rsidRPr="00412F94">
            <w:rPr>
              <w:rFonts w:ascii="Arial" w:hAnsi="Arial" w:cs="David" w:hint="cs"/>
              <w:noProof/>
              <w:color w:val="000000" w:themeColor="text1"/>
              <w:sz w:val="24"/>
              <w:szCs w:val="24"/>
              <w:rtl/>
            </w:rPr>
            <w:t>(טשנר, 2014)</w:t>
          </w:r>
          <w:r w:rsidR="002B306D" w:rsidRPr="00412F94">
            <w:rPr>
              <w:rFonts w:ascii="Arial" w:hAnsi="Arial" w:cs="David"/>
              <w:color w:val="000000" w:themeColor="text1"/>
              <w:sz w:val="24"/>
              <w:szCs w:val="24"/>
              <w:rtl/>
            </w:rPr>
            <w:fldChar w:fldCharType="end"/>
          </w:r>
        </w:sdtContent>
      </w:sdt>
      <w:r w:rsidR="00362796" w:rsidRPr="00412F94">
        <w:rPr>
          <w:rFonts w:ascii="Arial" w:hAnsi="Arial" w:cs="David" w:hint="cs"/>
          <w:color w:val="000000" w:themeColor="text1"/>
          <w:sz w:val="24"/>
          <w:szCs w:val="24"/>
          <w:rtl/>
        </w:rPr>
        <w:t xml:space="preserve"> ובשנת 2017 עלה שיעור האסירים הערבים ל 51% מכלל האסירים ושיעור המע</w:t>
      </w:r>
      <w:r w:rsidR="00DD59AD" w:rsidRPr="00412F94">
        <w:rPr>
          <w:rFonts w:ascii="Arial" w:hAnsi="Arial" w:cs="David" w:hint="cs"/>
          <w:color w:val="000000" w:themeColor="text1"/>
          <w:sz w:val="24"/>
          <w:szCs w:val="24"/>
          <w:rtl/>
        </w:rPr>
        <w:t>ורבות של ערבים בעבירות אלימות גבוה פי שניים משיעורם באוכלוסייה ובתיקי רצח, פי שניים וחצי</w:t>
      </w:r>
      <w:sdt>
        <w:sdtPr>
          <w:rPr>
            <w:rFonts w:ascii="Arial" w:hAnsi="Arial" w:cs="David" w:hint="cs"/>
            <w:color w:val="000000" w:themeColor="text1"/>
            <w:sz w:val="24"/>
            <w:szCs w:val="24"/>
            <w:rtl/>
          </w:rPr>
          <w:id w:val="1033899019"/>
          <w:citation/>
        </w:sdtPr>
        <w:sdtContent>
          <w:r w:rsidR="002B306D" w:rsidRPr="00412F94">
            <w:rPr>
              <w:rFonts w:ascii="Arial" w:hAnsi="Arial" w:cs="David"/>
              <w:color w:val="000000" w:themeColor="text1"/>
              <w:sz w:val="24"/>
              <w:szCs w:val="24"/>
              <w:rtl/>
            </w:rPr>
            <w:fldChar w:fldCharType="begin"/>
          </w:r>
          <w:r w:rsidR="00DD59AD" w:rsidRPr="00412F94">
            <w:rPr>
              <w:rFonts w:ascii="Arial" w:hAnsi="Arial" w:cs="David"/>
              <w:color w:val="000000" w:themeColor="text1"/>
              <w:sz w:val="24"/>
              <w:szCs w:val="24"/>
              <w:rtl/>
            </w:rPr>
            <w:instrText xml:space="preserve"> </w:instrText>
          </w:r>
          <w:r w:rsidR="00DD59AD" w:rsidRPr="00412F94">
            <w:rPr>
              <w:rFonts w:ascii="Arial" w:hAnsi="Arial" w:cs="David" w:hint="cs"/>
              <w:color w:val="000000" w:themeColor="text1"/>
              <w:sz w:val="24"/>
              <w:szCs w:val="24"/>
            </w:rPr>
            <w:instrText>CITATION</w:instrText>
          </w:r>
          <w:r w:rsidR="00DD59AD" w:rsidRPr="00412F94">
            <w:rPr>
              <w:rFonts w:ascii="Arial" w:hAnsi="Arial" w:cs="David" w:hint="cs"/>
              <w:color w:val="000000" w:themeColor="text1"/>
              <w:sz w:val="24"/>
              <w:szCs w:val="24"/>
              <w:rtl/>
            </w:rPr>
            <w:instrText xml:space="preserve"> מבק181 \</w:instrText>
          </w:r>
          <w:r w:rsidR="00DD59AD" w:rsidRPr="00412F94">
            <w:rPr>
              <w:rFonts w:ascii="Arial" w:hAnsi="Arial" w:cs="David" w:hint="cs"/>
              <w:color w:val="000000" w:themeColor="text1"/>
              <w:sz w:val="24"/>
              <w:szCs w:val="24"/>
            </w:rPr>
            <w:instrText>l 1037</w:instrText>
          </w:r>
          <w:r w:rsidR="00DD59AD" w:rsidRPr="00412F94">
            <w:rPr>
              <w:rFonts w:ascii="Arial" w:hAnsi="Arial" w:cs="David"/>
              <w:color w:val="000000" w:themeColor="text1"/>
              <w:sz w:val="24"/>
              <w:szCs w:val="24"/>
              <w:rtl/>
            </w:rPr>
            <w:instrText xml:space="preserve"> </w:instrText>
          </w:r>
          <w:r w:rsidR="002B306D" w:rsidRPr="00412F94">
            <w:rPr>
              <w:rFonts w:ascii="Arial" w:hAnsi="Arial" w:cs="David"/>
              <w:color w:val="000000" w:themeColor="text1"/>
              <w:sz w:val="24"/>
              <w:szCs w:val="24"/>
              <w:rtl/>
            </w:rPr>
            <w:fldChar w:fldCharType="separate"/>
          </w:r>
          <w:r w:rsidR="00DD59AD" w:rsidRPr="00412F94">
            <w:rPr>
              <w:rFonts w:ascii="Arial" w:hAnsi="Arial" w:cs="David"/>
              <w:noProof/>
              <w:color w:val="000000" w:themeColor="text1"/>
              <w:sz w:val="24"/>
              <w:szCs w:val="24"/>
              <w:rtl/>
            </w:rPr>
            <w:t xml:space="preserve"> </w:t>
          </w:r>
          <w:r w:rsidR="00DD59AD" w:rsidRPr="00412F94">
            <w:rPr>
              <w:rFonts w:ascii="Arial" w:hAnsi="Arial" w:cs="David" w:hint="cs"/>
              <w:noProof/>
              <w:color w:val="000000" w:themeColor="text1"/>
              <w:sz w:val="24"/>
              <w:szCs w:val="24"/>
              <w:rtl/>
            </w:rPr>
            <w:t>(מבקר המדינה, 2018)</w:t>
          </w:r>
          <w:r w:rsidR="002B306D" w:rsidRPr="00412F94">
            <w:rPr>
              <w:rFonts w:ascii="Arial" w:hAnsi="Arial" w:cs="David"/>
              <w:color w:val="000000" w:themeColor="text1"/>
              <w:sz w:val="24"/>
              <w:szCs w:val="24"/>
              <w:rtl/>
            </w:rPr>
            <w:fldChar w:fldCharType="end"/>
          </w:r>
        </w:sdtContent>
      </w:sdt>
      <w:r w:rsidR="00DD59AD" w:rsidRPr="00412F94">
        <w:rPr>
          <w:rFonts w:ascii="Arial" w:hAnsi="Arial" w:cs="David" w:hint="cs"/>
          <w:color w:val="000000" w:themeColor="text1"/>
          <w:sz w:val="24"/>
          <w:szCs w:val="24"/>
          <w:rtl/>
        </w:rPr>
        <w:t xml:space="preserve">. </w:t>
      </w:r>
    </w:p>
    <w:p w:rsidR="00D8432B" w:rsidRPr="00412F94" w:rsidRDefault="004C14D9" w:rsidP="00D8432B">
      <w:pPr>
        <w:pStyle w:val="ac"/>
        <w:bidi/>
        <w:spacing w:line="360" w:lineRule="auto"/>
        <w:jc w:val="both"/>
        <w:rPr>
          <w:rFonts w:ascii="Arial" w:hAnsi="Arial" w:cs="David"/>
          <w:color w:val="000000" w:themeColor="text1"/>
          <w:sz w:val="24"/>
          <w:szCs w:val="24"/>
          <w:rtl/>
        </w:rPr>
      </w:pPr>
      <w:r w:rsidRPr="00412F94">
        <w:rPr>
          <w:rFonts w:ascii="Arial" w:hAnsi="Arial" w:cs="David" w:hint="cs"/>
          <w:color w:val="000000" w:themeColor="text1"/>
          <w:sz w:val="24"/>
          <w:szCs w:val="24"/>
          <w:rtl/>
        </w:rPr>
        <w:t xml:space="preserve">על פי נתוני משטרת ישראל, </w:t>
      </w:r>
      <w:r w:rsidR="002E4150" w:rsidRPr="00412F94">
        <w:rPr>
          <w:rFonts w:ascii="Arial" w:hAnsi="Arial" w:cs="David" w:hint="cs"/>
          <w:color w:val="000000" w:themeColor="text1"/>
          <w:sz w:val="24"/>
          <w:szCs w:val="24"/>
          <w:rtl/>
        </w:rPr>
        <w:t xml:space="preserve">מתחילת העשור (2010), </w:t>
      </w:r>
      <w:r w:rsidRPr="00412F94">
        <w:rPr>
          <w:rFonts w:ascii="Arial" w:hAnsi="Arial" w:cs="David" w:hint="cs"/>
          <w:color w:val="000000" w:themeColor="text1"/>
          <w:sz w:val="24"/>
          <w:szCs w:val="24"/>
          <w:rtl/>
        </w:rPr>
        <w:t>שיעור עבירות האלימות בקרב החברה הערבית (</w:t>
      </w:r>
      <w:r w:rsidR="00D8432B" w:rsidRPr="00412F94">
        <w:rPr>
          <w:rFonts w:ascii="Arial" w:hAnsi="Arial" w:cs="David" w:hint="cs"/>
          <w:color w:val="000000" w:themeColor="text1"/>
          <w:sz w:val="24"/>
          <w:szCs w:val="24"/>
          <w:rtl/>
        </w:rPr>
        <w:t xml:space="preserve">בעבירות גלויות, כאשר </w:t>
      </w:r>
      <w:r w:rsidR="0096313C" w:rsidRPr="00412F94">
        <w:rPr>
          <w:rFonts w:ascii="Arial" w:hAnsi="Arial" w:cs="David" w:hint="cs"/>
          <w:color w:val="000000" w:themeColor="text1"/>
          <w:sz w:val="24"/>
          <w:szCs w:val="24"/>
          <w:rtl/>
        </w:rPr>
        <w:t>החשוד ב</w:t>
      </w:r>
      <w:r w:rsidR="00D8432B" w:rsidRPr="00412F94">
        <w:rPr>
          <w:rFonts w:ascii="Arial" w:hAnsi="Arial" w:cs="David" w:hint="cs"/>
          <w:color w:val="000000" w:themeColor="text1"/>
          <w:sz w:val="24"/>
          <w:szCs w:val="24"/>
          <w:rtl/>
        </w:rPr>
        <w:t>ביצוע ה</w:t>
      </w:r>
      <w:r w:rsidR="0096313C" w:rsidRPr="00412F94">
        <w:rPr>
          <w:rFonts w:ascii="Arial" w:hAnsi="Arial" w:cs="David" w:hint="cs"/>
          <w:color w:val="000000" w:themeColor="text1"/>
          <w:sz w:val="24"/>
          <w:szCs w:val="24"/>
          <w:rtl/>
        </w:rPr>
        <w:t>עבירה הוא ערבי אזרח ישראל</w:t>
      </w:r>
      <w:r w:rsidRPr="00412F94">
        <w:rPr>
          <w:rFonts w:ascii="Arial" w:hAnsi="Arial" w:cs="David" w:hint="cs"/>
          <w:color w:val="000000" w:themeColor="text1"/>
          <w:sz w:val="24"/>
          <w:szCs w:val="24"/>
          <w:rtl/>
        </w:rPr>
        <w:t>)</w:t>
      </w:r>
      <w:r w:rsidR="002E4150" w:rsidRPr="00412F94">
        <w:rPr>
          <w:rFonts w:ascii="Arial" w:hAnsi="Arial" w:cs="David" w:hint="cs"/>
          <w:color w:val="000000" w:themeColor="text1"/>
          <w:sz w:val="24"/>
          <w:szCs w:val="24"/>
          <w:rtl/>
        </w:rPr>
        <w:t>,</w:t>
      </w:r>
      <w:r w:rsidRPr="00412F94">
        <w:rPr>
          <w:rFonts w:ascii="Arial" w:hAnsi="Arial" w:cs="David" w:hint="cs"/>
          <w:color w:val="000000" w:themeColor="text1"/>
          <w:sz w:val="24"/>
          <w:szCs w:val="24"/>
          <w:rtl/>
        </w:rPr>
        <w:t xml:space="preserve"> </w:t>
      </w:r>
      <w:r w:rsidR="002E4150" w:rsidRPr="00412F94">
        <w:rPr>
          <w:rFonts w:ascii="Arial" w:hAnsi="Arial" w:cs="David" w:hint="cs"/>
          <w:color w:val="000000" w:themeColor="text1"/>
          <w:sz w:val="24"/>
          <w:szCs w:val="24"/>
          <w:rtl/>
        </w:rPr>
        <w:t>נמצא במגמ</w:t>
      </w:r>
      <w:r w:rsidR="0077019C" w:rsidRPr="00412F94">
        <w:rPr>
          <w:rFonts w:ascii="Arial" w:hAnsi="Arial" w:cs="David" w:hint="cs"/>
          <w:color w:val="000000" w:themeColor="text1"/>
          <w:sz w:val="24"/>
          <w:szCs w:val="24"/>
          <w:rtl/>
        </w:rPr>
        <w:t>ת עלייה</w:t>
      </w:r>
      <w:r w:rsidR="00D8432B" w:rsidRPr="00412F94">
        <w:rPr>
          <w:rFonts w:ascii="Arial" w:hAnsi="Arial" w:cs="David" w:hint="cs"/>
          <w:color w:val="000000" w:themeColor="text1"/>
          <w:sz w:val="24"/>
          <w:szCs w:val="24"/>
          <w:rtl/>
        </w:rPr>
        <w:t xml:space="preserve">. </w:t>
      </w:r>
    </w:p>
    <w:p w:rsidR="00D8432B" w:rsidRPr="00412F94" w:rsidRDefault="00D8432B" w:rsidP="00964F52">
      <w:pPr>
        <w:pStyle w:val="ac"/>
        <w:bidi/>
        <w:spacing w:line="360" w:lineRule="auto"/>
        <w:jc w:val="both"/>
        <w:rPr>
          <w:rFonts w:ascii="David" w:hAnsi="David" w:cs="David"/>
          <w:sz w:val="24"/>
          <w:szCs w:val="24"/>
          <w:rtl/>
        </w:rPr>
      </w:pPr>
      <w:r w:rsidRPr="00412F94">
        <w:rPr>
          <w:rFonts w:ascii="Arial" w:hAnsi="Arial" w:cs="David" w:hint="cs"/>
          <w:color w:val="000000" w:themeColor="text1"/>
          <w:sz w:val="24"/>
          <w:szCs w:val="24"/>
          <w:rtl/>
        </w:rPr>
        <w:t xml:space="preserve">לצורך עבודה זו, נותח סל עבירות אלימות הכולל את העבירות הבאות: </w:t>
      </w:r>
      <w:r w:rsidRPr="00412F94">
        <w:rPr>
          <w:rFonts w:ascii="David" w:hAnsi="David" w:cs="David"/>
          <w:sz w:val="24"/>
          <w:szCs w:val="24"/>
          <w:rtl/>
        </w:rPr>
        <w:t xml:space="preserve">תקיפה (למעט עובד </w:t>
      </w:r>
      <w:r w:rsidRPr="00412F94">
        <w:rPr>
          <w:rFonts w:ascii="David" w:hAnsi="David" w:cs="David" w:hint="cs"/>
          <w:sz w:val="24"/>
          <w:szCs w:val="24"/>
          <w:rtl/>
        </w:rPr>
        <w:t xml:space="preserve"> </w:t>
      </w:r>
      <w:r w:rsidRPr="00412F94">
        <w:rPr>
          <w:rFonts w:ascii="David" w:hAnsi="David" w:cs="David"/>
          <w:sz w:val="24"/>
          <w:szCs w:val="24"/>
          <w:rtl/>
        </w:rPr>
        <w:t>ציבור), הריגה, חבלה גופנית חמורה, חטיפת ארנקים, ניסיון לרצח, רצח, שוד, שוד</w:t>
      </w:r>
      <w:r w:rsidRPr="00412F94">
        <w:rPr>
          <w:rFonts w:ascii="David" w:hAnsi="David" w:cs="David" w:hint="cs"/>
          <w:sz w:val="24"/>
          <w:szCs w:val="24"/>
          <w:rtl/>
        </w:rPr>
        <w:t xml:space="preserve"> </w:t>
      </w:r>
      <w:r w:rsidRPr="00412F94">
        <w:rPr>
          <w:rFonts w:ascii="David" w:hAnsi="David" w:cs="David"/>
          <w:sz w:val="24"/>
          <w:szCs w:val="24"/>
          <w:rtl/>
        </w:rPr>
        <w:t>בנסיבות מחמירות, תקיפה לשם גניבה, תקיפת עובד ציבור, תקיפת שוטר בנסיבות</w:t>
      </w:r>
      <w:r w:rsidRPr="00412F94">
        <w:rPr>
          <w:rFonts w:ascii="David" w:hAnsi="David" w:cs="David" w:hint="cs"/>
          <w:sz w:val="24"/>
          <w:szCs w:val="24"/>
          <w:rtl/>
        </w:rPr>
        <w:t xml:space="preserve"> </w:t>
      </w:r>
      <w:r w:rsidRPr="00412F94">
        <w:rPr>
          <w:rFonts w:ascii="David" w:hAnsi="David" w:cs="David"/>
          <w:sz w:val="24"/>
          <w:szCs w:val="24"/>
          <w:rtl/>
        </w:rPr>
        <w:t>חמורות.</w:t>
      </w:r>
    </w:p>
    <w:p w:rsidR="001F5547" w:rsidRDefault="00D8432B" w:rsidP="00D03FDE">
      <w:pPr>
        <w:bidi/>
        <w:spacing w:line="360" w:lineRule="auto"/>
        <w:jc w:val="both"/>
        <w:rPr>
          <w:rFonts w:ascii="Arial" w:hAnsi="Arial" w:cs="David" w:hint="cs"/>
          <w:color w:val="000000" w:themeColor="text1"/>
          <w:sz w:val="24"/>
          <w:szCs w:val="24"/>
          <w:rtl/>
        </w:rPr>
      </w:pPr>
      <w:r w:rsidRPr="00412F94">
        <w:rPr>
          <w:rFonts w:ascii="Arial" w:hAnsi="Arial" w:cs="David" w:hint="cs"/>
          <w:color w:val="000000" w:themeColor="text1"/>
          <w:sz w:val="24"/>
          <w:szCs w:val="24"/>
          <w:rtl/>
        </w:rPr>
        <w:t xml:space="preserve">בתרשים מספר 1, ניתן לראות כי, </w:t>
      </w:r>
      <w:r w:rsidR="002E4150" w:rsidRPr="00412F94">
        <w:rPr>
          <w:rFonts w:ascii="Arial" w:hAnsi="Arial" w:cs="David" w:hint="cs"/>
          <w:color w:val="000000" w:themeColor="text1"/>
          <w:sz w:val="24"/>
          <w:szCs w:val="24"/>
          <w:rtl/>
        </w:rPr>
        <w:t xml:space="preserve">נקודת השיא </w:t>
      </w:r>
      <w:r w:rsidRPr="00412F94">
        <w:rPr>
          <w:rFonts w:ascii="Arial" w:hAnsi="Arial" w:cs="David" w:hint="cs"/>
          <w:color w:val="000000" w:themeColor="text1"/>
          <w:sz w:val="24"/>
          <w:szCs w:val="24"/>
          <w:rtl/>
        </w:rPr>
        <w:t>במגמת האלימות</w:t>
      </w:r>
      <w:r w:rsidR="002E4150" w:rsidRPr="00412F94">
        <w:rPr>
          <w:rFonts w:ascii="Arial" w:hAnsi="Arial" w:cs="David" w:hint="cs"/>
          <w:color w:val="000000" w:themeColor="text1"/>
          <w:sz w:val="24"/>
          <w:szCs w:val="24"/>
          <w:rtl/>
        </w:rPr>
        <w:t xml:space="preserve"> היא בשנת 2014. ניתן לשער כי נקודת השיא הנה תוצאה של אירועי הפרות סדר מקומיות שאירעו במגזר הערבי במהלך "צוק איתן"</w:t>
      </w:r>
      <w:r w:rsidR="0077019C" w:rsidRPr="00412F94">
        <w:rPr>
          <w:rFonts w:ascii="Arial" w:hAnsi="Arial" w:cs="David" w:hint="cs"/>
          <w:color w:val="000000" w:themeColor="text1"/>
          <w:sz w:val="24"/>
          <w:szCs w:val="24"/>
          <w:rtl/>
        </w:rPr>
        <w:t xml:space="preserve">, לאור העובדה שהעלייה בלטה בעבירות: "תקיפת עובד ציבור" ו"תקיפת שוטר בנסיבות מחמירות". שאופייניות לאירועי חיכוך בין אזרחים לרשויות. </w:t>
      </w:r>
      <w:r w:rsidR="00D03FDE">
        <w:rPr>
          <w:rFonts w:ascii="Arial" w:hAnsi="Arial" w:cs="David" w:hint="cs"/>
          <w:color w:val="000000" w:themeColor="text1"/>
          <w:sz w:val="24"/>
          <w:szCs w:val="24"/>
          <w:rtl/>
        </w:rPr>
        <w:t xml:space="preserve"> </w:t>
      </w:r>
      <w:r w:rsidR="002E4150" w:rsidRPr="00412F94">
        <w:rPr>
          <w:rFonts w:ascii="Arial" w:hAnsi="Arial" w:cs="David" w:hint="cs"/>
          <w:color w:val="000000" w:themeColor="text1"/>
          <w:sz w:val="24"/>
          <w:szCs w:val="24"/>
          <w:rtl/>
        </w:rPr>
        <w:t>לאחר מכן, ניכר</w:t>
      </w:r>
      <w:r w:rsidR="0077019C" w:rsidRPr="00412F94">
        <w:rPr>
          <w:rFonts w:ascii="Arial" w:hAnsi="Arial" w:cs="David" w:hint="cs"/>
          <w:color w:val="000000" w:themeColor="text1"/>
          <w:sz w:val="24"/>
          <w:szCs w:val="24"/>
          <w:rtl/>
        </w:rPr>
        <w:t>ת</w:t>
      </w:r>
      <w:r w:rsidR="002E4150" w:rsidRPr="00412F94">
        <w:rPr>
          <w:rFonts w:ascii="Arial" w:hAnsi="Arial" w:cs="David" w:hint="cs"/>
          <w:color w:val="000000" w:themeColor="text1"/>
          <w:sz w:val="24"/>
          <w:szCs w:val="24"/>
          <w:rtl/>
        </w:rPr>
        <w:t xml:space="preserve"> מגמת ירידה</w:t>
      </w:r>
      <w:r w:rsidR="0077019C" w:rsidRPr="00412F94">
        <w:rPr>
          <w:rFonts w:ascii="Arial" w:hAnsi="Arial" w:cs="David" w:hint="cs"/>
          <w:color w:val="000000" w:themeColor="text1"/>
          <w:sz w:val="24"/>
          <w:szCs w:val="24"/>
          <w:rtl/>
        </w:rPr>
        <w:t xml:space="preserve"> במשך שלוש שנים ברציפות (2014 עד 2017) שמקורה, בירידה בעבירות פליליות מובהקות כמו- "שוד" ו- "תקיפה לשם גניבה" </w:t>
      </w:r>
      <w:r w:rsidR="002E4150" w:rsidRPr="00412F94">
        <w:rPr>
          <w:rFonts w:ascii="Arial" w:hAnsi="Arial" w:cs="David" w:hint="cs"/>
          <w:color w:val="000000" w:themeColor="text1"/>
          <w:sz w:val="24"/>
          <w:szCs w:val="24"/>
          <w:rtl/>
        </w:rPr>
        <w:t xml:space="preserve"> </w:t>
      </w:r>
      <w:r w:rsidR="0077019C" w:rsidRPr="00412F94">
        <w:rPr>
          <w:rFonts w:ascii="Arial" w:hAnsi="Arial" w:cs="David" w:hint="cs"/>
          <w:color w:val="000000" w:themeColor="text1"/>
          <w:sz w:val="24"/>
          <w:szCs w:val="24"/>
          <w:rtl/>
        </w:rPr>
        <w:t xml:space="preserve">לצד ירידה בעבירות חיכוך עם רשויות וגורמי אכיפה כמו </w:t>
      </w:r>
      <w:r w:rsidR="0077019C" w:rsidRPr="00412F94">
        <w:rPr>
          <w:rFonts w:ascii="Arial" w:hAnsi="Arial" w:cs="David"/>
          <w:color w:val="000000" w:themeColor="text1"/>
          <w:sz w:val="24"/>
          <w:szCs w:val="24"/>
          <w:rtl/>
        </w:rPr>
        <w:t>–</w:t>
      </w:r>
      <w:r w:rsidR="0077019C" w:rsidRPr="00412F94">
        <w:rPr>
          <w:rFonts w:ascii="Arial" w:hAnsi="Arial" w:cs="David" w:hint="cs"/>
          <w:color w:val="000000" w:themeColor="text1"/>
          <w:sz w:val="24"/>
          <w:szCs w:val="24"/>
          <w:rtl/>
        </w:rPr>
        <w:t xml:space="preserve"> "תקיפת עובד ציבור" ו- "תקיפת שוטר". בשנת 2018 ניכרת עלייה כמעט בכל העבירות המרכיבות את הסל </w:t>
      </w:r>
      <w:r w:rsidR="00D50B1F" w:rsidRPr="00412F94">
        <w:rPr>
          <w:rFonts w:ascii="Arial" w:hAnsi="Arial" w:cs="David" w:hint="cs"/>
          <w:color w:val="000000" w:themeColor="text1"/>
          <w:sz w:val="24"/>
          <w:szCs w:val="24"/>
          <w:rtl/>
        </w:rPr>
        <w:t>וניתן לייחס אותה</w:t>
      </w:r>
      <w:r w:rsidR="0077019C" w:rsidRPr="00412F94">
        <w:rPr>
          <w:rFonts w:ascii="Arial" w:hAnsi="Arial" w:cs="David" w:hint="cs"/>
          <w:color w:val="000000" w:themeColor="text1"/>
          <w:sz w:val="24"/>
          <w:szCs w:val="24"/>
          <w:rtl/>
        </w:rPr>
        <w:t xml:space="preserve"> בעיקר לבחירות</w:t>
      </w:r>
      <w:r w:rsidR="00BB0473" w:rsidRPr="00412F94">
        <w:rPr>
          <w:rFonts w:ascii="Arial" w:hAnsi="Arial" w:cs="David" w:hint="cs"/>
          <w:color w:val="000000" w:themeColor="text1"/>
          <w:sz w:val="24"/>
          <w:szCs w:val="24"/>
          <w:rtl/>
        </w:rPr>
        <w:t xml:space="preserve"> ברשויות </w:t>
      </w:r>
      <w:r w:rsidR="00BB0473" w:rsidRPr="00412F94">
        <w:rPr>
          <w:rFonts w:ascii="Arial" w:hAnsi="Arial" w:cs="David" w:hint="cs"/>
          <w:color w:val="000000" w:themeColor="text1"/>
          <w:sz w:val="24"/>
          <w:szCs w:val="24"/>
          <w:rtl/>
        </w:rPr>
        <w:lastRenderedPageBreak/>
        <w:t>המקומיות,</w:t>
      </w:r>
      <w:r w:rsidR="0077019C" w:rsidRPr="00412F94">
        <w:rPr>
          <w:rFonts w:ascii="Arial" w:hAnsi="Arial" w:cs="David" w:hint="cs"/>
          <w:color w:val="000000" w:themeColor="text1"/>
          <w:sz w:val="24"/>
          <w:szCs w:val="24"/>
          <w:rtl/>
        </w:rPr>
        <w:t xml:space="preserve"> שהתקיימו באוקטובר</w:t>
      </w:r>
      <w:r w:rsidR="00BB0473" w:rsidRPr="00412F94">
        <w:rPr>
          <w:rFonts w:ascii="Arial" w:hAnsi="Arial" w:cs="David" w:hint="cs"/>
          <w:color w:val="000000" w:themeColor="text1"/>
          <w:sz w:val="24"/>
          <w:szCs w:val="24"/>
          <w:rtl/>
        </w:rPr>
        <w:t xml:space="preserve"> והתאפיינו בריבוי אירועי אלימות בחברה הערבית.</w:t>
      </w:r>
      <w:r w:rsidR="00441BAA" w:rsidRPr="00412F94">
        <w:rPr>
          <w:rFonts w:ascii="Arial" w:hAnsi="Arial" w:cs="David" w:hint="cs"/>
          <w:color w:val="000000" w:themeColor="text1"/>
          <w:sz w:val="24"/>
          <w:szCs w:val="24"/>
          <w:rtl/>
        </w:rPr>
        <w:t xml:space="preserve"> </w:t>
      </w:r>
      <w:r w:rsidR="0077019C" w:rsidRPr="00412F94">
        <w:rPr>
          <w:rFonts w:ascii="Arial" w:hAnsi="Arial" w:cs="David" w:hint="cs"/>
          <w:color w:val="000000" w:themeColor="text1"/>
          <w:sz w:val="24"/>
          <w:szCs w:val="24"/>
          <w:rtl/>
        </w:rPr>
        <w:t>עם זאת, המגמה הכללית באוכלוסיה היהודית, באותו סל של עבירות אלימות נמצאת</w:t>
      </w:r>
      <w:r w:rsidR="00BB0473" w:rsidRPr="00412F94">
        <w:rPr>
          <w:rFonts w:ascii="Arial" w:hAnsi="Arial" w:cs="David" w:hint="cs"/>
          <w:color w:val="000000" w:themeColor="text1"/>
          <w:sz w:val="24"/>
          <w:szCs w:val="24"/>
          <w:rtl/>
        </w:rPr>
        <w:t xml:space="preserve"> בירידה. גם בחברה היהודית, היוותה 2014 נקודת שיא בשיעורי האלימות אולם מאז ישנה מגמת ירידה מובהקת ללא שינוי גם ב 2018.</w:t>
      </w:r>
    </w:p>
    <w:p w:rsidR="00D03FDE" w:rsidRDefault="007F317D" w:rsidP="00D03FDE">
      <w:pPr>
        <w:bidi/>
        <w:spacing w:line="360" w:lineRule="auto"/>
        <w:jc w:val="both"/>
        <w:rPr>
          <w:rFonts w:ascii="Arial" w:hAnsi="Arial" w:cs="David" w:hint="cs"/>
          <w:color w:val="000000" w:themeColor="text1"/>
          <w:sz w:val="24"/>
          <w:szCs w:val="24"/>
          <w:rtl/>
        </w:rPr>
      </w:pPr>
      <w:r>
        <w:rPr>
          <w:rFonts w:ascii="Arial" w:hAnsi="Arial" w:cs="David"/>
          <w:b/>
          <w:bCs/>
          <w:noProof/>
          <w:color w:val="C00000"/>
          <w:sz w:val="28"/>
          <w:szCs w:val="28"/>
          <w:rtl/>
        </w:rPr>
        <w:pict>
          <v:shapetype id="_x0000_t202" coordsize="21600,21600" o:spt="202" path="m,l,21600r21600,l21600,xe">
            <v:stroke joinstyle="miter"/>
            <v:path gradientshapeok="t" o:connecttype="rect"/>
          </v:shapetype>
          <v:shape id="_x0000_s1036" type="#_x0000_t202" style="position:absolute;left:0;text-align:left;margin-left:36.3pt;margin-top:-1.35pt;width:376.1pt;height:239.6pt;z-index:251666432;mso-width-relative:margin;mso-height-relative:margin" stroked="f">
            <v:textbox style="mso-next-textbox:#_x0000_s1036">
              <w:txbxContent>
                <w:p w:rsidR="000C04AE" w:rsidRDefault="000C04AE" w:rsidP="005B35EB">
                  <w:pPr>
                    <w:keepNext/>
                    <w:jc w:val="center"/>
                  </w:pPr>
                  <w:r>
                    <w:rPr>
                      <w:noProof/>
                    </w:rPr>
                    <w:drawing>
                      <wp:inline distT="0" distB="0" distL="0" distR="0">
                        <wp:extent cx="3624867" cy="2370125"/>
                        <wp:effectExtent l="19050" t="0" r="0" b="0"/>
                        <wp:docPr id="6" name="תמונה 5" descr="עבירות אלימות בשיעור ל 100 אלף - יהודים מול ערבים.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עבירות אלימות בשיעור ל 100 אלף - יהודים מול ערבים.jpg"/>
                                <pic:cNvPicPr/>
                              </pic:nvPicPr>
                              <pic:blipFill>
                                <a:blip r:embed="rId8"/>
                                <a:srcRect t="12865"/>
                                <a:stretch>
                                  <a:fillRect/>
                                </a:stretch>
                              </pic:blipFill>
                              <pic:spPr>
                                <a:xfrm>
                                  <a:off x="0" y="0"/>
                                  <a:ext cx="3651959" cy="2387839"/>
                                </a:xfrm>
                                <a:prstGeom prst="rect">
                                  <a:avLst/>
                                </a:prstGeom>
                              </pic:spPr>
                            </pic:pic>
                          </a:graphicData>
                        </a:graphic>
                      </wp:inline>
                    </w:drawing>
                  </w:r>
                </w:p>
                <w:p w:rsidR="000C04AE" w:rsidRPr="00441BAA" w:rsidRDefault="000C04AE" w:rsidP="005724AE">
                  <w:pPr>
                    <w:pStyle w:val="af0"/>
                    <w:bidi/>
                    <w:spacing w:line="360" w:lineRule="auto"/>
                    <w:jc w:val="center"/>
                    <w:rPr>
                      <w:rFonts w:ascii="David" w:hAnsi="David" w:cs="David"/>
                      <w:color w:val="0070C0"/>
                      <w:sz w:val="24"/>
                      <w:szCs w:val="24"/>
                    </w:rPr>
                  </w:pPr>
                  <w:r w:rsidRPr="00441BAA">
                    <w:rPr>
                      <w:rFonts w:ascii="David" w:hAnsi="David" w:cs="David"/>
                      <w:color w:val="0070C0"/>
                      <w:sz w:val="24"/>
                      <w:szCs w:val="24"/>
                      <w:u w:val="single"/>
                      <w:rtl/>
                    </w:rPr>
                    <w:t>תרשים</w:t>
                  </w:r>
                  <w:r w:rsidRPr="00441BAA">
                    <w:rPr>
                      <w:rFonts w:ascii="David" w:hAnsi="David" w:cs="David" w:hint="cs"/>
                      <w:color w:val="0070C0"/>
                      <w:sz w:val="24"/>
                      <w:szCs w:val="24"/>
                      <w:u w:val="single"/>
                      <w:rtl/>
                    </w:rPr>
                    <w:t xml:space="preserve"> </w:t>
                  </w:r>
                  <w:r w:rsidRPr="00441BAA">
                    <w:rPr>
                      <w:rFonts w:ascii="David" w:hAnsi="David" w:cs="David"/>
                      <w:color w:val="0070C0"/>
                      <w:sz w:val="24"/>
                      <w:szCs w:val="24"/>
                      <w:u w:val="single"/>
                    </w:rPr>
                    <w:t xml:space="preserve"> </w:t>
                  </w:r>
                  <w:r w:rsidRPr="00441BAA">
                    <w:rPr>
                      <w:rFonts w:ascii="David" w:hAnsi="David" w:cs="David"/>
                      <w:color w:val="0070C0"/>
                      <w:sz w:val="24"/>
                      <w:szCs w:val="24"/>
                      <w:u w:val="single"/>
                    </w:rPr>
                    <w:fldChar w:fldCharType="begin"/>
                  </w:r>
                  <w:r w:rsidRPr="00441BAA">
                    <w:rPr>
                      <w:rFonts w:ascii="David" w:hAnsi="David" w:cs="David"/>
                      <w:color w:val="0070C0"/>
                      <w:sz w:val="24"/>
                      <w:szCs w:val="24"/>
                      <w:u w:val="single"/>
                    </w:rPr>
                    <w:instrText xml:space="preserve"> SEQ </w:instrText>
                  </w:r>
                  <w:r w:rsidRPr="00441BAA">
                    <w:rPr>
                      <w:rFonts w:ascii="David" w:hAnsi="David" w:cs="David"/>
                      <w:color w:val="0070C0"/>
                      <w:sz w:val="24"/>
                      <w:szCs w:val="24"/>
                      <w:u w:val="single"/>
                      <w:rtl/>
                    </w:rPr>
                    <w:instrText>תרשים</w:instrText>
                  </w:r>
                  <w:r w:rsidRPr="00441BAA">
                    <w:rPr>
                      <w:rFonts w:ascii="David" w:hAnsi="David" w:cs="David"/>
                      <w:color w:val="0070C0"/>
                      <w:sz w:val="24"/>
                      <w:szCs w:val="24"/>
                      <w:u w:val="single"/>
                    </w:rPr>
                    <w:instrText xml:space="preserve"> \* ARABIC </w:instrText>
                  </w:r>
                  <w:r w:rsidRPr="00441BAA">
                    <w:rPr>
                      <w:rFonts w:ascii="David" w:hAnsi="David" w:cs="David"/>
                      <w:color w:val="0070C0"/>
                      <w:sz w:val="24"/>
                      <w:szCs w:val="24"/>
                      <w:u w:val="single"/>
                    </w:rPr>
                    <w:fldChar w:fldCharType="separate"/>
                  </w:r>
                  <w:r w:rsidR="001E776F">
                    <w:rPr>
                      <w:rFonts w:ascii="David" w:hAnsi="David" w:cs="David"/>
                      <w:noProof/>
                      <w:color w:val="0070C0"/>
                      <w:sz w:val="24"/>
                      <w:szCs w:val="24"/>
                      <w:u w:val="single"/>
                    </w:rPr>
                    <w:t>1</w:t>
                  </w:r>
                  <w:r w:rsidRPr="00441BAA">
                    <w:rPr>
                      <w:rFonts w:ascii="David" w:hAnsi="David" w:cs="David"/>
                      <w:color w:val="0070C0"/>
                      <w:sz w:val="24"/>
                      <w:szCs w:val="24"/>
                      <w:u w:val="single"/>
                    </w:rPr>
                    <w:fldChar w:fldCharType="end"/>
                  </w:r>
                  <w:r w:rsidRPr="00441BAA">
                    <w:rPr>
                      <w:rFonts w:ascii="David" w:hAnsi="David" w:cs="David"/>
                      <w:color w:val="0070C0"/>
                      <w:sz w:val="24"/>
                      <w:szCs w:val="24"/>
                      <w:rtl/>
                    </w:rPr>
                    <w:t>: עבירות אלימות (סל) - (בשיעורים ל 100 אלף אזרחים</w:t>
                  </w:r>
                  <w:r w:rsidRPr="00441BAA">
                    <w:rPr>
                      <w:rFonts w:ascii="David" w:hAnsi="David" w:cs="David" w:hint="cs"/>
                      <w:color w:val="0070C0"/>
                      <w:sz w:val="24"/>
                      <w:szCs w:val="24"/>
                      <w:rtl/>
                    </w:rPr>
                    <w:t>)</w:t>
                  </w:r>
                  <w:r>
                    <w:rPr>
                      <w:rFonts w:ascii="David" w:hAnsi="David" w:cs="David"/>
                      <w:color w:val="0070C0"/>
                      <w:sz w:val="24"/>
                      <w:szCs w:val="24"/>
                      <w:rtl/>
                    </w:rPr>
                    <w:t xml:space="preserve"> – </w:t>
                  </w:r>
                  <w:r>
                    <w:rPr>
                      <w:rFonts w:ascii="David" w:hAnsi="David" w:cs="David" w:hint="cs"/>
                      <w:color w:val="0070C0"/>
                      <w:sz w:val="24"/>
                      <w:szCs w:val="24"/>
                      <w:rtl/>
                    </w:rPr>
                    <w:t xml:space="preserve"> </w:t>
                  </w:r>
                  <w:r w:rsidRPr="00441BAA">
                    <w:rPr>
                      <w:rFonts w:ascii="David" w:hAnsi="David" w:cs="David"/>
                      <w:color w:val="0070C0"/>
                      <w:sz w:val="24"/>
                      <w:szCs w:val="24"/>
                      <w:rtl/>
                    </w:rPr>
                    <w:t>מגמה מ 2010 עד 2018 בהשוואה בין יהודים (ואחרים) לערבים ישראלים</w:t>
                  </w:r>
                  <w:r w:rsidRPr="00441BAA">
                    <w:rPr>
                      <w:rFonts w:ascii="David" w:hAnsi="David" w:cs="David" w:hint="cs"/>
                      <w:color w:val="0070C0"/>
                      <w:sz w:val="24"/>
                      <w:szCs w:val="24"/>
                      <w:rtl/>
                    </w:rPr>
                    <w:t>.</w:t>
                  </w:r>
                </w:p>
              </w:txbxContent>
            </v:textbox>
          </v:shape>
        </w:pict>
      </w:r>
    </w:p>
    <w:p w:rsidR="00D03FDE" w:rsidRDefault="00D03FDE" w:rsidP="00D03FDE">
      <w:pPr>
        <w:bidi/>
        <w:spacing w:line="360" w:lineRule="auto"/>
        <w:jc w:val="both"/>
        <w:rPr>
          <w:rFonts w:ascii="Arial" w:hAnsi="Arial" w:cs="David" w:hint="cs"/>
          <w:color w:val="000000" w:themeColor="text1"/>
          <w:sz w:val="24"/>
          <w:szCs w:val="24"/>
          <w:rtl/>
        </w:rPr>
      </w:pPr>
    </w:p>
    <w:p w:rsidR="00D03FDE" w:rsidRPr="00412F94" w:rsidRDefault="00D03FDE" w:rsidP="00D03FDE">
      <w:pPr>
        <w:bidi/>
        <w:spacing w:line="360" w:lineRule="auto"/>
        <w:jc w:val="both"/>
        <w:rPr>
          <w:rFonts w:ascii="Arial" w:hAnsi="Arial" w:cs="David"/>
          <w:color w:val="000000" w:themeColor="text1"/>
          <w:sz w:val="24"/>
          <w:szCs w:val="24"/>
          <w:rtl/>
        </w:rPr>
      </w:pPr>
    </w:p>
    <w:p w:rsidR="001F5547" w:rsidRPr="001F5547" w:rsidRDefault="001F5547" w:rsidP="001F5547">
      <w:pPr>
        <w:bidi/>
        <w:spacing w:line="360" w:lineRule="auto"/>
        <w:jc w:val="both"/>
        <w:rPr>
          <w:rFonts w:ascii="Arial" w:hAnsi="Arial" w:cs="David"/>
          <w:b/>
          <w:bCs/>
          <w:color w:val="C00000"/>
          <w:sz w:val="28"/>
          <w:szCs w:val="28"/>
          <w:rtl/>
        </w:rPr>
      </w:pPr>
    </w:p>
    <w:p w:rsidR="000072F9" w:rsidRDefault="000072F9" w:rsidP="00B356C4">
      <w:pPr>
        <w:bidi/>
        <w:spacing w:line="360" w:lineRule="auto"/>
        <w:ind w:left="-46"/>
        <w:jc w:val="both"/>
        <w:rPr>
          <w:rFonts w:ascii="Arial" w:hAnsi="Arial" w:cs="David"/>
          <w:b/>
          <w:bCs/>
          <w:sz w:val="28"/>
          <w:szCs w:val="28"/>
          <w:rtl/>
        </w:rPr>
      </w:pPr>
    </w:p>
    <w:p w:rsidR="000072F9" w:rsidRDefault="000072F9" w:rsidP="000072F9">
      <w:pPr>
        <w:bidi/>
        <w:spacing w:line="360" w:lineRule="auto"/>
        <w:ind w:left="-46"/>
        <w:jc w:val="both"/>
        <w:rPr>
          <w:rFonts w:ascii="Arial" w:hAnsi="Arial" w:cs="David"/>
          <w:b/>
          <w:bCs/>
          <w:sz w:val="28"/>
          <w:szCs w:val="28"/>
          <w:rtl/>
        </w:rPr>
      </w:pPr>
    </w:p>
    <w:p w:rsidR="000072F9" w:rsidRDefault="000072F9" w:rsidP="000072F9">
      <w:pPr>
        <w:bidi/>
        <w:spacing w:line="360" w:lineRule="auto"/>
        <w:ind w:left="-46"/>
        <w:jc w:val="both"/>
        <w:rPr>
          <w:rFonts w:ascii="Arial" w:hAnsi="Arial" w:cs="David"/>
          <w:b/>
          <w:bCs/>
          <w:sz w:val="28"/>
          <w:szCs w:val="28"/>
          <w:rtl/>
        </w:rPr>
      </w:pPr>
    </w:p>
    <w:p w:rsidR="000072F9" w:rsidRDefault="000072F9" w:rsidP="000072F9">
      <w:pPr>
        <w:bidi/>
        <w:spacing w:line="360" w:lineRule="auto"/>
        <w:ind w:left="-46"/>
        <w:jc w:val="both"/>
        <w:rPr>
          <w:rFonts w:ascii="Arial" w:hAnsi="Arial" w:cs="David" w:hint="cs"/>
          <w:b/>
          <w:bCs/>
          <w:sz w:val="28"/>
          <w:szCs w:val="28"/>
          <w:rtl/>
        </w:rPr>
      </w:pPr>
    </w:p>
    <w:p w:rsidR="000072F9" w:rsidRDefault="000072F9" w:rsidP="000072F9">
      <w:pPr>
        <w:bidi/>
        <w:spacing w:line="360" w:lineRule="auto"/>
        <w:ind w:left="-46"/>
        <w:jc w:val="both"/>
        <w:rPr>
          <w:rFonts w:ascii="Arial" w:hAnsi="Arial" w:cs="David"/>
          <w:b/>
          <w:bCs/>
          <w:sz w:val="28"/>
          <w:szCs w:val="28"/>
          <w:rtl/>
        </w:rPr>
      </w:pPr>
    </w:p>
    <w:p w:rsidR="00BB0473" w:rsidRPr="00D03FDE" w:rsidRDefault="00D03FDE" w:rsidP="00D03FDE">
      <w:pPr>
        <w:bidi/>
        <w:spacing w:line="360" w:lineRule="auto"/>
        <w:jc w:val="both"/>
        <w:rPr>
          <w:rFonts w:ascii="Arial" w:hAnsi="Arial" w:cs="David" w:hint="cs"/>
          <w:sz w:val="24"/>
          <w:szCs w:val="24"/>
          <w:rtl/>
        </w:rPr>
      </w:pPr>
      <w:r w:rsidRPr="002B306D">
        <w:rPr>
          <w:rFonts w:ascii="Arial" w:hAnsi="Arial" w:cs="David"/>
          <w:noProof/>
          <w:sz w:val="28"/>
          <w:szCs w:val="28"/>
          <w:rtl/>
        </w:rPr>
        <w:pict>
          <v:shape id="_x0000_s1037" type="#_x0000_t202" style="position:absolute;left:0;text-align:left;margin-left:24.5pt;margin-top:128.15pt;width:408.15pt;height:271.3pt;z-index:251668480;mso-width-relative:margin;mso-height-relative:margin" stroked="f">
            <v:textbox style="mso-next-textbox:#_x0000_s1037">
              <w:txbxContent>
                <w:p w:rsidR="000C04AE" w:rsidRDefault="000C04AE" w:rsidP="007F317D">
                  <w:pPr>
                    <w:keepNext/>
                    <w:jc w:val="center"/>
                  </w:pPr>
                  <w:r>
                    <w:rPr>
                      <w:noProof/>
                    </w:rPr>
                    <w:drawing>
                      <wp:inline distT="0" distB="0" distL="0" distR="0">
                        <wp:extent cx="3485023" cy="2187245"/>
                        <wp:effectExtent l="19050" t="0" r="1127" b="0"/>
                        <wp:docPr id="12" name="תמונה 11" descr="קורבנות אלימות בשיעור ל 100 אלף - יהודים מול ערבים.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קורבנות אלימות בשיעור ל 100 אלף - יהודים מול ערבים.jpg"/>
                                <pic:cNvPicPr/>
                              </pic:nvPicPr>
                              <pic:blipFill>
                                <a:blip r:embed="rId9"/>
                                <a:srcRect t="16253"/>
                                <a:stretch>
                                  <a:fillRect/>
                                </a:stretch>
                              </pic:blipFill>
                              <pic:spPr>
                                <a:xfrm>
                                  <a:off x="0" y="0"/>
                                  <a:ext cx="3492194" cy="2191745"/>
                                </a:xfrm>
                                <a:prstGeom prst="rect">
                                  <a:avLst/>
                                </a:prstGeom>
                              </pic:spPr>
                            </pic:pic>
                          </a:graphicData>
                        </a:graphic>
                      </wp:inline>
                    </w:drawing>
                  </w:r>
                </w:p>
                <w:p w:rsidR="000C04AE" w:rsidRPr="007F317D" w:rsidRDefault="000C04AE" w:rsidP="001C3F7E">
                  <w:pPr>
                    <w:pStyle w:val="af0"/>
                    <w:bidi/>
                    <w:spacing w:line="360" w:lineRule="auto"/>
                    <w:jc w:val="center"/>
                    <w:rPr>
                      <w:rFonts w:ascii="David" w:hAnsi="David" w:cs="David"/>
                      <w:color w:val="0070C0"/>
                      <w:sz w:val="22"/>
                      <w:szCs w:val="22"/>
                      <w:rtl/>
                    </w:rPr>
                  </w:pPr>
                  <w:r w:rsidRPr="007F317D">
                    <w:rPr>
                      <w:rFonts w:ascii="David" w:hAnsi="David" w:cs="David"/>
                      <w:color w:val="0070C0"/>
                      <w:sz w:val="22"/>
                      <w:szCs w:val="22"/>
                      <w:u w:val="single"/>
                      <w:rtl/>
                    </w:rPr>
                    <w:t>תרשים</w:t>
                  </w:r>
                  <w:r w:rsidRPr="007F317D">
                    <w:rPr>
                      <w:rFonts w:ascii="David" w:hAnsi="David" w:cs="David" w:hint="cs"/>
                      <w:color w:val="0070C0"/>
                      <w:sz w:val="22"/>
                      <w:szCs w:val="22"/>
                      <w:u w:val="single"/>
                      <w:rtl/>
                    </w:rPr>
                    <w:t xml:space="preserve"> </w:t>
                  </w:r>
                  <w:r w:rsidRPr="007F317D">
                    <w:rPr>
                      <w:rFonts w:ascii="David" w:hAnsi="David" w:cs="David"/>
                      <w:color w:val="0070C0"/>
                      <w:sz w:val="22"/>
                      <w:szCs w:val="22"/>
                      <w:u w:val="single"/>
                    </w:rPr>
                    <w:fldChar w:fldCharType="begin"/>
                  </w:r>
                  <w:r w:rsidRPr="007F317D">
                    <w:rPr>
                      <w:rFonts w:ascii="David" w:hAnsi="David" w:cs="David"/>
                      <w:color w:val="0070C0"/>
                      <w:sz w:val="22"/>
                      <w:szCs w:val="22"/>
                      <w:u w:val="single"/>
                    </w:rPr>
                    <w:instrText xml:space="preserve"> SEQ </w:instrText>
                  </w:r>
                  <w:r w:rsidRPr="007F317D">
                    <w:rPr>
                      <w:rFonts w:ascii="David" w:hAnsi="David" w:cs="David"/>
                      <w:color w:val="0070C0"/>
                      <w:sz w:val="22"/>
                      <w:szCs w:val="22"/>
                      <w:u w:val="single"/>
                      <w:rtl/>
                    </w:rPr>
                    <w:instrText>תרשים</w:instrText>
                  </w:r>
                  <w:r w:rsidRPr="007F317D">
                    <w:rPr>
                      <w:rFonts w:ascii="David" w:hAnsi="David" w:cs="David"/>
                      <w:color w:val="0070C0"/>
                      <w:sz w:val="22"/>
                      <w:szCs w:val="22"/>
                      <w:u w:val="single"/>
                    </w:rPr>
                    <w:instrText xml:space="preserve"> \* ARABIC </w:instrText>
                  </w:r>
                  <w:r w:rsidRPr="007F317D">
                    <w:rPr>
                      <w:rFonts w:ascii="David" w:hAnsi="David" w:cs="David"/>
                      <w:color w:val="0070C0"/>
                      <w:sz w:val="22"/>
                      <w:szCs w:val="22"/>
                      <w:u w:val="single"/>
                    </w:rPr>
                    <w:fldChar w:fldCharType="separate"/>
                  </w:r>
                  <w:r w:rsidR="001E776F">
                    <w:rPr>
                      <w:rFonts w:ascii="David" w:hAnsi="David" w:cs="David"/>
                      <w:noProof/>
                      <w:color w:val="0070C0"/>
                      <w:sz w:val="22"/>
                      <w:szCs w:val="22"/>
                      <w:u w:val="single"/>
                    </w:rPr>
                    <w:t>2</w:t>
                  </w:r>
                  <w:r w:rsidRPr="007F317D">
                    <w:rPr>
                      <w:rFonts w:ascii="David" w:hAnsi="David" w:cs="David"/>
                      <w:color w:val="0070C0"/>
                      <w:sz w:val="22"/>
                      <w:szCs w:val="22"/>
                      <w:u w:val="single"/>
                    </w:rPr>
                    <w:fldChar w:fldCharType="end"/>
                  </w:r>
                  <w:r w:rsidRPr="007F317D">
                    <w:rPr>
                      <w:rFonts w:ascii="David" w:hAnsi="David" w:cs="David"/>
                      <w:noProof/>
                      <w:color w:val="0070C0"/>
                      <w:sz w:val="22"/>
                      <w:szCs w:val="22"/>
                      <w:u w:val="single"/>
                      <w:rtl/>
                    </w:rPr>
                    <w:t>:</w:t>
                  </w:r>
                  <w:r w:rsidRPr="007F317D">
                    <w:rPr>
                      <w:rFonts w:ascii="David" w:hAnsi="David" w:cs="David"/>
                      <w:noProof/>
                      <w:color w:val="0070C0"/>
                      <w:sz w:val="22"/>
                      <w:szCs w:val="22"/>
                      <w:rtl/>
                    </w:rPr>
                    <w:t xml:space="preserve"> קורבנות אלימות (סל) - בשיעורים ל 100 אלף אזרחים) - מגמה מ 2010 עד 2018 בהשוואה</w:t>
                  </w:r>
                  <w:r w:rsidRPr="007F317D">
                    <w:rPr>
                      <w:rFonts w:ascii="David" w:hAnsi="David" w:cs="David" w:hint="cs"/>
                      <w:noProof/>
                      <w:color w:val="0070C0"/>
                      <w:sz w:val="22"/>
                      <w:szCs w:val="22"/>
                      <w:rtl/>
                    </w:rPr>
                    <w:t xml:space="preserve">  </w:t>
                  </w:r>
                  <w:r w:rsidRPr="007F317D">
                    <w:rPr>
                      <w:rFonts w:ascii="David" w:hAnsi="David" w:cs="David"/>
                      <w:noProof/>
                      <w:color w:val="0070C0"/>
                      <w:sz w:val="22"/>
                      <w:szCs w:val="22"/>
                      <w:rtl/>
                    </w:rPr>
                    <w:t xml:space="preserve"> בין יהודים </w:t>
                  </w:r>
                  <w:r w:rsidRPr="007F317D">
                    <w:rPr>
                      <w:rFonts w:ascii="David" w:hAnsi="David" w:cs="David" w:hint="cs"/>
                      <w:noProof/>
                      <w:color w:val="0070C0"/>
                      <w:sz w:val="22"/>
                      <w:szCs w:val="22"/>
                      <w:rtl/>
                    </w:rPr>
                    <w:t>(</w:t>
                  </w:r>
                  <w:r w:rsidRPr="007F317D">
                    <w:rPr>
                      <w:rFonts w:ascii="David" w:hAnsi="David" w:cs="David"/>
                      <w:noProof/>
                      <w:color w:val="0070C0"/>
                      <w:sz w:val="22"/>
                      <w:szCs w:val="22"/>
                      <w:rtl/>
                    </w:rPr>
                    <w:t>ואחרים</w:t>
                  </w:r>
                  <w:r w:rsidRPr="007F317D">
                    <w:rPr>
                      <w:rFonts w:ascii="David" w:hAnsi="David" w:cs="David" w:hint="cs"/>
                      <w:noProof/>
                      <w:color w:val="0070C0"/>
                      <w:sz w:val="22"/>
                      <w:szCs w:val="22"/>
                      <w:rtl/>
                    </w:rPr>
                    <w:t>)</w:t>
                  </w:r>
                  <w:r w:rsidRPr="007F317D">
                    <w:rPr>
                      <w:rFonts w:ascii="David" w:hAnsi="David" w:cs="David"/>
                      <w:noProof/>
                      <w:color w:val="0070C0"/>
                      <w:sz w:val="22"/>
                      <w:szCs w:val="22"/>
                      <w:rtl/>
                    </w:rPr>
                    <w:t xml:space="preserve"> לערבים ישראלים</w:t>
                  </w:r>
                </w:p>
                <w:p w:rsidR="000C04AE" w:rsidRDefault="000C04AE" w:rsidP="00B054C0">
                  <w:pPr>
                    <w:jc w:val="center"/>
                  </w:pPr>
                </w:p>
              </w:txbxContent>
            </v:textbox>
          </v:shape>
        </w:pict>
      </w:r>
      <w:r w:rsidRPr="00D03FDE">
        <w:rPr>
          <w:rFonts w:ascii="Arial" w:hAnsi="Arial" w:cs="David" w:hint="cs"/>
          <w:sz w:val="24"/>
          <w:szCs w:val="24"/>
          <w:rtl/>
        </w:rPr>
        <w:t>בנוסף לכך,</w:t>
      </w:r>
      <w:r w:rsidR="00BB0473" w:rsidRPr="00D03FDE">
        <w:rPr>
          <w:rFonts w:ascii="Arial" w:hAnsi="Arial" w:cs="David" w:hint="cs"/>
          <w:sz w:val="24"/>
          <w:szCs w:val="24"/>
          <w:rtl/>
        </w:rPr>
        <w:t xml:space="preserve"> ניתן לראות את ההבדלים הבולטים במגמת אירועי האלימות מתחילת העשור כולל חישוב קו המגמה הלינארי המלמד על המגמות ההפוכות בין החברות. בנוסף לכך, בולט ההבדל הכמותי בשיעורי תופעת האלימות ל 100 אלף נפש. בעוד שבחברה היהודית, עומד סך כל אירועי האלימות על כ 45 אירועים ל 100 אלף נפש, הרי שבחברה הערבית </w:t>
      </w:r>
      <w:r w:rsidR="00593510" w:rsidRPr="00D03FDE">
        <w:rPr>
          <w:rFonts w:ascii="Arial" w:hAnsi="Arial" w:cs="David" w:hint="cs"/>
          <w:sz w:val="24"/>
          <w:szCs w:val="24"/>
          <w:rtl/>
        </w:rPr>
        <w:t>עומד שיעור זה על כ 70 אירועים ל 100 אלף נפש.</w:t>
      </w:r>
      <w:r w:rsidR="00BB0473" w:rsidRPr="00D03FDE">
        <w:rPr>
          <w:rFonts w:ascii="Arial" w:hAnsi="Arial" w:cs="David" w:hint="cs"/>
          <w:sz w:val="24"/>
          <w:szCs w:val="24"/>
          <w:rtl/>
        </w:rPr>
        <w:t xml:space="preserve"> </w:t>
      </w:r>
      <w:r w:rsidRPr="00D03FDE">
        <w:rPr>
          <w:rFonts w:ascii="Arial" w:hAnsi="Arial" w:cs="David" w:hint="cs"/>
          <w:sz w:val="24"/>
          <w:szCs w:val="24"/>
          <w:rtl/>
        </w:rPr>
        <w:t xml:space="preserve"> </w:t>
      </w:r>
      <w:r w:rsidR="00B054C0" w:rsidRPr="00D03FDE">
        <w:rPr>
          <w:rFonts w:ascii="Arial" w:hAnsi="Arial" w:cs="David" w:hint="cs"/>
          <w:sz w:val="24"/>
          <w:szCs w:val="24"/>
          <w:rtl/>
        </w:rPr>
        <w:t xml:space="preserve">בנוסף לניתוח המגמות ביחס להיקף מבצעי העבירות, נדרש לבחון מי נפגע מאותן עבירות, קרי </w:t>
      </w:r>
      <w:r w:rsidR="00B054C0" w:rsidRPr="00D03FDE">
        <w:rPr>
          <w:rFonts w:ascii="Arial" w:hAnsi="Arial" w:cs="David"/>
          <w:sz w:val="24"/>
          <w:szCs w:val="24"/>
          <w:rtl/>
        </w:rPr>
        <w:t>–</w:t>
      </w:r>
      <w:r w:rsidR="00B054C0" w:rsidRPr="00D03FDE">
        <w:rPr>
          <w:rFonts w:ascii="Arial" w:hAnsi="Arial" w:cs="David" w:hint="cs"/>
          <w:sz w:val="24"/>
          <w:szCs w:val="24"/>
          <w:rtl/>
        </w:rPr>
        <w:t xml:space="preserve"> מי הם קורבנותיה של תופעת האלימות, בחלוקה לחברה יהודית מול חברה ערבית. תרשים מספר 2 מציג את קורבנות העבירה, בעבירות אלימות (באותו סל) בחלוקה ליהודים וערבים ובשיעור ל100 אלף נפש, מתחילת העשור:</w:t>
      </w:r>
    </w:p>
    <w:p w:rsidR="00D03FDE" w:rsidRDefault="00D03FDE" w:rsidP="00D03FDE">
      <w:pPr>
        <w:pStyle w:val="a3"/>
        <w:bidi/>
        <w:spacing w:line="360" w:lineRule="auto"/>
        <w:ind w:left="-46"/>
        <w:jc w:val="both"/>
        <w:rPr>
          <w:rFonts w:ascii="Arial" w:hAnsi="Arial" w:cs="David" w:hint="cs"/>
          <w:sz w:val="24"/>
          <w:szCs w:val="24"/>
          <w:rtl/>
        </w:rPr>
      </w:pPr>
    </w:p>
    <w:p w:rsidR="00E305F8" w:rsidRPr="00412F94" w:rsidRDefault="00E305F8" w:rsidP="00E305F8">
      <w:pPr>
        <w:bidi/>
        <w:spacing w:line="360" w:lineRule="auto"/>
        <w:ind w:left="-46"/>
        <w:jc w:val="both"/>
        <w:rPr>
          <w:rFonts w:ascii="Arial" w:hAnsi="Arial" w:cs="David"/>
          <w:sz w:val="24"/>
          <w:szCs w:val="24"/>
          <w:rtl/>
        </w:rPr>
      </w:pPr>
    </w:p>
    <w:p w:rsidR="005A5CE4" w:rsidRDefault="005B35EB" w:rsidP="005A5CE4">
      <w:pPr>
        <w:bidi/>
        <w:spacing w:line="360" w:lineRule="auto"/>
        <w:jc w:val="both"/>
        <w:rPr>
          <w:rFonts w:ascii="Arial" w:hAnsi="Arial" w:cs="David"/>
          <w:b/>
          <w:bCs/>
          <w:sz w:val="28"/>
          <w:szCs w:val="28"/>
          <w:rtl/>
        </w:rPr>
      </w:pPr>
      <w:r>
        <w:rPr>
          <w:rFonts w:ascii="Arial" w:hAnsi="Arial" w:cs="David" w:hint="cs"/>
          <w:b/>
          <w:bCs/>
          <w:sz w:val="28"/>
          <w:szCs w:val="28"/>
          <w:rtl/>
        </w:rPr>
        <w:t xml:space="preserve"> </w:t>
      </w:r>
    </w:p>
    <w:p w:rsidR="00B054C0" w:rsidRPr="005A5CE4" w:rsidRDefault="00B054C0" w:rsidP="005A5CE4">
      <w:pPr>
        <w:bidi/>
        <w:spacing w:line="360" w:lineRule="auto"/>
        <w:jc w:val="both"/>
        <w:rPr>
          <w:rFonts w:ascii="Arial" w:hAnsi="Arial" w:cs="David"/>
          <w:b/>
          <w:bCs/>
          <w:sz w:val="28"/>
          <w:szCs w:val="28"/>
          <w:rtl/>
        </w:rPr>
      </w:pPr>
    </w:p>
    <w:p w:rsidR="00D8432B" w:rsidRDefault="00D8432B" w:rsidP="00D8432B">
      <w:pPr>
        <w:bidi/>
        <w:spacing w:line="360" w:lineRule="auto"/>
        <w:jc w:val="both"/>
        <w:rPr>
          <w:rFonts w:ascii="Arial" w:hAnsi="Arial" w:cs="David"/>
          <w:sz w:val="28"/>
          <w:szCs w:val="28"/>
          <w:rtl/>
        </w:rPr>
      </w:pPr>
    </w:p>
    <w:p w:rsidR="00D8432B" w:rsidRDefault="00D8432B" w:rsidP="00D8432B">
      <w:pPr>
        <w:bidi/>
        <w:spacing w:line="360" w:lineRule="auto"/>
        <w:jc w:val="both"/>
        <w:rPr>
          <w:rFonts w:ascii="Arial" w:hAnsi="Arial" w:cs="David"/>
          <w:sz w:val="28"/>
          <w:szCs w:val="28"/>
          <w:rtl/>
        </w:rPr>
      </w:pPr>
    </w:p>
    <w:p w:rsidR="00D8432B" w:rsidRDefault="00D8432B" w:rsidP="00D8432B">
      <w:pPr>
        <w:bidi/>
        <w:spacing w:line="360" w:lineRule="auto"/>
        <w:jc w:val="both"/>
        <w:rPr>
          <w:rFonts w:ascii="Arial" w:hAnsi="Arial" w:cs="David"/>
          <w:sz w:val="28"/>
          <w:szCs w:val="28"/>
          <w:rtl/>
        </w:rPr>
      </w:pPr>
    </w:p>
    <w:p w:rsidR="002725AA" w:rsidRDefault="002725AA" w:rsidP="00F30437">
      <w:pPr>
        <w:bidi/>
        <w:spacing w:line="360" w:lineRule="auto"/>
        <w:jc w:val="both"/>
        <w:rPr>
          <w:rFonts w:ascii="Arial" w:hAnsi="Arial" w:cs="David" w:hint="cs"/>
          <w:sz w:val="24"/>
          <w:szCs w:val="24"/>
          <w:rtl/>
        </w:rPr>
      </w:pPr>
    </w:p>
    <w:p w:rsidR="002725AA" w:rsidRDefault="002725AA" w:rsidP="002725AA">
      <w:pPr>
        <w:bidi/>
        <w:spacing w:line="360" w:lineRule="auto"/>
        <w:jc w:val="both"/>
        <w:rPr>
          <w:rFonts w:ascii="Arial" w:hAnsi="Arial" w:cs="David" w:hint="cs"/>
          <w:sz w:val="24"/>
          <w:szCs w:val="24"/>
          <w:rtl/>
        </w:rPr>
      </w:pPr>
    </w:p>
    <w:p w:rsidR="00F30437" w:rsidRPr="00412F94" w:rsidRDefault="005A5CE4" w:rsidP="002725AA">
      <w:pPr>
        <w:bidi/>
        <w:spacing w:line="360" w:lineRule="auto"/>
        <w:jc w:val="both"/>
        <w:rPr>
          <w:rFonts w:ascii="Arial" w:hAnsi="Arial" w:cs="David"/>
          <w:sz w:val="24"/>
          <w:szCs w:val="24"/>
          <w:rtl/>
        </w:rPr>
      </w:pPr>
      <w:r w:rsidRPr="00412F94">
        <w:rPr>
          <w:rFonts w:ascii="Arial" w:hAnsi="Arial" w:cs="David" w:hint="cs"/>
          <w:sz w:val="24"/>
          <w:szCs w:val="24"/>
          <w:rtl/>
        </w:rPr>
        <w:lastRenderedPageBreak/>
        <w:t xml:space="preserve">על פי תרשים מספר 2, ניתן לראות שתי מגמות ברורות (כמעט לינאריות לחלוטין) ומנוגדות זו לזו. בעוד שבחברה היהודית, ניכרת מגמה ברורה של ירידה בשיעור קורבנות האלימות, בחברה הערבית ניכרת מגמת עלייה. בתחילת העשור, הפער בשיעור קורבנות האלימות היה קטן יחסית </w:t>
      </w:r>
      <w:r w:rsidRPr="00412F94">
        <w:rPr>
          <w:rFonts w:ascii="Arial" w:hAnsi="Arial" w:cs="David"/>
          <w:sz w:val="24"/>
          <w:szCs w:val="24"/>
          <w:rtl/>
        </w:rPr>
        <w:t>–</w:t>
      </w:r>
      <w:r w:rsidRPr="00412F94">
        <w:rPr>
          <w:rFonts w:ascii="Arial" w:hAnsi="Arial" w:cs="David" w:hint="cs"/>
          <w:sz w:val="24"/>
          <w:szCs w:val="24"/>
          <w:rtl/>
        </w:rPr>
        <w:t xml:space="preserve"> ב 2010 היו בחברה היהודית </w:t>
      </w:r>
      <w:r w:rsidR="00F867AD" w:rsidRPr="00412F94">
        <w:rPr>
          <w:rFonts w:ascii="Arial" w:hAnsi="Arial" w:cs="David" w:hint="cs"/>
          <w:sz w:val="24"/>
          <w:szCs w:val="24"/>
          <w:rtl/>
        </w:rPr>
        <w:t xml:space="preserve">59 קורבנות בעבירות אלימות ל 100 אלף נפש ובחברה הערבית עמד שיעור זה על 65 קורבנות (פער של 10%). שיעורים דומים היו גם ב 2011 </w:t>
      </w:r>
      <w:r w:rsidR="00F867AD" w:rsidRPr="00412F94">
        <w:rPr>
          <w:rFonts w:ascii="Arial" w:hAnsi="Arial" w:cs="David"/>
          <w:sz w:val="24"/>
          <w:szCs w:val="24"/>
          <w:rtl/>
        </w:rPr>
        <w:t>–</w:t>
      </w:r>
      <w:r w:rsidR="00F867AD" w:rsidRPr="00412F94">
        <w:rPr>
          <w:rFonts w:ascii="Arial" w:hAnsi="Arial" w:cs="David" w:hint="cs"/>
          <w:sz w:val="24"/>
          <w:szCs w:val="24"/>
          <w:rtl/>
        </w:rPr>
        <w:t xml:space="preserve"> 55 קורבנות ל 100 אלף נפש בחברה היהודית לעומת 61 בחברה הערבית (פער של 11%). בשנת 2018 גדל מאוד הפער בין החברות ועמד על 45 קורבנות ל 100 אלף נפש בחברה היהודית לעומת 69 קורבנות ל 100 אלף נפש בחברה הערבית (פער של 53%).</w:t>
      </w:r>
      <w:r w:rsidRPr="00412F94">
        <w:rPr>
          <w:rFonts w:ascii="Arial" w:hAnsi="Arial" w:cs="David" w:hint="cs"/>
          <w:sz w:val="24"/>
          <w:szCs w:val="24"/>
          <w:rtl/>
        </w:rPr>
        <w:t xml:space="preserve"> </w:t>
      </w:r>
    </w:p>
    <w:p w:rsidR="00D8432B" w:rsidRDefault="007F317D" w:rsidP="005C6480">
      <w:pPr>
        <w:bidi/>
        <w:spacing w:line="360" w:lineRule="auto"/>
        <w:jc w:val="both"/>
        <w:rPr>
          <w:rFonts w:ascii="Arial" w:hAnsi="Arial" w:cs="David" w:hint="cs"/>
          <w:sz w:val="24"/>
          <w:szCs w:val="24"/>
          <w:rtl/>
        </w:rPr>
      </w:pPr>
      <w:r>
        <w:rPr>
          <w:rFonts w:ascii="Arial" w:hAnsi="Arial" w:cs="David"/>
          <w:noProof/>
          <w:sz w:val="28"/>
          <w:szCs w:val="28"/>
          <w:rtl/>
        </w:rPr>
        <w:pict>
          <v:shape id="_x0000_s1038" type="#_x0000_t202" style="position:absolute;left:0;text-align:left;margin-left:43.55pt;margin-top:168.7pt;width:374.4pt;height:261.05pt;z-index:251670528;mso-width-relative:margin;mso-height-relative:margin" stroked="f">
            <v:textbox style="mso-next-textbox:#_x0000_s1038">
              <w:txbxContent>
                <w:p w:rsidR="000C04AE" w:rsidRDefault="000C04AE" w:rsidP="005C6480">
                  <w:pPr>
                    <w:keepNext/>
                    <w:jc w:val="center"/>
                  </w:pPr>
                  <w:r>
                    <w:rPr>
                      <w:noProof/>
                    </w:rPr>
                    <w:drawing>
                      <wp:inline distT="0" distB="0" distL="0" distR="0">
                        <wp:extent cx="4245997" cy="2734201"/>
                        <wp:effectExtent l="19050" t="0" r="2153" b="0"/>
                        <wp:docPr id="17" name="תמונה 16" descr="עבירות אלימות חמורה בשיעור ל 100 אלף - יהודים מול ערבים.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עבירות אלימות חמורה בשיעור ל 100 אלף - יהודים מול ערבים.jpg"/>
                                <pic:cNvPicPr/>
                              </pic:nvPicPr>
                              <pic:blipFill>
                                <a:blip r:embed="rId10"/>
                                <a:srcRect t="14220"/>
                                <a:stretch>
                                  <a:fillRect/>
                                </a:stretch>
                              </pic:blipFill>
                              <pic:spPr>
                                <a:xfrm>
                                  <a:off x="0" y="0"/>
                                  <a:ext cx="4259008" cy="2742580"/>
                                </a:xfrm>
                                <a:prstGeom prst="rect">
                                  <a:avLst/>
                                </a:prstGeom>
                              </pic:spPr>
                            </pic:pic>
                          </a:graphicData>
                        </a:graphic>
                      </wp:inline>
                    </w:drawing>
                  </w:r>
                </w:p>
                <w:p w:rsidR="000C04AE" w:rsidRPr="00587B80" w:rsidRDefault="000C04AE" w:rsidP="005C6480">
                  <w:pPr>
                    <w:pStyle w:val="af0"/>
                    <w:bidi/>
                    <w:spacing w:line="360" w:lineRule="auto"/>
                    <w:jc w:val="center"/>
                    <w:rPr>
                      <w:rFonts w:ascii="David" w:hAnsi="David" w:cs="David"/>
                      <w:color w:val="0070C0"/>
                      <w:sz w:val="24"/>
                      <w:szCs w:val="24"/>
                      <w:rtl/>
                    </w:rPr>
                  </w:pPr>
                  <w:r w:rsidRPr="00587B80">
                    <w:rPr>
                      <w:rFonts w:ascii="David" w:hAnsi="David" w:cs="David"/>
                      <w:color w:val="0070C0"/>
                      <w:sz w:val="24"/>
                      <w:szCs w:val="24"/>
                      <w:u w:val="single"/>
                      <w:rtl/>
                    </w:rPr>
                    <w:t>תרשים</w:t>
                  </w:r>
                  <w:r w:rsidRPr="00587B80">
                    <w:rPr>
                      <w:rFonts w:ascii="David" w:hAnsi="David" w:cs="David" w:hint="cs"/>
                      <w:color w:val="0070C0"/>
                      <w:sz w:val="24"/>
                      <w:szCs w:val="24"/>
                      <w:u w:val="single"/>
                      <w:rtl/>
                    </w:rPr>
                    <w:t xml:space="preserve"> </w:t>
                  </w:r>
                  <w:r w:rsidRPr="00587B80">
                    <w:rPr>
                      <w:rFonts w:ascii="David" w:hAnsi="David" w:cs="David"/>
                      <w:color w:val="0070C0"/>
                      <w:sz w:val="24"/>
                      <w:szCs w:val="24"/>
                      <w:u w:val="single"/>
                    </w:rPr>
                    <w:t xml:space="preserve">: </w:t>
                  </w:r>
                  <w:r w:rsidRPr="00587B80">
                    <w:rPr>
                      <w:rFonts w:ascii="David" w:hAnsi="David" w:cs="David"/>
                      <w:color w:val="0070C0"/>
                      <w:sz w:val="24"/>
                      <w:szCs w:val="24"/>
                      <w:u w:val="single"/>
                    </w:rPr>
                    <w:fldChar w:fldCharType="begin"/>
                  </w:r>
                  <w:r w:rsidRPr="00587B80">
                    <w:rPr>
                      <w:rFonts w:ascii="David" w:hAnsi="David" w:cs="David"/>
                      <w:color w:val="0070C0"/>
                      <w:sz w:val="24"/>
                      <w:szCs w:val="24"/>
                      <w:u w:val="single"/>
                    </w:rPr>
                    <w:instrText xml:space="preserve"> SEQ </w:instrText>
                  </w:r>
                  <w:r w:rsidRPr="00587B80">
                    <w:rPr>
                      <w:rFonts w:ascii="David" w:hAnsi="David" w:cs="David"/>
                      <w:color w:val="0070C0"/>
                      <w:sz w:val="24"/>
                      <w:szCs w:val="24"/>
                      <w:u w:val="single"/>
                      <w:rtl/>
                    </w:rPr>
                    <w:instrText>תרשים</w:instrText>
                  </w:r>
                  <w:r w:rsidRPr="00587B80">
                    <w:rPr>
                      <w:rFonts w:ascii="David" w:hAnsi="David" w:cs="David"/>
                      <w:color w:val="0070C0"/>
                      <w:sz w:val="24"/>
                      <w:szCs w:val="24"/>
                      <w:u w:val="single"/>
                    </w:rPr>
                    <w:instrText xml:space="preserve"> \* ARABIC </w:instrText>
                  </w:r>
                  <w:r w:rsidRPr="00587B80">
                    <w:rPr>
                      <w:rFonts w:ascii="David" w:hAnsi="David" w:cs="David"/>
                      <w:color w:val="0070C0"/>
                      <w:sz w:val="24"/>
                      <w:szCs w:val="24"/>
                      <w:u w:val="single"/>
                    </w:rPr>
                    <w:fldChar w:fldCharType="separate"/>
                  </w:r>
                  <w:r w:rsidR="001E776F">
                    <w:rPr>
                      <w:rFonts w:ascii="David" w:hAnsi="David" w:cs="David"/>
                      <w:noProof/>
                      <w:color w:val="0070C0"/>
                      <w:sz w:val="24"/>
                      <w:szCs w:val="24"/>
                      <w:u w:val="single"/>
                    </w:rPr>
                    <w:t>3</w:t>
                  </w:r>
                  <w:r w:rsidRPr="00587B80">
                    <w:rPr>
                      <w:rFonts w:ascii="David" w:hAnsi="David" w:cs="David"/>
                      <w:color w:val="0070C0"/>
                      <w:sz w:val="24"/>
                      <w:szCs w:val="24"/>
                      <w:u w:val="single"/>
                    </w:rPr>
                    <w:fldChar w:fldCharType="end"/>
                  </w:r>
                  <w:r w:rsidRPr="00587B80">
                    <w:rPr>
                      <w:rFonts w:ascii="David" w:hAnsi="David" w:cs="David"/>
                      <w:noProof/>
                      <w:color w:val="0070C0"/>
                      <w:sz w:val="24"/>
                      <w:szCs w:val="24"/>
                      <w:rtl/>
                    </w:rPr>
                    <w:t xml:space="preserve"> עבירות אלימות חמורה (סל) – </w:t>
                  </w:r>
                  <w:r w:rsidRPr="00587B80">
                    <w:rPr>
                      <w:rFonts w:ascii="David" w:hAnsi="David" w:cs="David" w:hint="cs"/>
                      <w:noProof/>
                      <w:color w:val="0070C0"/>
                      <w:sz w:val="24"/>
                      <w:szCs w:val="24"/>
                      <w:rtl/>
                    </w:rPr>
                    <w:t>(</w:t>
                  </w:r>
                  <w:r w:rsidRPr="00587B80">
                    <w:rPr>
                      <w:rFonts w:ascii="David" w:hAnsi="David" w:cs="David"/>
                      <w:noProof/>
                      <w:color w:val="0070C0"/>
                      <w:sz w:val="24"/>
                      <w:szCs w:val="24"/>
                      <w:rtl/>
                    </w:rPr>
                    <w:t>בשיעורים ל 100 אלף אזרחים</w:t>
                  </w:r>
                  <w:r w:rsidRPr="00587B80">
                    <w:rPr>
                      <w:rFonts w:ascii="David" w:hAnsi="David" w:cs="David" w:hint="cs"/>
                      <w:noProof/>
                      <w:color w:val="0070C0"/>
                      <w:sz w:val="24"/>
                      <w:szCs w:val="24"/>
                      <w:rtl/>
                    </w:rPr>
                    <w:t>)</w:t>
                  </w:r>
                  <w:r w:rsidRPr="00587B80">
                    <w:rPr>
                      <w:rFonts w:ascii="David" w:hAnsi="David" w:cs="David"/>
                      <w:noProof/>
                      <w:color w:val="0070C0"/>
                      <w:sz w:val="24"/>
                      <w:szCs w:val="24"/>
                      <w:rtl/>
                    </w:rPr>
                    <w:t xml:space="preserve"> - מגמה מ 2010 עד 2018 בהשוואה בין יהודים (ואחרים) לערבים ישראלים.</w:t>
                  </w:r>
                </w:p>
                <w:p w:rsidR="000C04AE" w:rsidRDefault="000C04AE" w:rsidP="005C6480">
                  <w:pPr>
                    <w:jc w:val="center"/>
                  </w:pPr>
                </w:p>
              </w:txbxContent>
            </v:textbox>
          </v:shape>
        </w:pict>
      </w:r>
      <w:r w:rsidR="00732A8E" w:rsidRPr="00412F94">
        <w:rPr>
          <w:rFonts w:ascii="Arial" w:hAnsi="Arial" w:cs="David" w:hint="cs"/>
          <w:sz w:val="24"/>
          <w:szCs w:val="24"/>
          <w:rtl/>
        </w:rPr>
        <w:t xml:space="preserve">המשמעות היא שהערבים בישראל מבצעים יותר עבירות אלימות אך הם גם הנפגעים העיקריים ממגמה זו. </w:t>
      </w:r>
      <w:r w:rsidR="00F30437" w:rsidRPr="00412F94">
        <w:rPr>
          <w:rFonts w:ascii="Arial" w:hAnsi="Arial" w:cs="David" w:hint="cs"/>
          <w:sz w:val="24"/>
          <w:szCs w:val="24"/>
          <w:rtl/>
        </w:rPr>
        <w:t>לנתונים אלה יש להוסיף את העובדה כי שיעור הדיווח על הפשיעה בחברה הערבית נמוך יותר משיעור הדיווח בחברה היהודית</w:t>
      </w:r>
      <w:r w:rsidR="00D27EDC" w:rsidRPr="00412F94">
        <w:rPr>
          <w:rFonts w:ascii="Arial" w:hAnsi="Arial" w:cs="David" w:hint="cs"/>
          <w:sz w:val="24"/>
          <w:szCs w:val="24"/>
          <w:rtl/>
        </w:rPr>
        <w:t xml:space="preserve"> (סקרי נפגעי עבירה שעורכת המשטרה)</w:t>
      </w:r>
      <w:r w:rsidR="00F30437" w:rsidRPr="00412F94">
        <w:rPr>
          <w:rFonts w:ascii="Arial" w:hAnsi="Arial" w:cs="David" w:hint="cs"/>
          <w:sz w:val="24"/>
          <w:szCs w:val="24"/>
          <w:rtl/>
        </w:rPr>
        <w:t xml:space="preserve"> ולכן הפערים האמיתיים אף גדולים יותר. הדבר נכון במיוחד בעבירות הפחות חמורות שבהן יש נטייה לטפל במסגרות קהילתיות ומשפחתיות פנימיות (</w:t>
      </w:r>
      <w:r w:rsidR="00F30437" w:rsidRPr="00412F94">
        <w:rPr>
          <w:rFonts w:ascii="Arial" w:hAnsi="Arial" w:cs="David"/>
          <w:sz w:val="24"/>
          <w:szCs w:val="24"/>
        </w:rPr>
        <w:t>Self-help</w:t>
      </w:r>
      <w:r w:rsidR="00F30437" w:rsidRPr="00412F94">
        <w:rPr>
          <w:rFonts w:ascii="Arial" w:hAnsi="Arial" w:cs="David" w:hint="cs"/>
          <w:sz w:val="24"/>
          <w:szCs w:val="24"/>
          <w:rtl/>
        </w:rPr>
        <w:t>) ופחות לדווח לרשות רשמית, בעוד שבעבירות חמורות (כמו רצח או שוד) שיעור הדיווח, בדרך כלל, גבוה יותר.</w:t>
      </w:r>
      <w:r w:rsidR="001203C3" w:rsidRPr="00412F94">
        <w:rPr>
          <w:rFonts w:ascii="Arial" w:hAnsi="Arial" w:cs="David" w:hint="cs"/>
          <w:sz w:val="24"/>
          <w:szCs w:val="24"/>
          <w:rtl/>
        </w:rPr>
        <w:t>הפערים בין שיעורי האלימות בחברה הערבית לחברה היהודית מתחדדים והופכים לבולטים יותר, ככל שמדובר בעבירות חמורות יותר. תרשים מספר 3, מציג סל מצומצם יותר של עבירות אלימות חמורות המאופיינות במקרים רבים בשימוש בנשק בעת ולצורך ביצוע העבירה וכולל את העבירות הבאות: רצח, ניסיון לרצח, הריגה, חבלה גופנית חמורה, שוד ושוד בנסיבות חמורות.</w:t>
      </w:r>
    </w:p>
    <w:p w:rsidR="00E305F8" w:rsidRDefault="00E305F8" w:rsidP="00E305F8">
      <w:pPr>
        <w:bidi/>
        <w:spacing w:line="360" w:lineRule="auto"/>
        <w:jc w:val="both"/>
        <w:rPr>
          <w:rFonts w:ascii="Arial" w:hAnsi="Arial" w:cs="David" w:hint="cs"/>
          <w:sz w:val="24"/>
          <w:szCs w:val="24"/>
          <w:rtl/>
        </w:rPr>
      </w:pPr>
    </w:p>
    <w:p w:rsidR="00E305F8" w:rsidRPr="00412F94" w:rsidRDefault="00E305F8" w:rsidP="00E305F8">
      <w:pPr>
        <w:bidi/>
        <w:spacing w:line="360" w:lineRule="auto"/>
        <w:jc w:val="both"/>
        <w:rPr>
          <w:rFonts w:ascii="Arial" w:hAnsi="Arial" w:cs="David" w:hint="cs"/>
          <w:sz w:val="24"/>
          <w:szCs w:val="24"/>
          <w:rtl/>
        </w:rPr>
      </w:pPr>
    </w:p>
    <w:p w:rsidR="00D8432B" w:rsidRDefault="00D8432B" w:rsidP="00D8432B">
      <w:pPr>
        <w:bidi/>
        <w:spacing w:line="360" w:lineRule="auto"/>
        <w:jc w:val="both"/>
        <w:rPr>
          <w:rFonts w:ascii="Arial" w:hAnsi="Arial" w:cs="David"/>
          <w:sz w:val="28"/>
          <w:szCs w:val="28"/>
          <w:rtl/>
        </w:rPr>
      </w:pPr>
    </w:p>
    <w:p w:rsidR="00D8432B" w:rsidRDefault="00D8432B" w:rsidP="005C6480">
      <w:pPr>
        <w:bidi/>
        <w:spacing w:line="360" w:lineRule="auto"/>
        <w:jc w:val="center"/>
        <w:rPr>
          <w:rFonts w:ascii="Arial" w:hAnsi="Arial" w:cs="David"/>
          <w:sz w:val="28"/>
          <w:szCs w:val="28"/>
          <w:rtl/>
        </w:rPr>
      </w:pPr>
    </w:p>
    <w:p w:rsidR="00D8432B" w:rsidRDefault="00D8432B" w:rsidP="005C6480">
      <w:pPr>
        <w:bidi/>
        <w:spacing w:line="360" w:lineRule="auto"/>
        <w:jc w:val="center"/>
        <w:rPr>
          <w:rFonts w:ascii="Arial" w:hAnsi="Arial" w:cs="David"/>
          <w:sz w:val="28"/>
          <w:szCs w:val="28"/>
          <w:rtl/>
        </w:rPr>
      </w:pPr>
    </w:p>
    <w:p w:rsidR="00D8432B" w:rsidRDefault="00D8432B" w:rsidP="005C6480">
      <w:pPr>
        <w:bidi/>
        <w:spacing w:line="360" w:lineRule="auto"/>
        <w:jc w:val="center"/>
        <w:rPr>
          <w:rFonts w:ascii="Arial" w:hAnsi="Arial" w:cs="David"/>
          <w:sz w:val="28"/>
          <w:szCs w:val="28"/>
          <w:rtl/>
        </w:rPr>
      </w:pPr>
    </w:p>
    <w:p w:rsidR="00D8432B" w:rsidRDefault="00D8432B" w:rsidP="005C6480">
      <w:pPr>
        <w:bidi/>
        <w:spacing w:line="360" w:lineRule="auto"/>
        <w:jc w:val="center"/>
        <w:rPr>
          <w:rFonts w:ascii="Arial" w:hAnsi="Arial" w:cs="David"/>
          <w:sz w:val="28"/>
          <w:szCs w:val="28"/>
          <w:rtl/>
        </w:rPr>
      </w:pPr>
    </w:p>
    <w:p w:rsidR="007C7D76" w:rsidRDefault="007C7D76" w:rsidP="005C6480">
      <w:pPr>
        <w:bidi/>
        <w:spacing w:line="360" w:lineRule="auto"/>
        <w:jc w:val="center"/>
        <w:rPr>
          <w:rFonts w:ascii="Arial" w:hAnsi="Arial" w:cs="David"/>
          <w:sz w:val="28"/>
          <w:szCs w:val="28"/>
          <w:rtl/>
        </w:rPr>
      </w:pPr>
    </w:p>
    <w:p w:rsidR="007C7D76" w:rsidRDefault="007C7D76" w:rsidP="005C6480">
      <w:pPr>
        <w:bidi/>
        <w:spacing w:line="360" w:lineRule="auto"/>
        <w:jc w:val="center"/>
        <w:rPr>
          <w:rFonts w:ascii="Arial" w:hAnsi="Arial" w:cs="David"/>
          <w:sz w:val="28"/>
          <w:szCs w:val="28"/>
          <w:rtl/>
        </w:rPr>
      </w:pPr>
    </w:p>
    <w:p w:rsidR="007F317D" w:rsidRDefault="007F317D" w:rsidP="00E305F8">
      <w:pPr>
        <w:bidi/>
        <w:spacing w:line="360" w:lineRule="auto"/>
        <w:jc w:val="both"/>
        <w:rPr>
          <w:rFonts w:ascii="Arial" w:hAnsi="Arial" w:cs="David" w:hint="cs"/>
          <w:sz w:val="28"/>
          <w:szCs w:val="28"/>
          <w:rtl/>
        </w:rPr>
      </w:pPr>
    </w:p>
    <w:p w:rsidR="00532637" w:rsidRPr="00412F94" w:rsidRDefault="00152050" w:rsidP="007F317D">
      <w:pPr>
        <w:bidi/>
        <w:spacing w:line="360" w:lineRule="auto"/>
        <w:jc w:val="both"/>
        <w:rPr>
          <w:rFonts w:ascii="Arial" w:hAnsi="Arial" w:cs="David"/>
          <w:sz w:val="24"/>
          <w:szCs w:val="24"/>
          <w:rtl/>
        </w:rPr>
      </w:pPr>
      <w:r w:rsidRPr="00412F94">
        <w:rPr>
          <w:rFonts w:ascii="Arial" w:hAnsi="Arial" w:cs="David" w:hint="cs"/>
          <w:sz w:val="24"/>
          <w:szCs w:val="24"/>
          <w:rtl/>
        </w:rPr>
        <w:t xml:space="preserve">תרשים 3 מלמד כי הפערים בשיעור האלימות בין החברה היהודית לחברה הערבית גדולים ומשמעותיים יותר כאשר מדובר בעבירות החמורות. במקרים מסוימים גדול שיעור מבצעי העבירות בקרב הערבים פי 3 מאשר בקרב היהודים. המגמה הברורה מתחילת העשור מעידה כי שיעור האלימות החמורה בחברה הערבית נמצא במגמת עליה בולטת, למעט שני מקטעים שבהם חלה ירידה נקודתית </w:t>
      </w:r>
      <w:r w:rsidRPr="00412F94">
        <w:rPr>
          <w:rFonts w:ascii="Arial" w:hAnsi="Arial" w:cs="David"/>
          <w:sz w:val="24"/>
          <w:szCs w:val="24"/>
          <w:rtl/>
        </w:rPr>
        <w:t>–</w:t>
      </w:r>
      <w:r w:rsidRPr="00412F94">
        <w:rPr>
          <w:rFonts w:ascii="Arial" w:hAnsi="Arial" w:cs="David" w:hint="cs"/>
          <w:sz w:val="24"/>
          <w:szCs w:val="24"/>
          <w:rtl/>
        </w:rPr>
        <w:t xml:space="preserve"> בין 2010 ל 2011 ו-בין 2015 ל 2016. בחברה היהודית מסתמנת מגמת עלייה מתונה באלימות החמורה לעומת מגמת ירידה באלימות הכללית. כדי להשלים את התמונה ביחס לעבירות האלימות החמורה, יש לבחון את המגמה </w:t>
      </w:r>
      <w:r w:rsidRPr="00412F94">
        <w:rPr>
          <w:rFonts w:ascii="Arial" w:hAnsi="Arial" w:cs="David" w:hint="cs"/>
          <w:sz w:val="24"/>
          <w:szCs w:val="24"/>
          <w:rtl/>
        </w:rPr>
        <w:lastRenderedPageBreak/>
        <w:t>המקבילה בשיעור הקורבנות מעבירות אלה.</w:t>
      </w:r>
      <w:r w:rsidR="00E305F8">
        <w:rPr>
          <w:rFonts w:ascii="Arial" w:hAnsi="Arial" w:cs="David" w:hint="cs"/>
          <w:sz w:val="24"/>
          <w:szCs w:val="24"/>
          <w:rtl/>
        </w:rPr>
        <w:t xml:space="preserve"> </w:t>
      </w:r>
      <w:r w:rsidR="00FD4FC4" w:rsidRPr="00412F94">
        <w:rPr>
          <w:rFonts w:ascii="Arial" w:hAnsi="Arial" w:cs="David" w:hint="cs"/>
          <w:sz w:val="24"/>
          <w:szCs w:val="24"/>
          <w:rtl/>
        </w:rPr>
        <w:t xml:space="preserve">בניגוד למגמת העלייה הברורה בשיעור מבצעי העבירות בקרב החברה הערבית, </w:t>
      </w:r>
      <w:r w:rsidR="00587B80" w:rsidRPr="00412F94">
        <w:rPr>
          <w:rFonts w:ascii="Arial" w:hAnsi="Arial" w:cs="David" w:hint="cs"/>
          <w:sz w:val="24"/>
          <w:szCs w:val="24"/>
          <w:rtl/>
        </w:rPr>
        <w:t xml:space="preserve">שיעור </w:t>
      </w:r>
      <w:r w:rsidR="00FD4FC4" w:rsidRPr="00412F94">
        <w:rPr>
          <w:rFonts w:ascii="Arial" w:hAnsi="Arial" w:cs="David" w:hint="cs"/>
          <w:sz w:val="24"/>
          <w:szCs w:val="24"/>
          <w:rtl/>
        </w:rPr>
        <w:t>הקורבנות נשאר סטטי מאז 2010 ועומד על 48 קורבנות אלימות חמורה ל 100 אלף נפש בחברה הערבית, בקירוב.   המגמה דומה גם בקרב החברה היהודית אולם בשיעור נמוך של פי חמישה מאשר בקרב הערבים. ניתן להסביר את השונות שבין מגמת העלייה בשיעור העבירות למצב הסטטי בשיעור הקורבנות בכך שחלה עלייה בשיעור הגילויים של המשטרה ולכן, בעוד ששיעור הקורבנות נשאר יציב, יש מגמת עלייה בשיעור מבצעי העבירות</w:t>
      </w:r>
      <w:r w:rsidR="00335979" w:rsidRPr="00412F94">
        <w:rPr>
          <w:rFonts w:ascii="Arial" w:hAnsi="Arial" w:cs="David" w:hint="cs"/>
          <w:sz w:val="24"/>
          <w:szCs w:val="24"/>
          <w:rtl/>
        </w:rPr>
        <w:t xml:space="preserve"> וניתן לייחס את ביצוע העבירה ליהודי או ערבי</w:t>
      </w:r>
      <w:r w:rsidR="00FD4FC4" w:rsidRPr="00412F94">
        <w:rPr>
          <w:rFonts w:ascii="Arial" w:hAnsi="Arial" w:cs="David" w:hint="cs"/>
          <w:sz w:val="24"/>
          <w:szCs w:val="24"/>
          <w:rtl/>
        </w:rPr>
        <w:t>.</w:t>
      </w:r>
    </w:p>
    <w:p w:rsidR="00A843C8" w:rsidRPr="00412F94" w:rsidRDefault="00532637" w:rsidP="00532637">
      <w:pPr>
        <w:bidi/>
        <w:spacing w:line="360" w:lineRule="auto"/>
        <w:jc w:val="both"/>
        <w:rPr>
          <w:rFonts w:ascii="Arial" w:hAnsi="Arial" w:cs="David"/>
          <w:sz w:val="24"/>
          <w:szCs w:val="24"/>
          <w:rtl/>
        </w:rPr>
      </w:pPr>
      <w:r w:rsidRPr="00412F94">
        <w:rPr>
          <w:rFonts w:ascii="Arial" w:hAnsi="Arial" w:cs="David" w:hint="cs"/>
          <w:sz w:val="24"/>
          <w:szCs w:val="24"/>
          <w:rtl/>
        </w:rPr>
        <w:t>הסיכויים של אזרח ערבי בישראל להיות קורבן לעבירת אלימות חמורה, גבוהים פי חמישה בקירוב מהסיכויים של אזרח יהודי</w:t>
      </w:r>
      <w:r w:rsidR="00A843C8" w:rsidRPr="00412F94">
        <w:rPr>
          <w:rFonts w:ascii="Arial" w:hAnsi="Arial" w:cs="David" w:hint="cs"/>
          <w:sz w:val="24"/>
          <w:szCs w:val="24"/>
          <w:rtl/>
        </w:rPr>
        <w:t>. מגמה זו דומה בעבירת גרימת חבלה חמורה הכוללת מעשה אלימות שגרם לקורבן פגיעות חמורות, לרבות כתוצאה מדקירות סכין או כתוצאה מפציעות ירי.</w:t>
      </w:r>
    </w:p>
    <w:p w:rsidR="00C06E1A" w:rsidRPr="005724AE" w:rsidRDefault="00C06E1A" w:rsidP="00C06E1A">
      <w:pPr>
        <w:bidi/>
        <w:spacing w:line="360" w:lineRule="auto"/>
        <w:jc w:val="both"/>
        <w:rPr>
          <w:rFonts w:ascii="Arial" w:hAnsi="Arial" w:cs="David"/>
          <w:sz w:val="24"/>
          <w:szCs w:val="24"/>
          <w:rtl/>
        </w:rPr>
      </w:pPr>
      <w:r w:rsidRPr="005724AE">
        <w:rPr>
          <w:rFonts w:ascii="Arial" w:hAnsi="Arial" w:cs="David" w:hint="cs"/>
          <w:sz w:val="24"/>
          <w:szCs w:val="24"/>
          <w:rtl/>
        </w:rPr>
        <w:t>שיאן של עבירות האלימות בחברה בא לידי ביטוי בעבירת הרצח וגם כאן נמצא תמונה דומה. מאז תחילת העשור, נרצחו 488 ערבים ישראלים לעומת 502 אזרחים יהודים</w:t>
      </w:r>
      <w:r w:rsidR="00BE0B60" w:rsidRPr="005724AE">
        <w:rPr>
          <w:rFonts w:ascii="Arial" w:hAnsi="Arial" w:cs="David" w:hint="cs"/>
          <w:sz w:val="24"/>
          <w:szCs w:val="24"/>
          <w:rtl/>
        </w:rPr>
        <w:t>. הקורבנות הערבים מהווים 49.3% מכלל קורבנות הרצח הישראלים, זהו שיעור הגדול פי 2.5 בקירוב משיעורם באוכלוסיה. בנוסף לכך, מאז תחילת העשור, נחקרו 1,159 ערבים ישראלים כחשודים בעבירות רצח או ניסיון לרצח לעומת 757 אזרחים ישראלים יהודים. דהיינו, 60.5% מכלל החשודים בעבירות רצח או ניסיון לרצח בישראל הם ערבים ישראלים. פי 3 משיעורם הכללי באוכלוסיה.</w:t>
      </w:r>
    </w:p>
    <w:p w:rsidR="007358A8" w:rsidRDefault="00085CE3" w:rsidP="00FB0DD3">
      <w:pPr>
        <w:bidi/>
        <w:spacing w:line="360" w:lineRule="auto"/>
        <w:jc w:val="both"/>
        <w:rPr>
          <w:rFonts w:ascii="Arial" w:hAnsi="Arial" w:cs="David" w:hint="cs"/>
          <w:sz w:val="24"/>
          <w:szCs w:val="24"/>
          <w:rtl/>
        </w:rPr>
      </w:pPr>
      <w:r w:rsidRPr="002169FF">
        <w:rPr>
          <w:rFonts w:ascii="Arial" w:hAnsi="Arial" w:cs="David" w:hint="cs"/>
          <w:sz w:val="24"/>
          <w:szCs w:val="24"/>
          <w:rtl/>
        </w:rPr>
        <w:t xml:space="preserve">לסיכום פרק הנתונים והמגמות ביחס לאלימות בחברה הערבית, ניתן לומר כי החברה הערבית בישראל סובלת משיעורים גבוהים של </w:t>
      </w:r>
      <w:r w:rsidR="00FB0DD3" w:rsidRPr="002169FF">
        <w:rPr>
          <w:rFonts w:ascii="Arial" w:hAnsi="Arial" w:cs="David" w:hint="cs"/>
          <w:sz w:val="24"/>
          <w:szCs w:val="24"/>
          <w:rtl/>
        </w:rPr>
        <w:t>אלימות ביחס לחברה היהודית ועוד יותר מדאיג מכך ממגמה של החמרת התופעה. הפערים בין החברות בולטים במיוחד כאשר מדובר בעבירות חמורות שמאופיינות במקרים רבים בשימוש בנשק לצורך ביצוע העבירה, כמו בעבירות רצח או שוד בנסיבות מחמירות. הנטייה להשתמש בנשק נובעת מזמינותו הגבוהה והיא שגורמת באירועים רבים, להחמרה של התוצאה ולמעגל תגובה המזין מחדש את מעגל האלימות. הקשר שבין זמינות הנשק לחברה אלימה, ינותח בהמשך העבודה.</w:t>
      </w:r>
    </w:p>
    <w:p w:rsidR="002202C6" w:rsidRPr="00714CE6" w:rsidRDefault="009E1A40" w:rsidP="00714CE6">
      <w:pPr>
        <w:pStyle w:val="1"/>
        <w:bidi/>
        <w:rPr>
          <w:rFonts w:ascii="David" w:hAnsi="David" w:cs="David"/>
          <w:rtl/>
        </w:rPr>
      </w:pPr>
      <w:bookmarkStart w:id="7" w:name="_Toc4948719"/>
      <w:bookmarkStart w:id="8" w:name="_Toc4950570"/>
      <w:bookmarkStart w:id="9" w:name="_Toc5984336"/>
      <w:r w:rsidRPr="00714CE6">
        <w:rPr>
          <w:rFonts w:ascii="David" w:hAnsi="David" w:cs="David"/>
          <w:rtl/>
        </w:rPr>
        <w:t>גורמים</w:t>
      </w:r>
      <w:r w:rsidR="00B81F53" w:rsidRPr="00714CE6">
        <w:rPr>
          <w:rFonts w:ascii="David" w:hAnsi="David" w:cs="David"/>
          <w:rtl/>
        </w:rPr>
        <w:t xml:space="preserve"> חברתיים</w:t>
      </w:r>
      <w:r w:rsidRPr="00714CE6">
        <w:rPr>
          <w:rFonts w:ascii="David" w:hAnsi="David" w:cs="David"/>
          <w:rtl/>
        </w:rPr>
        <w:t xml:space="preserve"> לאלימות ופשיעה</w:t>
      </w:r>
      <w:r w:rsidR="004D4C1F" w:rsidRPr="00714CE6">
        <w:rPr>
          <w:rFonts w:ascii="David" w:hAnsi="David" w:cs="David"/>
          <w:rtl/>
        </w:rPr>
        <w:t xml:space="preserve"> בחברה הערבית</w:t>
      </w:r>
      <w:bookmarkEnd w:id="7"/>
      <w:bookmarkEnd w:id="8"/>
      <w:bookmarkEnd w:id="9"/>
    </w:p>
    <w:p w:rsidR="003418D0" w:rsidRPr="002169FF" w:rsidRDefault="003418D0" w:rsidP="004E2D11">
      <w:pPr>
        <w:bidi/>
        <w:spacing w:line="360" w:lineRule="auto"/>
        <w:jc w:val="both"/>
        <w:rPr>
          <w:rFonts w:ascii="Arial" w:hAnsi="Arial" w:cs="David"/>
          <w:sz w:val="24"/>
          <w:szCs w:val="24"/>
          <w:rtl/>
        </w:rPr>
      </w:pPr>
      <w:r w:rsidRPr="002169FF">
        <w:rPr>
          <w:rFonts w:ascii="Arial" w:hAnsi="Arial" w:cs="David" w:hint="cs"/>
          <w:sz w:val="24"/>
          <w:szCs w:val="24"/>
          <w:rtl/>
        </w:rPr>
        <w:t>בשנת 2010, נערך על ידי מרכז המחקר והמידע של הכנסת דו"ח מקיף בנושא הפשיעה והאלימות בחברה הערבית בישראל ובו נסקרו הגורמים להתגברות האלימות והפשיעה</w:t>
      </w:r>
      <w:sdt>
        <w:sdtPr>
          <w:rPr>
            <w:rFonts w:ascii="Arial" w:hAnsi="Arial" w:cs="David" w:hint="cs"/>
            <w:sz w:val="24"/>
            <w:szCs w:val="24"/>
            <w:rtl/>
          </w:rPr>
          <w:id w:val="1033899035"/>
          <w:citation/>
        </w:sdtPr>
        <w:sdtContent>
          <w:r w:rsidR="002B306D" w:rsidRPr="002169FF">
            <w:rPr>
              <w:rFonts w:ascii="Arial" w:hAnsi="Arial" w:cs="David"/>
              <w:sz w:val="24"/>
              <w:szCs w:val="24"/>
              <w:rtl/>
            </w:rPr>
            <w:fldChar w:fldCharType="begin"/>
          </w:r>
          <w:r w:rsidRPr="002169FF">
            <w:rPr>
              <w:rFonts w:ascii="Arial" w:hAnsi="Arial" w:cs="David"/>
              <w:sz w:val="24"/>
              <w:szCs w:val="24"/>
              <w:rtl/>
            </w:rPr>
            <w:instrText xml:space="preserve"> </w:instrText>
          </w:r>
          <w:r w:rsidRPr="002169FF">
            <w:rPr>
              <w:rFonts w:ascii="Arial" w:hAnsi="Arial" w:cs="David" w:hint="cs"/>
              <w:sz w:val="24"/>
              <w:szCs w:val="24"/>
            </w:rPr>
            <w:instrText>CITATION</w:instrText>
          </w:r>
          <w:r w:rsidRPr="002169FF">
            <w:rPr>
              <w:rFonts w:ascii="Arial" w:hAnsi="Arial" w:cs="David" w:hint="cs"/>
              <w:sz w:val="24"/>
              <w:szCs w:val="24"/>
              <w:rtl/>
            </w:rPr>
            <w:instrText xml:space="preserve"> הכנ10 \</w:instrText>
          </w:r>
          <w:r w:rsidRPr="002169FF">
            <w:rPr>
              <w:rFonts w:ascii="Arial" w:hAnsi="Arial" w:cs="David" w:hint="cs"/>
              <w:sz w:val="24"/>
              <w:szCs w:val="24"/>
            </w:rPr>
            <w:instrText>l 1037</w:instrText>
          </w:r>
          <w:r w:rsidRPr="002169FF">
            <w:rPr>
              <w:rFonts w:ascii="Arial" w:hAnsi="Arial" w:cs="David"/>
              <w:sz w:val="24"/>
              <w:szCs w:val="24"/>
              <w:rtl/>
            </w:rPr>
            <w:instrText xml:space="preserve"> </w:instrText>
          </w:r>
          <w:r w:rsidR="002B306D" w:rsidRPr="002169FF">
            <w:rPr>
              <w:rFonts w:ascii="Arial" w:hAnsi="Arial" w:cs="David"/>
              <w:sz w:val="24"/>
              <w:szCs w:val="24"/>
              <w:rtl/>
            </w:rPr>
            <w:fldChar w:fldCharType="separate"/>
          </w:r>
          <w:r w:rsidRPr="002169FF">
            <w:rPr>
              <w:rFonts w:ascii="Arial" w:hAnsi="Arial" w:cs="David"/>
              <w:noProof/>
              <w:sz w:val="24"/>
              <w:szCs w:val="24"/>
              <w:rtl/>
            </w:rPr>
            <w:t xml:space="preserve"> </w:t>
          </w:r>
          <w:r w:rsidRPr="002169FF">
            <w:rPr>
              <w:rFonts w:ascii="Arial" w:hAnsi="Arial" w:cs="David" w:hint="cs"/>
              <w:noProof/>
              <w:sz w:val="24"/>
              <w:szCs w:val="24"/>
              <w:rtl/>
            </w:rPr>
            <w:t>(הכנסת, מרכז המחקר והמידע, 2010)</w:t>
          </w:r>
          <w:r w:rsidR="002B306D" w:rsidRPr="002169FF">
            <w:rPr>
              <w:rFonts w:ascii="Arial" w:hAnsi="Arial" w:cs="David"/>
              <w:sz w:val="24"/>
              <w:szCs w:val="24"/>
              <w:rtl/>
            </w:rPr>
            <w:fldChar w:fldCharType="end"/>
          </w:r>
        </w:sdtContent>
      </w:sdt>
      <w:r w:rsidRPr="002169FF">
        <w:rPr>
          <w:rFonts w:ascii="Arial" w:hAnsi="Arial" w:cs="David" w:hint="cs"/>
          <w:sz w:val="24"/>
          <w:szCs w:val="24"/>
          <w:rtl/>
        </w:rPr>
        <w:t xml:space="preserve">. הדו"ח סוקר את גורמי הרקע לפשיעה בחברה הערבית ומחלק אותם לשתי קבוצות </w:t>
      </w:r>
      <w:r w:rsidRPr="002169FF">
        <w:rPr>
          <w:rFonts w:ascii="Arial" w:hAnsi="Arial" w:cs="David"/>
          <w:sz w:val="24"/>
          <w:szCs w:val="24"/>
          <w:rtl/>
        </w:rPr>
        <w:t>–</w:t>
      </w:r>
      <w:r w:rsidRPr="002169FF">
        <w:rPr>
          <w:rFonts w:ascii="Arial" w:hAnsi="Arial" w:cs="David" w:hint="cs"/>
          <w:sz w:val="24"/>
          <w:szCs w:val="24"/>
          <w:rtl/>
        </w:rPr>
        <w:t xml:space="preserve"> גורמי עומק בחברה הערבית בישראל וגורמים חברתיים כלכליים. </w:t>
      </w:r>
    </w:p>
    <w:p w:rsidR="003418D0" w:rsidRPr="00714CE6" w:rsidRDefault="004E6637" w:rsidP="00714CE6">
      <w:pPr>
        <w:jc w:val="right"/>
        <w:rPr>
          <w:rFonts w:ascii="David" w:hAnsi="David" w:cs="David"/>
          <w:b/>
          <w:bCs/>
          <w:sz w:val="24"/>
          <w:szCs w:val="24"/>
          <w:rtl/>
        </w:rPr>
      </w:pPr>
      <w:bookmarkStart w:id="10" w:name="_Toc4950571"/>
      <w:r w:rsidRPr="00714CE6">
        <w:rPr>
          <w:rFonts w:ascii="David" w:hAnsi="David" w:cs="David"/>
          <w:b/>
          <w:bCs/>
          <w:sz w:val="24"/>
          <w:szCs w:val="24"/>
          <w:rtl/>
        </w:rPr>
        <w:t xml:space="preserve">גורמי </w:t>
      </w:r>
      <w:r w:rsidR="003418D0" w:rsidRPr="00714CE6">
        <w:rPr>
          <w:rFonts w:ascii="David" w:hAnsi="David" w:cs="David"/>
          <w:b/>
          <w:bCs/>
          <w:sz w:val="24"/>
          <w:szCs w:val="24"/>
          <w:rtl/>
        </w:rPr>
        <w:t xml:space="preserve">עומק </w:t>
      </w:r>
      <w:r w:rsidR="004D409D" w:rsidRPr="00714CE6">
        <w:rPr>
          <w:rFonts w:ascii="David" w:hAnsi="David" w:cs="David"/>
          <w:b/>
          <w:bCs/>
          <w:sz w:val="24"/>
          <w:szCs w:val="24"/>
          <w:rtl/>
        </w:rPr>
        <w:t>חברתיים</w:t>
      </w:r>
      <w:r w:rsidRPr="00714CE6">
        <w:rPr>
          <w:rFonts w:ascii="David" w:hAnsi="David" w:cs="David"/>
          <w:b/>
          <w:bCs/>
          <w:sz w:val="24"/>
          <w:szCs w:val="24"/>
          <w:rtl/>
        </w:rPr>
        <w:t xml:space="preserve"> -תרבותיים.</w:t>
      </w:r>
      <w:bookmarkEnd w:id="10"/>
    </w:p>
    <w:p w:rsidR="009F1FF0" w:rsidRPr="002169FF" w:rsidRDefault="009F1FF0" w:rsidP="009B0CEE">
      <w:pPr>
        <w:bidi/>
        <w:spacing w:line="360" w:lineRule="auto"/>
        <w:ind w:left="-46"/>
        <w:jc w:val="both"/>
        <w:rPr>
          <w:rFonts w:ascii="Arial" w:hAnsi="Arial" w:cs="David"/>
          <w:b/>
          <w:bCs/>
          <w:sz w:val="4"/>
          <w:szCs w:val="4"/>
          <w:rtl/>
        </w:rPr>
      </w:pPr>
    </w:p>
    <w:p w:rsidR="003418D0" w:rsidRPr="002169FF" w:rsidRDefault="003418D0" w:rsidP="009F1FF0">
      <w:pPr>
        <w:bidi/>
        <w:spacing w:line="360" w:lineRule="auto"/>
        <w:ind w:left="-46"/>
        <w:jc w:val="both"/>
        <w:rPr>
          <w:rFonts w:ascii="Arial" w:hAnsi="Arial" w:cs="David"/>
          <w:sz w:val="24"/>
          <w:szCs w:val="24"/>
          <w:rtl/>
        </w:rPr>
      </w:pPr>
      <w:r w:rsidRPr="002169FF">
        <w:rPr>
          <w:rFonts w:ascii="Arial" w:hAnsi="Arial" w:cs="David" w:hint="cs"/>
          <w:b/>
          <w:bCs/>
          <w:sz w:val="24"/>
          <w:szCs w:val="24"/>
          <w:rtl/>
        </w:rPr>
        <w:t>הגורם הראשון</w:t>
      </w:r>
      <w:r w:rsidRPr="002169FF">
        <w:rPr>
          <w:rFonts w:ascii="Arial" w:hAnsi="Arial" w:cs="David" w:hint="cs"/>
          <w:sz w:val="24"/>
          <w:szCs w:val="24"/>
          <w:rtl/>
        </w:rPr>
        <w:t xml:space="preserve"> - התפרקות התא החמולתי ומעבר למשפחה גרעינית הגורר עמו היחלשות הסמכות של ראש המשפחה המורחבת. בעבר היו הנכבדים, ראשי החמולות, בעלי סמכות ביישוב סכסוכים ובקביעת נורמות התנהגות, לצד יכולת לתגמל את בני החמולה בטובות הנאה שונות, כמו הקצאת קרקע למגורים, שטחי מרעה ועוד. היחלשות הנכבדים גררה היחלשות של מרכיבים נוספים במרקם הקהילתי כמו מורים ומנהלי בתי ספר. תהליך זה קשור לתהליכי מודרניזציה המגבירים חשיפה לתרבות הצריכה, למודלים חברתיים אחרים ורצון להידמות לחברה המערבית המודרנית. תהליך אובדן הסמכות בחמולה, יצר פתח להתגברות האלימות ככלי תחרותי לשיפור המעמד החברתי והכלכלי.</w:t>
      </w:r>
    </w:p>
    <w:p w:rsidR="003418D0" w:rsidRPr="002169FF" w:rsidRDefault="003418D0" w:rsidP="009B0CEE">
      <w:pPr>
        <w:bidi/>
        <w:spacing w:line="360" w:lineRule="auto"/>
        <w:ind w:left="-46"/>
        <w:jc w:val="both"/>
        <w:rPr>
          <w:rFonts w:ascii="Arial" w:hAnsi="Arial" w:cs="David"/>
          <w:sz w:val="24"/>
          <w:szCs w:val="24"/>
          <w:rtl/>
        </w:rPr>
      </w:pPr>
      <w:r w:rsidRPr="002169FF">
        <w:rPr>
          <w:rFonts w:ascii="Arial" w:hAnsi="Arial" w:cs="David" w:hint="cs"/>
          <w:b/>
          <w:bCs/>
          <w:sz w:val="24"/>
          <w:szCs w:val="24"/>
          <w:rtl/>
        </w:rPr>
        <w:lastRenderedPageBreak/>
        <w:t>הגורם השני</w:t>
      </w:r>
      <w:r w:rsidRPr="002169FF">
        <w:rPr>
          <w:rFonts w:ascii="Arial" w:hAnsi="Arial" w:cs="David" w:hint="cs"/>
          <w:sz w:val="24"/>
          <w:szCs w:val="24"/>
          <w:rtl/>
        </w:rPr>
        <w:t xml:space="preserve"> </w:t>
      </w:r>
      <w:r w:rsidRPr="002169FF">
        <w:rPr>
          <w:rFonts w:ascii="Arial" w:hAnsi="Arial" w:cs="David"/>
          <w:sz w:val="24"/>
          <w:szCs w:val="24"/>
          <w:rtl/>
        </w:rPr>
        <w:t>–</w:t>
      </w:r>
      <w:r w:rsidRPr="002169FF">
        <w:rPr>
          <w:rFonts w:ascii="Arial" w:hAnsi="Arial" w:cs="David" w:hint="cs"/>
          <w:sz w:val="24"/>
          <w:szCs w:val="24"/>
          <w:rtl/>
        </w:rPr>
        <w:t xml:space="preserve"> תחושת ניכור מתמשכת כלפי החברה הישראלית הכללית הנובעת מקושי להשתלב בה. תחושות אלה מתעצמות עקב רמת תעסוקה נמוכה, רמת חיים נמוכה ביישובים הערביים כתוצאה מתשתיות לקויות, דימוי נמוך של החברה הערבית ועוד. תחושת הניכור מתבטאת לעיתים בצמיחה של תיאוריות קונספירציה המייחסות למדינה מעשים מכוונים להגברת האלימות בחברה הערבית ואי טיפול בפשיעה הגואה כדי לשמר את רמת חייהם הנמוכה של הערבים.</w:t>
      </w:r>
    </w:p>
    <w:p w:rsidR="000072F9" w:rsidRPr="002169FF" w:rsidRDefault="003418D0" w:rsidP="004D409D">
      <w:pPr>
        <w:bidi/>
        <w:spacing w:line="360" w:lineRule="auto"/>
        <w:ind w:left="-46"/>
        <w:jc w:val="both"/>
        <w:rPr>
          <w:rFonts w:ascii="Arial" w:hAnsi="Arial" w:cs="David"/>
          <w:sz w:val="24"/>
          <w:szCs w:val="24"/>
          <w:rtl/>
        </w:rPr>
      </w:pPr>
      <w:r w:rsidRPr="002169FF">
        <w:rPr>
          <w:rFonts w:ascii="Arial" w:hAnsi="Arial" w:cs="David" w:hint="cs"/>
          <w:b/>
          <w:bCs/>
          <w:sz w:val="24"/>
          <w:szCs w:val="24"/>
          <w:rtl/>
        </w:rPr>
        <w:t>הגורם השלישי</w:t>
      </w:r>
      <w:r w:rsidRPr="002169FF">
        <w:rPr>
          <w:rFonts w:ascii="Arial" w:hAnsi="Arial" w:cs="David" w:hint="cs"/>
          <w:sz w:val="24"/>
          <w:szCs w:val="24"/>
          <w:rtl/>
        </w:rPr>
        <w:t xml:space="preserve"> </w:t>
      </w:r>
      <w:r w:rsidRPr="002169FF">
        <w:rPr>
          <w:rFonts w:ascii="Arial" w:hAnsi="Arial" w:cs="David"/>
          <w:sz w:val="24"/>
          <w:szCs w:val="24"/>
          <w:rtl/>
        </w:rPr>
        <w:t>–</w:t>
      </w:r>
      <w:r w:rsidRPr="002169FF">
        <w:rPr>
          <w:rFonts w:ascii="Arial" w:hAnsi="Arial" w:cs="David" w:hint="cs"/>
          <w:sz w:val="24"/>
          <w:szCs w:val="24"/>
          <w:rtl/>
        </w:rPr>
        <w:t xml:space="preserve"> תהליכי גיבוש זהות שעוברים על החברה הערבית בישראל. בשנת 2006, פרסם הועד הארצי של ראשי הרשויות הערביות בישראל את החזון העתידי לערבים הפלסטינים בישראל. המסמך נפתח במילים: </w:t>
      </w:r>
      <w:r w:rsidRPr="002169FF">
        <w:rPr>
          <w:rFonts w:ascii="Arial" w:hAnsi="Arial" w:cs="David" w:hint="cs"/>
          <w:b/>
          <w:bCs/>
          <w:sz w:val="24"/>
          <w:szCs w:val="24"/>
          <w:rtl/>
        </w:rPr>
        <w:t>"</w:t>
      </w:r>
      <w:r w:rsidR="009B0CEE" w:rsidRPr="002169FF">
        <w:rPr>
          <w:rFonts w:ascii="Arial" w:hAnsi="Arial" w:cs="David" w:hint="cs"/>
          <w:b/>
          <w:bCs/>
          <w:i/>
          <w:iCs/>
          <w:sz w:val="24"/>
          <w:szCs w:val="24"/>
          <w:rtl/>
        </w:rPr>
        <w:t>מטרתנו הערבים הפלסטינים בישראל, הנה יצירת הגדרת זהות עצמית הכוללת את כל תחומי הקיום</w:t>
      </w:r>
      <w:r w:rsidR="009B0CEE" w:rsidRPr="002169FF">
        <w:rPr>
          <w:rFonts w:ascii="Arial" w:hAnsi="Arial" w:cs="David" w:hint="cs"/>
          <w:b/>
          <w:bCs/>
          <w:sz w:val="24"/>
          <w:szCs w:val="24"/>
          <w:rtl/>
        </w:rPr>
        <w:t>".</w:t>
      </w:r>
      <w:r w:rsidR="009B0CEE" w:rsidRPr="002169FF">
        <w:rPr>
          <w:rFonts w:ascii="Arial" w:hAnsi="Arial" w:cs="David" w:hint="cs"/>
          <w:sz w:val="24"/>
          <w:szCs w:val="24"/>
          <w:rtl/>
        </w:rPr>
        <w:t xml:space="preserve"> מחד, תהליכים אלו מובלים על ידי אליטה חילונית המבקשת להפוך את ישראל ממדינה יהודית למדינת כל אזרחיה ומאידך,  מובילה האליטה הדתית לכיוון של חברה </w:t>
      </w:r>
      <w:r w:rsidR="00D27EDC" w:rsidRPr="002169FF">
        <w:rPr>
          <w:rFonts w:ascii="Arial" w:hAnsi="Arial" w:cs="David" w:hint="cs"/>
          <w:sz w:val="24"/>
          <w:szCs w:val="24"/>
          <w:rtl/>
        </w:rPr>
        <w:t>אסלאמית</w:t>
      </w:r>
      <w:r w:rsidR="009B0CEE" w:rsidRPr="002169FF">
        <w:rPr>
          <w:rFonts w:ascii="Arial" w:hAnsi="Arial" w:cs="David" w:hint="cs"/>
          <w:sz w:val="24"/>
          <w:szCs w:val="24"/>
          <w:rtl/>
        </w:rPr>
        <w:t xml:space="preserve"> כמטרה ארוכת טווח. תהליכים אלה יכולים להסביר לפחות חלק מהקונפליקטים שבין האזרחי הערבי למדינה ואת חוסר האמון במוסדותיה.</w:t>
      </w:r>
    </w:p>
    <w:p w:rsidR="00C92C06" w:rsidRPr="002169FF" w:rsidRDefault="00C92C06" w:rsidP="00C92C06">
      <w:pPr>
        <w:bidi/>
        <w:spacing w:line="360" w:lineRule="auto"/>
        <w:ind w:left="-46"/>
        <w:jc w:val="both"/>
        <w:rPr>
          <w:rFonts w:ascii="Arial" w:hAnsi="Arial" w:cs="David"/>
          <w:sz w:val="24"/>
          <w:szCs w:val="24"/>
          <w:rtl/>
        </w:rPr>
      </w:pPr>
      <w:r w:rsidRPr="002169FF">
        <w:rPr>
          <w:rFonts w:ascii="Arial" w:hAnsi="Arial" w:cs="David" w:hint="cs"/>
          <w:sz w:val="24"/>
          <w:szCs w:val="24"/>
          <w:rtl/>
        </w:rPr>
        <w:t>בדו"ח שנערך על ידי חוקרי המכון הישראלי לדמוקרטיה ובחן את מימדי הפשיעה בישראל בין השנים 1990 ל 2010, בדגש למגמות הפשיעה בחברה הערבית</w:t>
      </w:r>
      <w:sdt>
        <w:sdtPr>
          <w:rPr>
            <w:rFonts w:ascii="Arial" w:hAnsi="Arial" w:cs="David" w:hint="cs"/>
            <w:sz w:val="24"/>
            <w:szCs w:val="24"/>
            <w:rtl/>
          </w:rPr>
          <w:id w:val="57880235"/>
          <w:citation/>
        </w:sdtPr>
        <w:sdtContent>
          <w:r w:rsidR="002B306D" w:rsidRPr="002169FF">
            <w:rPr>
              <w:rFonts w:ascii="Arial" w:hAnsi="Arial" w:cs="David"/>
              <w:sz w:val="24"/>
              <w:szCs w:val="24"/>
              <w:rtl/>
            </w:rPr>
            <w:fldChar w:fldCharType="begin"/>
          </w:r>
          <w:r w:rsidRPr="002169FF">
            <w:rPr>
              <w:rFonts w:ascii="Arial" w:hAnsi="Arial" w:cs="David"/>
              <w:sz w:val="24"/>
              <w:szCs w:val="24"/>
              <w:rtl/>
            </w:rPr>
            <w:instrText xml:space="preserve"> </w:instrText>
          </w:r>
          <w:r w:rsidRPr="002169FF">
            <w:rPr>
              <w:rFonts w:ascii="Arial" w:hAnsi="Arial" w:cs="David" w:hint="cs"/>
              <w:sz w:val="24"/>
              <w:szCs w:val="24"/>
            </w:rPr>
            <w:instrText>CITATION</w:instrText>
          </w:r>
          <w:r w:rsidRPr="002169FF">
            <w:rPr>
              <w:rFonts w:ascii="Arial" w:hAnsi="Arial" w:cs="David" w:hint="cs"/>
              <w:sz w:val="24"/>
              <w:szCs w:val="24"/>
              <w:rtl/>
            </w:rPr>
            <w:instrText xml:space="preserve"> נעם16 \</w:instrText>
          </w:r>
          <w:r w:rsidRPr="002169FF">
            <w:rPr>
              <w:rFonts w:ascii="Arial" w:hAnsi="Arial" w:cs="David" w:hint="cs"/>
              <w:sz w:val="24"/>
              <w:szCs w:val="24"/>
            </w:rPr>
            <w:instrText>l 1037</w:instrText>
          </w:r>
          <w:r w:rsidRPr="002169FF">
            <w:rPr>
              <w:rFonts w:ascii="Arial" w:hAnsi="Arial" w:cs="David"/>
              <w:sz w:val="24"/>
              <w:szCs w:val="24"/>
              <w:rtl/>
            </w:rPr>
            <w:instrText xml:space="preserve"> </w:instrText>
          </w:r>
          <w:r w:rsidR="002B306D" w:rsidRPr="002169FF">
            <w:rPr>
              <w:rFonts w:ascii="Arial" w:hAnsi="Arial" w:cs="David"/>
              <w:sz w:val="24"/>
              <w:szCs w:val="24"/>
              <w:rtl/>
            </w:rPr>
            <w:fldChar w:fldCharType="separate"/>
          </w:r>
          <w:r w:rsidRPr="002169FF">
            <w:rPr>
              <w:rFonts w:ascii="Arial" w:hAnsi="Arial" w:cs="David"/>
              <w:noProof/>
              <w:sz w:val="24"/>
              <w:szCs w:val="24"/>
              <w:rtl/>
            </w:rPr>
            <w:t xml:space="preserve"> </w:t>
          </w:r>
          <w:r w:rsidRPr="002169FF">
            <w:rPr>
              <w:rFonts w:ascii="Arial" w:hAnsi="Arial" w:cs="David" w:hint="cs"/>
              <w:noProof/>
              <w:sz w:val="24"/>
              <w:szCs w:val="24"/>
              <w:rtl/>
            </w:rPr>
            <w:t>(נעם זוסמן, 2016)</w:t>
          </w:r>
          <w:r w:rsidR="002B306D" w:rsidRPr="002169FF">
            <w:rPr>
              <w:rFonts w:ascii="Arial" w:hAnsi="Arial" w:cs="David"/>
              <w:sz w:val="24"/>
              <w:szCs w:val="24"/>
              <w:rtl/>
            </w:rPr>
            <w:fldChar w:fldCharType="end"/>
          </w:r>
        </w:sdtContent>
      </w:sdt>
      <w:r w:rsidRPr="002169FF">
        <w:rPr>
          <w:rFonts w:ascii="Arial" w:hAnsi="Arial" w:cs="David" w:hint="cs"/>
          <w:sz w:val="24"/>
          <w:szCs w:val="24"/>
          <w:rtl/>
        </w:rPr>
        <w:t xml:space="preserve"> הצביעו החוקרים על המגמות החברתיות הבאות:</w:t>
      </w:r>
    </w:p>
    <w:p w:rsidR="00C92C06" w:rsidRPr="002169FF" w:rsidRDefault="00C92C06" w:rsidP="00C92C06">
      <w:pPr>
        <w:bidi/>
        <w:spacing w:line="360" w:lineRule="auto"/>
        <w:ind w:left="-46"/>
        <w:jc w:val="both"/>
        <w:rPr>
          <w:rFonts w:ascii="Arial" w:hAnsi="Arial" w:cs="David"/>
          <w:sz w:val="24"/>
          <w:szCs w:val="24"/>
          <w:rtl/>
        </w:rPr>
      </w:pPr>
      <w:r w:rsidRPr="007F317D">
        <w:rPr>
          <w:rFonts w:ascii="Arial" w:hAnsi="Arial" w:cs="David" w:hint="cs"/>
          <w:b/>
          <w:bCs/>
          <w:sz w:val="24"/>
          <w:szCs w:val="24"/>
          <w:rtl/>
        </w:rPr>
        <w:t>הרקע האתני</w:t>
      </w:r>
      <w:r w:rsidRPr="002169FF">
        <w:rPr>
          <w:rFonts w:ascii="Arial" w:hAnsi="Arial" w:cs="David" w:hint="cs"/>
          <w:sz w:val="24"/>
          <w:szCs w:val="24"/>
          <w:rtl/>
        </w:rPr>
        <w:t xml:space="preserve"> </w:t>
      </w:r>
      <w:r w:rsidRPr="002169FF">
        <w:rPr>
          <w:rFonts w:ascii="Arial" w:hAnsi="Arial" w:cs="David"/>
          <w:sz w:val="24"/>
          <w:szCs w:val="24"/>
          <w:rtl/>
        </w:rPr>
        <w:t>–</w:t>
      </w:r>
      <w:r w:rsidRPr="002169FF">
        <w:rPr>
          <w:rFonts w:ascii="Arial" w:hAnsi="Arial" w:cs="David" w:hint="cs"/>
          <w:sz w:val="24"/>
          <w:szCs w:val="24"/>
          <w:rtl/>
        </w:rPr>
        <w:t xml:space="preserve"> החברה הערבית היא מיעוט דתי ולאומי בישראל וסובלת מתחושת קיפוח וחוסר הזדהות עם המדינה. מחקרים בעולם מלמדים כי באוכלוסיות מיעוטים בעלות מאפיינים דומים, סובלות משיעורים גבוהים של פשיעה ואלימות. </w:t>
      </w:r>
      <w:r w:rsidR="00F55168" w:rsidRPr="002169FF">
        <w:rPr>
          <w:rFonts w:ascii="Arial" w:hAnsi="Arial" w:cs="David" w:hint="cs"/>
          <w:sz w:val="24"/>
          <w:szCs w:val="24"/>
          <w:rtl/>
        </w:rPr>
        <w:t>המיעוט הערבי חש תחושת ניכור למוסדות המדינה וחוסר הזדהות עמה ואינו רואה חשיבות בציות לחוקיה.</w:t>
      </w:r>
    </w:p>
    <w:p w:rsidR="00F55168" w:rsidRPr="002169FF" w:rsidRDefault="00F55168" w:rsidP="00F55168">
      <w:pPr>
        <w:bidi/>
        <w:spacing w:line="360" w:lineRule="auto"/>
        <w:ind w:left="-46"/>
        <w:jc w:val="both"/>
        <w:rPr>
          <w:rFonts w:ascii="Arial" w:hAnsi="Arial" w:cs="David"/>
          <w:sz w:val="24"/>
          <w:szCs w:val="24"/>
          <w:rtl/>
        </w:rPr>
      </w:pPr>
      <w:r w:rsidRPr="007F317D">
        <w:rPr>
          <w:rFonts w:ascii="Arial" w:hAnsi="Arial" w:cs="David" w:hint="cs"/>
          <w:b/>
          <w:bCs/>
          <w:sz w:val="24"/>
          <w:szCs w:val="24"/>
          <w:rtl/>
        </w:rPr>
        <w:t>ההשכלה</w:t>
      </w:r>
      <w:r w:rsidRPr="002169FF">
        <w:rPr>
          <w:rFonts w:ascii="Arial" w:hAnsi="Arial" w:cs="David" w:hint="cs"/>
          <w:sz w:val="24"/>
          <w:szCs w:val="24"/>
          <w:rtl/>
        </w:rPr>
        <w:t xml:space="preserve"> </w:t>
      </w:r>
      <w:r w:rsidRPr="002169FF">
        <w:rPr>
          <w:rFonts w:ascii="Arial" w:hAnsi="Arial" w:cs="David"/>
          <w:sz w:val="24"/>
          <w:szCs w:val="24"/>
          <w:rtl/>
        </w:rPr>
        <w:t>–</w:t>
      </w:r>
      <w:r w:rsidRPr="002169FF">
        <w:rPr>
          <w:rFonts w:ascii="Arial" w:hAnsi="Arial" w:cs="David" w:hint="cs"/>
          <w:sz w:val="24"/>
          <w:szCs w:val="24"/>
          <w:rtl/>
        </w:rPr>
        <w:t xml:space="preserve"> רמת ההשכלה בחברה הערבית נמוכה יותר מרמת ההשכלה בחברה היהודית, שיעורי הנשירה מבתי הספר גבוהים יותר. מחקרים מלמדים כי קיים מתאם בין השכלה נמוכה ושיעורי נשירה מבתי ספר לשיעורי פשיעה גבוהים יותר.</w:t>
      </w:r>
    </w:p>
    <w:p w:rsidR="0010515F" w:rsidRPr="002169FF" w:rsidRDefault="00F55168" w:rsidP="00F55168">
      <w:pPr>
        <w:bidi/>
        <w:spacing w:line="360" w:lineRule="auto"/>
        <w:ind w:left="-46"/>
        <w:jc w:val="both"/>
        <w:rPr>
          <w:rFonts w:ascii="Arial" w:hAnsi="Arial" w:cs="David"/>
          <w:sz w:val="24"/>
          <w:szCs w:val="24"/>
          <w:rtl/>
        </w:rPr>
      </w:pPr>
      <w:r w:rsidRPr="007F317D">
        <w:rPr>
          <w:rFonts w:ascii="Arial" w:hAnsi="Arial" w:cs="David" w:hint="cs"/>
          <w:b/>
          <w:bCs/>
          <w:sz w:val="24"/>
          <w:szCs w:val="24"/>
          <w:rtl/>
        </w:rPr>
        <w:t>דמוגרפיה</w:t>
      </w:r>
      <w:r w:rsidRPr="002169FF">
        <w:rPr>
          <w:rFonts w:ascii="Arial" w:hAnsi="Arial" w:cs="David" w:hint="cs"/>
          <w:sz w:val="24"/>
          <w:szCs w:val="24"/>
          <w:rtl/>
        </w:rPr>
        <w:t xml:space="preserve"> </w:t>
      </w:r>
      <w:r w:rsidRPr="002169FF">
        <w:rPr>
          <w:rFonts w:ascii="Arial" w:hAnsi="Arial" w:cs="David"/>
          <w:sz w:val="24"/>
          <w:szCs w:val="24"/>
          <w:rtl/>
        </w:rPr>
        <w:t>–</w:t>
      </w:r>
      <w:r w:rsidRPr="002169FF">
        <w:rPr>
          <w:rFonts w:ascii="Arial" w:hAnsi="Arial" w:cs="David" w:hint="cs"/>
          <w:sz w:val="24"/>
          <w:szCs w:val="24"/>
          <w:rtl/>
        </w:rPr>
        <w:t xml:space="preserve"> שכבת הגיל שבה שיעור המעורבות בפשיעה הוא הגבוה ביותר היא בשנות ה 20 של האדם. בגילאים צעירים יותר, הפיקוח המשפחתי והחברתי גדול יותר ומהווה גורם מרסן מפני סטייה חברתית ואילו בגילאים מבוגרים יותר, נוטים בני האדם להתיישב בדעתם ובדרך כלל מקימים משפחה ונרתעים יותר ממעורבות בפשיעה. שיעור הצעירים בחברה הערבית גבוה יותר מאשר בחברה היהודית ולכן גם שיעורי הפשיעה צפויים להיות גבוהים יותר.</w:t>
      </w:r>
    </w:p>
    <w:p w:rsidR="00190C0B" w:rsidRPr="002169FF" w:rsidRDefault="0010515F" w:rsidP="0010515F">
      <w:pPr>
        <w:bidi/>
        <w:spacing w:line="360" w:lineRule="auto"/>
        <w:ind w:left="-46"/>
        <w:jc w:val="both"/>
        <w:rPr>
          <w:rFonts w:ascii="Arial" w:hAnsi="Arial" w:cs="David"/>
          <w:sz w:val="24"/>
          <w:szCs w:val="24"/>
          <w:rtl/>
        </w:rPr>
      </w:pPr>
      <w:r w:rsidRPr="007F317D">
        <w:rPr>
          <w:rFonts w:ascii="Arial" w:hAnsi="Arial" w:cs="David" w:hint="cs"/>
          <w:b/>
          <w:bCs/>
          <w:sz w:val="24"/>
          <w:szCs w:val="24"/>
          <w:rtl/>
        </w:rPr>
        <w:t>המבנה החברתי המסורתי</w:t>
      </w:r>
      <w:r w:rsidRPr="002169FF">
        <w:rPr>
          <w:rFonts w:ascii="Arial" w:hAnsi="Arial" w:cs="David" w:hint="cs"/>
          <w:sz w:val="24"/>
          <w:szCs w:val="24"/>
          <w:rtl/>
        </w:rPr>
        <w:t xml:space="preserve"> </w:t>
      </w:r>
      <w:r w:rsidRPr="002169FF">
        <w:rPr>
          <w:rFonts w:ascii="Arial" w:hAnsi="Arial" w:cs="David"/>
          <w:sz w:val="24"/>
          <w:szCs w:val="24"/>
          <w:rtl/>
        </w:rPr>
        <w:t>–</w:t>
      </w:r>
      <w:r w:rsidRPr="002169FF">
        <w:rPr>
          <w:rFonts w:ascii="Arial" w:hAnsi="Arial" w:cs="David" w:hint="cs"/>
          <w:sz w:val="24"/>
          <w:szCs w:val="24"/>
          <w:rtl/>
        </w:rPr>
        <w:t xml:space="preserve"> מקומה של המשפחה כמרכיב מרכזי בחברה הערבית יכול לשמש כגורם ממתן בפיקוח על בני נוער א</w:t>
      </w:r>
      <w:r w:rsidR="00190C0B" w:rsidRPr="002169FF">
        <w:rPr>
          <w:rFonts w:ascii="Arial" w:hAnsi="Arial" w:cs="David" w:hint="cs"/>
          <w:sz w:val="24"/>
          <w:szCs w:val="24"/>
          <w:rtl/>
        </w:rPr>
        <w:t>ך מנגד הוא עלול להגביר את רמת האלימות בתוך המשפחה ולהקטין את רמת הדיווח של הקורבנות. מבנה חברתי זה גורם גם לתחרות בין החמולות על משאבים, לרבות אחיזה בשלטון המקומי. תחרות זו מלווה במקרים רבים בשימוש באלימות. החברה הערבית עוברת תהליכי מודרניזציה המשפיעים על כל מרכיביה ברצון להידמות לחברת השפע המערבית.</w:t>
      </w:r>
    </w:p>
    <w:p w:rsidR="00F51BFF" w:rsidRPr="002169FF" w:rsidRDefault="00190C0B" w:rsidP="006A5472">
      <w:pPr>
        <w:bidi/>
        <w:spacing w:line="360" w:lineRule="auto"/>
        <w:ind w:left="-46"/>
        <w:jc w:val="both"/>
        <w:rPr>
          <w:rFonts w:ascii="Arial" w:hAnsi="Arial" w:cs="David"/>
          <w:sz w:val="24"/>
          <w:szCs w:val="24"/>
          <w:rtl/>
        </w:rPr>
      </w:pPr>
      <w:r w:rsidRPr="007F317D">
        <w:rPr>
          <w:rFonts w:ascii="Arial" w:hAnsi="Arial" w:cs="David" w:hint="cs"/>
          <w:b/>
          <w:bCs/>
          <w:sz w:val="24"/>
          <w:szCs w:val="24"/>
          <w:rtl/>
        </w:rPr>
        <w:t>מידת הדתיות</w:t>
      </w:r>
      <w:r w:rsidRPr="002169FF">
        <w:rPr>
          <w:rFonts w:ascii="Arial" w:hAnsi="Arial" w:cs="David" w:hint="cs"/>
          <w:sz w:val="24"/>
          <w:szCs w:val="24"/>
          <w:rtl/>
        </w:rPr>
        <w:t xml:space="preserve"> </w:t>
      </w:r>
      <w:r w:rsidRPr="002169FF">
        <w:rPr>
          <w:rFonts w:ascii="Arial" w:hAnsi="Arial" w:cs="David"/>
          <w:sz w:val="24"/>
          <w:szCs w:val="24"/>
          <w:rtl/>
        </w:rPr>
        <w:t>–</w:t>
      </w:r>
      <w:r w:rsidRPr="002169FF">
        <w:rPr>
          <w:rFonts w:ascii="Arial" w:hAnsi="Arial" w:cs="David" w:hint="cs"/>
          <w:sz w:val="24"/>
          <w:szCs w:val="24"/>
          <w:rtl/>
        </w:rPr>
        <w:t xml:space="preserve"> החברה הערבית היא חברתה דתית יותר מהחברה היהודית. שיעור הדתיות יכול להשפיע כגורם מרסן על מעורבות בפשיעה כתוצאה מ</w:t>
      </w:r>
      <w:r w:rsidR="006A5472" w:rsidRPr="002169FF">
        <w:rPr>
          <w:rFonts w:ascii="Arial" w:hAnsi="Arial" w:cs="David" w:hint="cs"/>
          <w:sz w:val="24"/>
          <w:szCs w:val="24"/>
          <w:rtl/>
        </w:rPr>
        <w:t xml:space="preserve">הובלה של מנהיגות דתית הקוראת להימנע מאלימות או ממנהגים דתיים כמו הימנעות מצריכת אלכוהול הידוע כגורם שמגביר אלימות. מאידך גיסא, הדתיות </w:t>
      </w:r>
      <w:r w:rsidR="006A5472" w:rsidRPr="002169FF">
        <w:rPr>
          <w:rFonts w:ascii="Arial" w:hAnsi="Arial" w:cs="David" w:hint="cs"/>
          <w:sz w:val="24"/>
          <w:szCs w:val="24"/>
          <w:rtl/>
        </w:rPr>
        <w:lastRenderedPageBreak/>
        <w:t>יכולה לגרום לנטייה לעבור עבירות כתוצאה מכך שחוקי המדינה נתפסים כמשניים לחוקי הדת ולתפיסת העולם הדתית-מסורתית.</w:t>
      </w:r>
    </w:p>
    <w:p w:rsidR="00F75069" w:rsidRPr="002169FF" w:rsidRDefault="00F51BFF" w:rsidP="00F75069">
      <w:pPr>
        <w:bidi/>
        <w:spacing w:line="360" w:lineRule="auto"/>
        <w:ind w:left="-46"/>
        <w:jc w:val="both"/>
        <w:rPr>
          <w:rFonts w:ascii="Arial" w:hAnsi="Arial" w:cs="David"/>
          <w:sz w:val="24"/>
          <w:szCs w:val="24"/>
          <w:rtl/>
        </w:rPr>
      </w:pPr>
      <w:r w:rsidRPr="007F317D">
        <w:rPr>
          <w:rFonts w:ascii="Arial" w:hAnsi="Arial" w:cs="David" w:hint="cs"/>
          <w:b/>
          <w:bCs/>
          <w:sz w:val="24"/>
          <w:szCs w:val="24"/>
          <w:rtl/>
        </w:rPr>
        <w:t>תהליכי העיור</w:t>
      </w:r>
      <w:r w:rsidRPr="002169FF">
        <w:rPr>
          <w:rFonts w:ascii="Arial" w:hAnsi="Arial" w:cs="David" w:hint="cs"/>
          <w:sz w:val="24"/>
          <w:szCs w:val="24"/>
          <w:rtl/>
        </w:rPr>
        <w:t xml:space="preserve"> </w:t>
      </w:r>
      <w:r w:rsidR="007C5CA0" w:rsidRPr="002169FF">
        <w:rPr>
          <w:rFonts w:ascii="Arial" w:hAnsi="Arial" w:cs="David"/>
          <w:sz w:val="24"/>
          <w:szCs w:val="24"/>
          <w:rtl/>
        </w:rPr>
        <w:t>–</w:t>
      </w:r>
      <w:r w:rsidRPr="002169FF">
        <w:rPr>
          <w:rFonts w:ascii="Arial" w:hAnsi="Arial" w:cs="David" w:hint="cs"/>
          <w:sz w:val="24"/>
          <w:szCs w:val="24"/>
          <w:rtl/>
        </w:rPr>
        <w:t xml:space="preserve"> </w:t>
      </w:r>
      <w:r w:rsidR="007C5CA0" w:rsidRPr="002169FF">
        <w:rPr>
          <w:rFonts w:ascii="Arial" w:hAnsi="Arial" w:cs="David" w:hint="cs"/>
          <w:sz w:val="24"/>
          <w:szCs w:val="24"/>
          <w:rtl/>
        </w:rPr>
        <w:t>שיעורי הפשיעה בחברות עירוניות גבוהים בדרך כלל משיעורי הפשיעה  מחברות כפריות. החברה הערבית היא ברובה פחות עירונית מן החברה היהודית אולם עוברת תהליכי שינוי מואצים הכוללים התפתחות עירונית שאינה מאופיינת בתכנון סדור. כתוצאה מכך הפיתוח העירוני אינו כולל פיתוח סביבתי הדוחה פשיעה.</w:t>
      </w:r>
      <w:r w:rsidR="00D27EDC" w:rsidRPr="002169FF">
        <w:rPr>
          <w:rFonts w:ascii="Arial" w:hAnsi="Arial" w:cs="David" w:hint="cs"/>
          <w:sz w:val="24"/>
          <w:szCs w:val="24"/>
          <w:rtl/>
        </w:rPr>
        <w:t xml:space="preserve"> בישובים הערביים, העודה שאין הקצאה מסודרת של קרקעות לבנייה, מאלצת את המשפחות לבנות תוספות לבתים קיימים וכתוצאה מכך להתגורר בצפיפות רבה שהיא לא פעם, המקור לסכסוכים רבים (</w:t>
      </w:r>
      <w:sdt>
        <w:sdtPr>
          <w:rPr>
            <w:rFonts w:ascii="Arial" w:hAnsi="Arial" w:cs="David" w:hint="cs"/>
            <w:sz w:val="24"/>
            <w:szCs w:val="24"/>
            <w:rtl/>
          </w:rPr>
          <w:id w:val="1015034628"/>
          <w:citation/>
        </w:sdtPr>
        <w:sdtContent>
          <w:r w:rsidR="002B306D" w:rsidRPr="002169FF">
            <w:rPr>
              <w:rFonts w:ascii="Arial" w:hAnsi="Arial" w:cs="David"/>
              <w:sz w:val="24"/>
              <w:szCs w:val="24"/>
              <w:rtl/>
            </w:rPr>
            <w:fldChar w:fldCharType="begin"/>
          </w:r>
          <w:r w:rsidR="00D27EDC" w:rsidRPr="002169FF">
            <w:rPr>
              <w:rFonts w:ascii="Arial" w:hAnsi="Arial" w:cs="David"/>
              <w:sz w:val="24"/>
              <w:szCs w:val="24"/>
              <w:rtl/>
            </w:rPr>
            <w:instrText xml:space="preserve"> </w:instrText>
          </w:r>
          <w:r w:rsidR="00D27EDC" w:rsidRPr="002169FF">
            <w:rPr>
              <w:rFonts w:ascii="Arial" w:hAnsi="Arial" w:cs="David" w:hint="cs"/>
              <w:sz w:val="24"/>
              <w:szCs w:val="24"/>
            </w:rPr>
            <w:instrText>CITATION</w:instrText>
          </w:r>
          <w:r w:rsidR="00D27EDC" w:rsidRPr="002169FF">
            <w:rPr>
              <w:rFonts w:ascii="Arial" w:hAnsi="Arial" w:cs="David" w:hint="cs"/>
              <w:sz w:val="24"/>
              <w:szCs w:val="24"/>
              <w:rtl/>
            </w:rPr>
            <w:instrText xml:space="preserve"> נצם19 \</w:instrText>
          </w:r>
          <w:r w:rsidR="00D27EDC" w:rsidRPr="002169FF">
            <w:rPr>
              <w:rFonts w:ascii="Arial" w:hAnsi="Arial" w:cs="David" w:hint="cs"/>
              <w:sz w:val="24"/>
              <w:szCs w:val="24"/>
            </w:rPr>
            <w:instrText>l 1037</w:instrText>
          </w:r>
          <w:r w:rsidR="00D27EDC" w:rsidRPr="002169FF">
            <w:rPr>
              <w:rFonts w:ascii="Arial" w:hAnsi="Arial" w:cs="David"/>
              <w:sz w:val="24"/>
              <w:szCs w:val="24"/>
              <w:rtl/>
            </w:rPr>
            <w:instrText xml:space="preserve"> </w:instrText>
          </w:r>
          <w:r w:rsidR="002B306D" w:rsidRPr="002169FF">
            <w:rPr>
              <w:rFonts w:ascii="Arial" w:hAnsi="Arial" w:cs="David"/>
              <w:sz w:val="24"/>
              <w:szCs w:val="24"/>
              <w:rtl/>
            </w:rPr>
            <w:fldChar w:fldCharType="separate"/>
          </w:r>
          <w:r w:rsidR="00D27EDC" w:rsidRPr="002169FF">
            <w:rPr>
              <w:rFonts w:ascii="Arial" w:hAnsi="Arial" w:cs="David"/>
              <w:noProof/>
              <w:sz w:val="24"/>
              <w:szCs w:val="24"/>
              <w:rtl/>
            </w:rPr>
            <w:t xml:space="preserve"> </w:t>
          </w:r>
          <w:r w:rsidR="00D27EDC" w:rsidRPr="002169FF">
            <w:rPr>
              <w:rFonts w:ascii="Arial" w:hAnsi="Arial" w:cs="David" w:hint="cs"/>
              <w:noProof/>
              <w:sz w:val="24"/>
              <w:szCs w:val="24"/>
              <w:rtl/>
            </w:rPr>
            <w:t>(עזרא, 2019)</w:t>
          </w:r>
          <w:r w:rsidR="002B306D" w:rsidRPr="002169FF">
            <w:rPr>
              <w:rFonts w:ascii="Arial" w:hAnsi="Arial" w:cs="David"/>
              <w:sz w:val="24"/>
              <w:szCs w:val="24"/>
              <w:rtl/>
            </w:rPr>
            <w:fldChar w:fldCharType="end"/>
          </w:r>
        </w:sdtContent>
      </w:sdt>
      <w:r w:rsidR="00D27EDC" w:rsidRPr="002169FF">
        <w:rPr>
          <w:rFonts w:ascii="Arial" w:hAnsi="Arial" w:cs="David" w:hint="cs"/>
          <w:sz w:val="24"/>
          <w:szCs w:val="24"/>
          <w:rtl/>
        </w:rPr>
        <w:t>.</w:t>
      </w:r>
    </w:p>
    <w:p w:rsidR="00F75069" w:rsidRPr="00714CE6" w:rsidRDefault="007F317D" w:rsidP="00714CE6">
      <w:pPr>
        <w:jc w:val="right"/>
        <w:rPr>
          <w:rFonts w:ascii="David" w:hAnsi="David" w:cs="David"/>
          <w:b/>
          <w:bCs/>
          <w:sz w:val="24"/>
          <w:szCs w:val="24"/>
          <w:rtl/>
        </w:rPr>
      </w:pPr>
      <w:r w:rsidRPr="00714CE6">
        <w:rPr>
          <w:rFonts w:ascii="David" w:hAnsi="David" w:cs="David"/>
          <w:b/>
          <w:bCs/>
          <w:sz w:val="24"/>
          <w:szCs w:val="24"/>
          <w:rtl/>
        </w:rPr>
        <w:t>אכיפה שאינה אפקטיבית דיה</w:t>
      </w:r>
    </w:p>
    <w:p w:rsidR="0014295E" w:rsidRPr="002169FF" w:rsidRDefault="00F75069" w:rsidP="00714CE6">
      <w:pPr>
        <w:bidi/>
        <w:spacing w:line="360" w:lineRule="auto"/>
        <w:jc w:val="both"/>
        <w:rPr>
          <w:rFonts w:ascii="Arial" w:hAnsi="Arial" w:cs="David"/>
          <w:sz w:val="24"/>
          <w:szCs w:val="24"/>
          <w:rtl/>
        </w:rPr>
      </w:pPr>
      <w:r w:rsidRPr="002169FF">
        <w:rPr>
          <w:rFonts w:ascii="Arial" w:hAnsi="Arial" w:cs="David" w:hint="cs"/>
          <w:sz w:val="24"/>
          <w:szCs w:val="24"/>
          <w:rtl/>
        </w:rPr>
        <w:t xml:space="preserve">מערכות היחסים בין המשטרה למיעוטים הן מטבען מורכבות ורוויות מתחים, אולם במקרים של חברה המאופיינת בקיטוב עמוק על בסיס אתני, קיים קונפליקט חריף במיוחד.  השיטור בחברה שסועה מאופיין במודל תיאורטי המוכר בחברות רבות בעולם ועיקרו שימור יכולת השליטה של הרוב על המיעוט לצד שמירה על הסדר החברתי בכלים </w:t>
      </w:r>
      <w:r w:rsidR="0014295E" w:rsidRPr="002169FF">
        <w:rPr>
          <w:rFonts w:ascii="Arial" w:hAnsi="Arial" w:cs="David" w:hint="cs"/>
          <w:sz w:val="24"/>
          <w:szCs w:val="24"/>
          <w:rtl/>
        </w:rPr>
        <w:t xml:space="preserve">ממוסדים  של אי-שוויון בין המיעוט הנשלט לרוב הדומיננטי. </w:t>
      </w:r>
    </w:p>
    <w:p w:rsidR="00073BCC" w:rsidRPr="002169FF" w:rsidRDefault="0014295E" w:rsidP="00073BCC">
      <w:pPr>
        <w:bidi/>
        <w:spacing w:line="360" w:lineRule="auto"/>
        <w:ind w:left="-46"/>
        <w:jc w:val="both"/>
        <w:rPr>
          <w:rFonts w:ascii="Arial" w:hAnsi="Arial" w:cs="David"/>
          <w:sz w:val="24"/>
          <w:szCs w:val="24"/>
          <w:rtl/>
        </w:rPr>
      </w:pPr>
      <w:r w:rsidRPr="002169FF">
        <w:rPr>
          <w:rFonts w:ascii="Arial" w:hAnsi="Arial" w:cs="David" w:hint="cs"/>
          <w:sz w:val="24"/>
          <w:szCs w:val="24"/>
          <w:rtl/>
        </w:rPr>
        <w:t>במאמרם "</w:t>
      </w:r>
      <w:r w:rsidRPr="002169FF">
        <w:rPr>
          <w:rFonts w:ascii="Arial" w:hAnsi="Arial" w:cs="David"/>
          <w:sz w:val="24"/>
          <w:szCs w:val="24"/>
        </w:rPr>
        <w:t xml:space="preserve"> Police relations with Arab and Jews in Israel</w:t>
      </w:r>
      <w:r w:rsidRPr="002169FF">
        <w:rPr>
          <w:rFonts w:ascii="Arial" w:hAnsi="Arial" w:cs="David" w:hint="cs"/>
          <w:sz w:val="24"/>
          <w:szCs w:val="24"/>
          <w:rtl/>
        </w:rPr>
        <w:t xml:space="preserve">" </w:t>
      </w:r>
      <w:r w:rsidR="00073BCC" w:rsidRPr="002169FF">
        <w:rPr>
          <w:rFonts w:ascii="Arial" w:hAnsi="Arial" w:cs="David" w:hint="cs"/>
          <w:sz w:val="24"/>
          <w:szCs w:val="24"/>
          <w:rtl/>
        </w:rPr>
        <w:t xml:space="preserve">מאפיינים </w:t>
      </w:r>
      <w:r w:rsidRPr="002169FF">
        <w:rPr>
          <w:rFonts w:ascii="Arial" w:hAnsi="Arial" w:cs="David" w:hint="cs"/>
          <w:sz w:val="24"/>
          <w:szCs w:val="24"/>
          <w:rtl/>
        </w:rPr>
        <w:t xml:space="preserve"> חסייסי ו-ווצר את</w:t>
      </w:r>
      <w:r w:rsidR="00073BCC" w:rsidRPr="002169FF">
        <w:rPr>
          <w:rFonts w:ascii="Arial" w:hAnsi="Arial" w:cs="David" w:hint="cs"/>
          <w:sz w:val="24"/>
          <w:szCs w:val="24"/>
          <w:rtl/>
        </w:rPr>
        <w:t xml:space="preserve"> מודל השיטור בחברה שסועה בשבעה מאפיינים</w:t>
      </w:r>
      <w:sdt>
        <w:sdtPr>
          <w:rPr>
            <w:rFonts w:ascii="Arial" w:hAnsi="Arial" w:cs="David" w:hint="cs"/>
            <w:sz w:val="24"/>
            <w:szCs w:val="24"/>
            <w:rtl/>
          </w:rPr>
          <w:id w:val="169705752"/>
          <w:citation/>
        </w:sdtPr>
        <w:sdtContent>
          <w:r w:rsidR="002B306D" w:rsidRPr="002169FF">
            <w:rPr>
              <w:rFonts w:ascii="Arial" w:hAnsi="Arial" w:cs="David"/>
              <w:sz w:val="24"/>
              <w:szCs w:val="24"/>
              <w:rtl/>
            </w:rPr>
            <w:fldChar w:fldCharType="begin"/>
          </w:r>
          <w:r w:rsidR="00073BCC" w:rsidRPr="002169FF">
            <w:rPr>
              <w:rFonts w:ascii="Arial" w:hAnsi="Arial" w:cs="David"/>
              <w:sz w:val="24"/>
              <w:szCs w:val="24"/>
              <w:rtl/>
            </w:rPr>
            <w:instrText xml:space="preserve"> </w:instrText>
          </w:r>
          <w:r w:rsidR="00073BCC" w:rsidRPr="002169FF">
            <w:rPr>
              <w:rFonts w:ascii="Arial" w:hAnsi="Arial" w:cs="David" w:hint="cs"/>
              <w:sz w:val="24"/>
              <w:szCs w:val="24"/>
            </w:rPr>
            <w:instrText>CITATION Bad07 \l 1037</w:instrText>
          </w:r>
          <w:r w:rsidR="00073BCC" w:rsidRPr="002169FF">
            <w:rPr>
              <w:rFonts w:ascii="Arial" w:hAnsi="Arial" w:cs="David" w:hint="cs"/>
              <w:sz w:val="24"/>
              <w:szCs w:val="24"/>
              <w:rtl/>
            </w:rPr>
            <w:instrText xml:space="preserve"> </w:instrText>
          </w:r>
          <w:r w:rsidR="00073BCC" w:rsidRPr="002169FF">
            <w:rPr>
              <w:rFonts w:ascii="Arial" w:hAnsi="Arial" w:cs="David"/>
              <w:sz w:val="24"/>
              <w:szCs w:val="24"/>
              <w:rtl/>
            </w:rPr>
            <w:instrText xml:space="preserve"> </w:instrText>
          </w:r>
          <w:r w:rsidR="002B306D" w:rsidRPr="002169FF">
            <w:rPr>
              <w:rFonts w:ascii="Arial" w:hAnsi="Arial" w:cs="David"/>
              <w:sz w:val="24"/>
              <w:szCs w:val="24"/>
              <w:rtl/>
            </w:rPr>
            <w:fldChar w:fldCharType="separate"/>
          </w:r>
          <w:r w:rsidR="00073BCC" w:rsidRPr="002169FF">
            <w:rPr>
              <w:rFonts w:ascii="Arial" w:hAnsi="Arial" w:cs="David"/>
              <w:noProof/>
              <w:sz w:val="24"/>
              <w:szCs w:val="24"/>
              <w:rtl/>
            </w:rPr>
            <w:t xml:space="preserve"> </w:t>
          </w:r>
          <w:r w:rsidR="00073BCC" w:rsidRPr="002169FF">
            <w:rPr>
              <w:rFonts w:ascii="Arial" w:hAnsi="Arial" w:cs="David" w:hint="cs"/>
              <w:noProof/>
              <w:sz w:val="24"/>
              <w:szCs w:val="24"/>
              <w:rtl/>
            </w:rPr>
            <w:t>(</w:t>
          </w:r>
          <w:r w:rsidR="00073BCC" w:rsidRPr="002169FF">
            <w:rPr>
              <w:rFonts w:ascii="Arial" w:hAnsi="Arial" w:cs="David" w:hint="cs"/>
              <w:noProof/>
              <w:sz w:val="24"/>
              <w:szCs w:val="24"/>
            </w:rPr>
            <w:t>Wettzer, 2007</w:t>
          </w:r>
          <w:r w:rsidR="00073BCC" w:rsidRPr="002169FF">
            <w:rPr>
              <w:rFonts w:ascii="Arial" w:hAnsi="Arial" w:cs="David" w:hint="cs"/>
              <w:noProof/>
              <w:sz w:val="24"/>
              <w:szCs w:val="24"/>
              <w:rtl/>
            </w:rPr>
            <w:t>)</w:t>
          </w:r>
          <w:r w:rsidR="002B306D" w:rsidRPr="002169FF">
            <w:rPr>
              <w:rFonts w:ascii="Arial" w:hAnsi="Arial" w:cs="David"/>
              <w:sz w:val="24"/>
              <w:szCs w:val="24"/>
              <w:rtl/>
            </w:rPr>
            <w:fldChar w:fldCharType="end"/>
          </w:r>
        </w:sdtContent>
      </w:sdt>
      <w:r w:rsidR="00073BCC" w:rsidRPr="002169FF">
        <w:rPr>
          <w:rFonts w:ascii="Arial" w:hAnsi="Arial" w:cs="David" w:hint="cs"/>
          <w:sz w:val="24"/>
          <w:szCs w:val="24"/>
          <w:rtl/>
        </w:rPr>
        <w:t>:</w:t>
      </w:r>
    </w:p>
    <w:p w:rsidR="00073BCC" w:rsidRPr="002169FF" w:rsidRDefault="00073BCC" w:rsidP="00073BCC">
      <w:pPr>
        <w:pStyle w:val="a3"/>
        <w:numPr>
          <w:ilvl w:val="0"/>
          <w:numId w:val="24"/>
        </w:numPr>
        <w:bidi/>
        <w:spacing w:line="360" w:lineRule="auto"/>
        <w:jc w:val="both"/>
        <w:rPr>
          <w:rFonts w:ascii="Arial" w:hAnsi="Arial" w:cs="David"/>
          <w:sz w:val="24"/>
          <w:szCs w:val="24"/>
        </w:rPr>
      </w:pPr>
      <w:r w:rsidRPr="002169FF">
        <w:rPr>
          <w:rFonts w:ascii="Arial" w:hAnsi="Arial" w:cs="David" w:hint="cs"/>
          <w:sz w:val="24"/>
          <w:szCs w:val="24"/>
          <w:rtl/>
        </w:rPr>
        <w:t>מדיניות המשטרה והתנהלותה השגרתית מוטים באופן ממוסד כנגד המיעוט הנשלט.</w:t>
      </w:r>
    </w:p>
    <w:p w:rsidR="00073BCC" w:rsidRPr="002169FF" w:rsidRDefault="00073BCC" w:rsidP="00073BCC">
      <w:pPr>
        <w:pStyle w:val="a3"/>
        <w:numPr>
          <w:ilvl w:val="0"/>
          <w:numId w:val="24"/>
        </w:numPr>
        <w:bidi/>
        <w:spacing w:line="360" w:lineRule="auto"/>
        <w:jc w:val="both"/>
        <w:rPr>
          <w:rFonts w:ascii="Arial" w:hAnsi="Arial" w:cs="David"/>
          <w:sz w:val="24"/>
          <w:szCs w:val="24"/>
        </w:rPr>
      </w:pPr>
      <w:r w:rsidRPr="002169FF">
        <w:rPr>
          <w:rFonts w:ascii="Arial" w:hAnsi="Arial" w:cs="David" w:hint="cs"/>
          <w:sz w:val="24"/>
          <w:szCs w:val="24"/>
          <w:rtl/>
        </w:rPr>
        <w:t>במשטרה יש ייצוג יתר של קבוצת הרוב האתנית הדומיננטית ובמיוחד בדרגות הבכירות בארגון.</w:t>
      </w:r>
    </w:p>
    <w:p w:rsidR="00073BCC" w:rsidRPr="002169FF" w:rsidRDefault="00073BCC" w:rsidP="00073BCC">
      <w:pPr>
        <w:pStyle w:val="a3"/>
        <w:numPr>
          <w:ilvl w:val="0"/>
          <w:numId w:val="24"/>
        </w:numPr>
        <w:bidi/>
        <w:spacing w:line="360" w:lineRule="auto"/>
        <w:jc w:val="both"/>
        <w:rPr>
          <w:rFonts w:ascii="Arial" w:hAnsi="Arial" w:cs="David"/>
          <w:sz w:val="24"/>
          <w:szCs w:val="24"/>
        </w:rPr>
      </w:pPr>
      <w:r w:rsidRPr="002169FF">
        <w:rPr>
          <w:rFonts w:ascii="Arial" w:hAnsi="Arial" w:cs="David" w:hint="cs"/>
          <w:sz w:val="24"/>
          <w:szCs w:val="24"/>
          <w:rtl/>
        </w:rPr>
        <w:t>פוליטיזציה של המשטרה המבוטאת בדיכוי של מתנגדי השלטון מקרב קבוצת המיעוט האתני.</w:t>
      </w:r>
    </w:p>
    <w:p w:rsidR="00073BCC" w:rsidRPr="002169FF" w:rsidRDefault="00073BCC" w:rsidP="00073BCC">
      <w:pPr>
        <w:pStyle w:val="a3"/>
        <w:numPr>
          <w:ilvl w:val="0"/>
          <w:numId w:val="24"/>
        </w:numPr>
        <w:bidi/>
        <w:spacing w:line="360" w:lineRule="auto"/>
        <w:jc w:val="both"/>
        <w:rPr>
          <w:rFonts w:ascii="Arial" w:hAnsi="Arial" w:cs="David"/>
          <w:sz w:val="24"/>
          <w:szCs w:val="24"/>
        </w:rPr>
      </w:pPr>
      <w:r w:rsidRPr="002169FF">
        <w:rPr>
          <w:rFonts w:ascii="Arial" w:hAnsi="Arial" w:cs="David" w:hint="cs"/>
          <w:sz w:val="24"/>
          <w:szCs w:val="24"/>
          <w:rtl/>
        </w:rPr>
        <w:t>למשטרה יש אחריות כפולה (דואליות), גם על ביטחון הפנים וגם על הטיפול בפשיעה הרגילה.</w:t>
      </w:r>
    </w:p>
    <w:p w:rsidR="00A52603" w:rsidRPr="002169FF" w:rsidRDefault="00073BCC" w:rsidP="00A52603">
      <w:pPr>
        <w:pStyle w:val="a3"/>
        <w:numPr>
          <w:ilvl w:val="0"/>
          <w:numId w:val="24"/>
        </w:numPr>
        <w:bidi/>
        <w:spacing w:line="360" w:lineRule="auto"/>
        <w:jc w:val="both"/>
        <w:rPr>
          <w:rFonts w:ascii="Arial" w:hAnsi="Arial" w:cs="David"/>
          <w:sz w:val="24"/>
          <w:szCs w:val="24"/>
        </w:rPr>
      </w:pPr>
      <w:r w:rsidRPr="002169FF">
        <w:rPr>
          <w:rFonts w:ascii="Arial" w:hAnsi="Arial" w:cs="David" w:hint="cs"/>
          <w:sz w:val="24"/>
          <w:szCs w:val="24"/>
          <w:rtl/>
        </w:rPr>
        <w:t>על פי חוק</w:t>
      </w:r>
      <w:r w:rsidR="00A52603" w:rsidRPr="002169FF">
        <w:rPr>
          <w:rFonts w:ascii="Arial" w:hAnsi="Arial" w:cs="David" w:hint="cs"/>
          <w:sz w:val="24"/>
          <w:szCs w:val="24"/>
          <w:rtl/>
        </w:rPr>
        <w:t>, יש למשטרה מרחב גדול של סמכויות לשליטה באוכלוסיית המיעוט לרבות שימוש בכוח.</w:t>
      </w:r>
    </w:p>
    <w:p w:rsidR="00A52603" w:rsidRPr="002169FF" w:rsidRDefault="00A52603" w:rsidP="00A52603">
      <w:pPr>
        <w:pStyle w:val="a3"/>
        <w:numPr>
          <w:ilvl w:val="0"/>
          <w:numId w:val="24"/>
        </w:numPr>
        <w:bidi/>
        <w:spacing w:line="360" w:lineRule="auto"/>
        <w:jc w:val="both"/>
        <w:rPr>
          <w:rFonts w:ascii="Arial" w:hAnsi="Arial" w:cs="David"/>
          <w:sz w:val="24"/>
          <w:szCs w:val="24"/>
        </w:rPr>
      </w:pPr>
      <w:r w:rsidRPr="002169FF">
        <w:rPr>
          <w:rFonts w:ascii="Arial" w:hAnsi="Arial" w:cs="David" w:hint="cs"/>
          <w:sz w:val="24"/>
          <w:szCs w:val="24"/>
          <w:rtl/>
        </w:rPr>
        <w:t>העדר מנגנון אפקטיבי לבחינת האחריות של המשטרה (</w:t>
      </w:r>
      <w:r w:rsidRPr="002169FF">
        <w:rPr>
          <w:rFonts w:ascii="Arial" w:hAnsi="Arial" w:cs="David"/>
          <w:sz w:val="24"/>
          <w:szCs w:val="24"/>
        </w:rPr>
        <w:t>Accountability</w:t>
      </w:r>
      <w:r w:rsidRPr="002169FF">
        <w:rPr>
          <w:rFonts w:ascii="Arial" w:hAnsi="Arial" w:cs="David" w:hint="cs"/>
          <w:sz w:val="24"/>
          <w:szCs w:val="24"/>
          <w:rtl/>
        </w:rPr>
        <w:t>) לתוצאות פעילותה בקרב קהילת המיעוט.</w:t>
      </w:r>
    </w:p>
    <w:p w:rsidR="00A52603" w:rsidRPr="002169FF" w:rsidRDefault="00A52603" w:rsidP="00A52603">
      <w:pPr>
        <w:pStyle w:val="a3"/>
        <w:numPr>
          <w:ilvl w:val="0"/>
          <w:numId w:val="24"/>
        </w:numPr>
        <w:bidi/>
        <w:spacing w:line="360" w:lineRule="auto"/>
        <w:jc w:val="both"/>
        <w:rPr>
          <w:rFonts w:ascii="Arial" w:hAnsi="Arial" w:cs="David"/>
          <w:sz w:val="24"/>
          <w:szCs w:val="24"/>
        </w:rPr>
      </w:pPr>
      <w:r w:rsidRPr="002169FF">
        <w:rPr>
          <w:rFonts w:ascii="Arial" w:hAnsi="Arial" w:cs="David" w:hint="cs"/>
          <w:sz w:val="24"/>
          <w:szCs w:val="24"/>
          <w:rtl/>
        </w:rPr>
        <w:t>יש יחס שונה כלפי המשטרה מקרב קבוצת הרוב ומקרב קבוצת המיעוט בשאלות של אמון, לגיטימציה ותמיכה בפעילותה.</w:t>
      </w:r>
    </w:p>
    <w:p w:rsidR="00ED3CF2" w:rsidRPr="002169FF" w:rsidRDefault="00A52603" w:rsidP="004D18A3">
      <w:pPr>
        <w:bidi/>
        <w:spacing w:line="360" w:lineRule="auto"/>
        <w:ind w:left="-46"/>
        <w:jc w:val="both"/>
        <w:rPr>
          <w:rFonts w:ascii="Arial" w:hAnsi="Arial" w:cs="David"/>
          <w:sz w:val="24"/>
          <w:szCs w:val="24"/>
          <w:rtl/>
        </w:rPr>
      </w:pPr>
      <w:r w:rsidRPr="002169FF">
        <w:rPr>
          <w:rFonts w:ascii="Arial" w:hAnsi="Arial" w:cs="David" w:hint="cs"/>
          <w:sz w:val="24"/>
          <w:szCs w:val="24"/>
          <w:rtl/>
        </w:rPr>
        <w:t>המאפיינים הללו קיימים, כאמור, בחברות שסועות רבות אך במינונים שונים ובעוצמות שונות של מרכיביהן, שמייצרים מודל שונה וספציפי בכל חברה כזאת. בחברות שסועות, היחס בין האזרחים למשטרה מעוצב בחלקו הגדול ממידת הנאמנות או הניכור של קבוצת המיעוט כלפי המדינה</w:t>
      </w:r>
      <w:r w:rsidR="00ED3CF2" w:rsidRPr="002169FF">
        <w:rPr>
          <w:rFonts w:ascii="Arial" w:hAnsi="Arial" w:cs="David" w:hint="cs"/>
          <w:sz w:val="24"/>
          <w:szCs w:val="24"/>
          <w:rtl/>
        </w:rPr>
        <w:t xml:space="preserve">. עובדה שבולטת פחות בחברות עם אינטגרציה גבוהה. השאלה אינה רק ביחס לפעולותיה ומעשיה של המשטרה אלא, למה שהמשטרה מייצגת כלפי המיעוט. בחברה משוסעת, המשטרה מהווה אחד מעמודי התווך המבססים את הדומיננטיות והשליטה של המדינה על המיעוט. זהו דפוס מוכר שעל פיו עמדת המיעוט כלפי מוסדות המדינה ככלי שבו המשטר מבטא הדומיננטיות של הרוב על המיעוט. זאת, בעוד שהרוב רואה במיעוט כאיום לביטחון הפנים ולהמשך שליטתו במדינה. </w:t>
      </w:r>
    </w:p>
    <w:p w:rsidR="007F317D" w:rsidRDefault="00ED3CF2" w:rsidP="007F317D">
      <w:pPr>
        <w:bidi/>
        <w:spacing w:line="360" w:lineRule="auto"/>
        <w:ind w:left="-46"/>
        <w:jc w:val="both"/>
        <w:rPr>
          <w:rFonts w:ascii="Arial" w:hAnsi="Arial" w:cs="David" w:hint="cs"/>
          <w:sz w:val="24"/>
          <w:szCs w:val="24"/>
          <w:rtl/>
        </w:rPr>
      </w:pPr>
      <w:r w:rsidRPr="002169FF">
        <w:rPr>
          <w:rFonts w:ascii="Arial" w:hAnsi="Arial" w:cs="David" w:hint="cs"/>
          <w:sz w:val="24"/>
          <w:szCs w:val="24"/>
          <w:rtl/>
        </w:rPr>
        <w:t xml:space="preserve">השונות באופן שבו </w:t>
      </w:r>
      <w:r w:rsidR="00287458" w:rsidRPr="002169FF">
        <w:rPr>
          <w:rFonts w:ascii="Arial" w:hAnsi="Arial" w:cs="David" w:hint="cs"/>
          <w:sz w:val="24"/>
          <w:szCs w:val="24"/>
          <w:rtl/>
        </w:rPr>
        <w:t>ח</w:t>
      </w:r>
      <w:r w:rsidRPr="002169FF">
        <w:rPr>
          <w:rFonts w:ascii="Arial" w:hAnsi="Arial" w:cs="David" w:hint="cs"/>
          <w:sz w:val="24"/>
          <w:szCs w:val="24"/>
          <w:rtl/>
        </w:rPr>
        <w:t>ברה מסוימת תואמת למודל הזה באה לי</w:t>
      </w:r>
      <w:r w:rsidR="006C702C" w:rsidRPr="002169FF">
        <w:rPr>
          <w:rFonts w:ascii="Arial" w:hAnsi="Arial" w:cs="David" w:hint="cs"/>
          <w:sz w:val="24"/>
          <w:szCs w:val="24"/>
          <w:rtl/>
        </w:rPr>
        <w:t>ד</w:t>
      </w:r>
      <w:r w:rsidRPr="002169FF">
        <w:rPr>
          <w:rFonts w:ascii="Arial" w:hAnsi="Arial" w:cs="David" w:hint="cs"/>
          <w:sz w:val="24"/>
          <w:szCs w:val="24"/>
          <w:rtl/>
        </w:rPr>
        <w:t>י ביטוי בשני היבטים:</w:t>
      </w:r>
    </w:p>
    <w:p w:rsidR="00ED3CF2" w:rsidRPr="002169FF" w:rsidRDefault="00ED3CF2" w:rsidP="007F317D">
      <w:pPr>
        <w:bidi/>
        <w:spacing w:line="360" w:lineRule="auto"/>
        <w:ind w:left="-46"/>
        <w:jc w:val="both"/>
        <w:rPr>
          <w:rFonts w:ascii="Arial" w:hAnsi="Arial" w:cs="David"/>
          <w:sz w:val="24"/>
          <w:szCs w:val="24"/>
          <w:rtl/>
        </w:rPr>
      </w:pPr>
      <w:r w:rsidRPr="002169FF">
        <w:rPr>
          <w:rFonts w:ascii="Arial" w:hAnsi="Arial" w:cs="David" w:hint="cs"/>
          <w:sz w:val="24"/>
          <w:szCs w:val="24"/>
          <w:rtl/>
        </w:rPr>
        <w:lastRenderedPageBreak/>
        <w:t xml:space="preserve">האחד </w:t>
      </w:r>
      <w:r w:rsidRPr="002169FF">
        <w:rPr>
          <w:rFonts w:ascii="Arial" w:hAnsi="Arial" w:cs="David"/>
          <w:sz w:val="24"/>
          <w:szCs w:val="24"/>
          <w:rtl/>
        </w:rPr>
        <w:t>–</w:t>
      </w:r>
      <w:r w:rsidRPr="002169FF">
        <w:rPr>
          <w:rFonts w:ascii="Arial" w:hAnsi="Arial" w:cs="David" w:hint="cs"/>
          <w:sz w:val="24"/>
          <w:szCs w:val="24"/>
          <w:rtl/>
        </w:rPr>
        <w:t xml:space="preserve"> עוצמת האיום של המיעוט כלפי הרוב, המשתנה ממוקם למקום. יש מצבים שבהם האיום רדום ומתעורר לסירוגין ויש מקרים שבהם האיום ממשי וכולל התנגשויות תכופות.</w:t>
      </w:r>
    </w:p>
    <w:p w:rsidR="00346B12" w:rsidRPr="002169FF" w:rsidRDefault="00ED3CF2" w:rsidP="00346B12">
      <w:pPr>
        <w:bidi/>
        <w:spacing w:line="360" w:lineRule="auto"/>
        <w:ind w:left="-46"/>
        <w:jc w:val="both"/>
        <w:rPr>
          <w:rFonts w:ascii="Arial" w:hAnsi="Arial" w:cs="David"/>
          <w:sz w:val="24"/>
          <w:szCs w:val="24"/>
          <w:rtl/>
        </w:rPr>
      </w:pPr>
      <w:r w:rsidRPr="002169FF">
        <w:rPr>
          <w:rFonts w:ascii="Arial" w:hAnsi="Arial" w:cs="David" w:hint="cs"/>
          <w:sz w:val="24"/>
          <w:szCs w:val="24"/>
          <w:rtl/>
        </w:rPr>
        <w:t xml:space="preserve">השני </w:t>
      </w:r>
      <w:r w:rsidRPr="002169FF">
        <w:rPr>
          <w:rFonts w:ascii="Arial" w:hAnsi="Arial" w:cs="David"/>
          <w:sz w:val="24"/>
          <w:szCs w:val="24"/>
          <w:rtl/>
        </w:rPr>
        <w:t>–</w:t>
      </w:r>
      <w:r w:rsidRPr="002169FF">
        <w:rPr>
          <w:rFonts w:ascii="Arial" w:hAnsi="Arial" w:cs="David" w:hint="cs"/>
          <w:sz w:val="24"/>
          <w:szCs w:val="24"/>
          <w:rtl/>
        </w:rPr>
        <w:t xml:space="preserve"> בחברות שסועות, מיעוט אתני חי לעיתים באופן נפרד (פיזית) מהרוב, ביישובים או בשכונות שרוב תושביהן הם מקרב קהילת המיעוט. ההפרדה יוצרת ריחוק בין קהילות הרוב והמיעוט וככל שהיא משמעותית יותר, הרוב אינו חש את הפרת החוק בקהילת המיעוט ואינו נפגע ממנה. הפשיעה מתרכזת באזורים שבהם</w:t>
      </w:r>
      <w:r w:rsidR="00304EF2" w:rsidRPr="002169FF">
        <w:rPr>
          <w:rFonts w:ascii="Arial" w:hAnsi="Arial" w:cs="David" w:hint="cs"/>
          <w:sz w:val="24"/>
          <w:szCs w:val="24"/>
          <w:rtl/>
        </w:rPr>
        <w:t xml:space="preserve"> חיים המיעוטים עצמם ולכן יש</w:t>
      </w:r>
      <w:r w:rsidR="000314D6" w:rsidRPr="002169FF">
        <w:rPr>
          <w:rFonts w:ascii="Arial" w:hAnsi="Arial" w:cs="David" w:hint="cs"/>
          <w:sz w:val="24"/>
          <w:szCs w:val="24"/>
          <w:rtl/>
        </w:rPr>
        <w:t xml:space="preserve"> באזורים אלה שיטור חסר ו</w:t>
      </w:r>
      <w:r w:rsidR="00304EF2" w:rsidRPr="002169FF">
        <w:rPr>
          <w:rFonts w:ascii="Arial" w:hAnsi="Arial" w:cs="David" w:hint="cs"/>
          <w:sz w:val="24"/>
          <w:szCs w:val="24"/>
          <w:rtl/>
        </w:rPr>
        <w:t>פחות נחישות מצד המשטרה באכיפת החוק</w:t>
      </w:r>
      <w:r w:rsidR="000314D6" w:rsidRPr="002169FF">
        <w:rPr>
          <w:rFonts w:ascii="Arial" w:hAnsi="Arial" w:cs="David" w:hint="cs"/>
          <w:sz w:val="24"/>
          <w:szCs w:val="24"/>
          <w:rtl/>
        </w:rPr>
        <w:t xml:space="preserve"> המגיעה עד לכדי התעלמות ( </w:t>
      </w:r>
      <w:r w:rsidR="000314D6" w:rsidRPr="002169FF">
        <w:rPr>
          <w:rFonts w:ascii="Arial" w:hAnsi="Arial" w:cs="David"/>
          <w:sz w:val="24"/>
          <w:szCs w:val="24"/>
        </w:rPr>
        <w:t>Benign neglect phenomen</w:t>
      </w:r>
      <w:r w:rsidR="00346B12" w:rsidRPr="002169FF">
        <w:rPr>
          <w:rFonts w:ascii="Arial" w:hAnsi="Arial" w:cs="David"/>
          <w:sz w:val="24"/>
          <w:szCs w:val="24"/>
        </w:rPr>
        <w:t>on</w:t>
      </w:r>
      <w:r w:rsidR="00853398" w:rsidRPr="002169FF">
        <w:rPr>
          <w:rStyle w:val="ae"/>
          <w:rFonts w:ascii="Arial" w:hAnsi="Arial" w:cs="David"/>
          <w:sz w:val="24"/>
          <w:szCs w:val="24"/>
        </w:rPr>
        <w:footnoteReference w:id="3"/>
      </w:r>
      <w:r w:rsidR="000314D6" w:rsidRPr="002169FF">
        <w:rPr>
          <w:rFonts w:ascii="Arial" w:hAnsi="Arial" w:cs="David" w:hint="cs"/>
          <w:sz w:val="24"/>
          <w:szCs w:val="24"/>
          <w:rtl/>
        </w:rPr>
        <w:t xml:space="preserve"> ) </w:t>
      </w:r>
      <w:r w:rsidR="00346B12" w:rsidRPr="002169FF">
        <w:rPr>
          <w:rFonts w:ascii="Arial" w:hAnsi="Arial" w:cs="David" w:hint="cs"/>
          <w:sz w:val="24"/>
          <w:szCs w:val="24"/>
          <w:rtl/>
        </w:rPr>
        <w:t xml:space="preserve">. </w:t>
      </w:r>
    </w:p>
    <w:p w:rsidR="0014295E" w:rsidRPr="002169FF" w:rsidRDefault="00346B12" w:rsidP="004D18A3">
      <w:pPr>
        <w:bidi/>
        <w:spacing w:line="360" w:lineRule="auto"/>
        <w:ind w:left="-46"/>
        <w:jc w:val="both"/>
        <w:rPr>
          <w:rFonts w:ascii="Arial" w:hAnsi="Arial" w:cs="David"/>
          <w:sz w:val="24"/>
          <w:szCs w:val="24"/>
          <w:rtl/>
        </w:rPr>
      </w:pPr>
      <w:r w:rsidRPr="002169FF">
        <w:rPr>
          <w:rFonts w:ascii="Arial" w:hAnsi="Arial" w:cs="David" w:hint="cs"/>
          <w:sz w:val="24"/>
          <w:szCs w:val="24"/>
          <w:rtl/>
        </w:rPr>
        <w:t xml:space="preserve">הדפוס הזה שלפיו קיימת הפרדה פיזית ותת שיטור, משפיע על גישת האזרחים כלפי המשטרה. ככל שהמשטרה פחות מעורבת ופחות מטפלת בפשיעה בתוך קהילת המיעוטים באופן שגרתי, היא נתפסת כלא יעילה ולא מספקת מענה מספק לביטחון האישי של האזרח ולכן האמון כלפיה נמוך. </w:t>
      </w:r>
      <w:r w:rsidR="00214A06" w:rsidRPr="002169FF">
        <w:rPr>
          <w:rFonts w:ascii="Arial" w:hAnsi="Arial" w:cs="David" w:hint="cs"/>
          <w:sz w:val="24"/>
          <w:szCs w:val="24"/>
          <w:rtl/>
        </w:rPr>
        <w:t xml:space="preserve"> </w:t>
      </w:r>
      <w:r w:rsidR="00A204C9" w:rsidRPr="002169FF">
        <w:rPr>
          <w:rFonts w:ascii="Arial" w:hAnsi="Arial" w:cs="David" w:hint="cs"/>
          <w:sz w:val="24"/>
          <w:szCs w:val="24"/>
          <w:rtl/>
        </w:rPr>
        <w:t>מודל השיטור בישראל דומה למודל המתואר לעיל במרכיבים רבים</w:t>
      </w:r>
      <w:r w:rsidR="00D65F6A" w:rsidRPr="002169FF">
        <w:rPr>
          <w:rFonts w:ascii="Arial" w:hAnsi="Arial" w:cs="David" w:hint="cs"/>
          <w:sz w:val="24"/>
          <w:szCs w:val="24"/>
          <w:rtl/>
        </w:rPr>
        <w:t xml:space="preserve">, אזרחי ישראל הערבים, אמנם נהנים מאזרחות וזכויות דמוקרטיות מלאות אולם הם חיים בשולי החברה ובעמדה נחותה ביחס לרוב היהודי, חברתית וכלכלית. </w:t>
      </w:r>
    </w:p>
    <w:p w:rsidR="008A44A4" w:rsidRPr="002169FF" w:rsidRDefault="008A44A4" w:rsidP="00FE1B6A">
      <w:pPr>
        <w:bidi/>
        <w:spacing w:line="360" w:lineRule="auto"/>
        <w:ind w:left="-46"/>
        <w:jc w:val="both"/>
        <w:rPr>
          <w:rFonts w:ascii="Arial" w:hAnsi="Arial" w:cs="David"/>
          <w:sz w:val="24"/>
          <w:szCs w:val="24"/>
          <w:rtl/>
        </w:rPr>
      </w:pPr>
      <w:r w:rsidRPr="002169FF">
        <w:rPr>
          <w:rFonts w:ascii="Arial" w:hAnsi="Arial" w:cs="David" w:hint="cs"/>
          <w:sz w:val="24"/>
          <w:szCs w:val="24"/>
          <w:rtl/>
        </w:rPr>
        <w:t xml:space="preserve">ועדת  החקירה הממלכתית לבירור ההתנגשויות בין </w:t>
      </w:r>
      <w:r w:rsidR="00FE1B6A" w:rsidRPr="002169FF">
        <w:rPr>
          <w:rFonts w:ascii="Arial" w:hAnsi="Arial" w:cs="David" w:hint="cs"/>
          <w:sz w:val="24"/>
          <w:szCs w:val="24"/>
          <w:rtl/>
        </w:rPr>
        <w:t xml:space="preserve">כוחות הביטחון לבין אזרחים ישראלים באוקטובר 2000 (ועדת אור) התייחסה בדו"ח המסכם להבחנה שבין זכויות אזרח מלאות שניתנות לפרט לבין זכויות קיבוציות הניתנות למיעוט הערבי כמיעוט אתני יליד הארץ. הועדה קובעת כי:" </w:t>
      </w:r>
      <w:r w:rsidR="00FE1B6A" w:rsidRPr="002169FF">
        <w:rPr>
          <w:rFonts w:ascii="David" w:hAnsi="David" w:cs="David"/>
          <w:b/>
          <w:bCs/>
          <w:i/>
          <w:iCs/>
          <w:color w:val="000000"/>
          <w:sz w:val="24"/>
          <w:szCs w:val="24"/>
          <w:shd w:val="clear" w:color="auto" w:fill="FFFFFF"/>
          <w:rtl/>
        </w:rPr>
        <w:t>על היעדרן של זכויות קיבוציות למגזר הערבי נאמר, כי "עקרון השוויון, המחייב דין שווה ליהודים ולא יהודים, חל במישור הזכויות האישיות. נראה שאין הוא חל במישור הזכויות הקיבוציות</w:t>
      </w:r>
      <w:r w:rsidR="00FE1B6A" w:rsidRPr="002169FF">
        <w:rPr>
          <w:rFonts w:ascii="David" w:hAnsi="David" w:cs="David" w:hint="cs"/>
          <w:b/>
          <w:bCs/>
          <w:i/>
          <w:iCs/>
          <w:color w:val="000000"/>
          <w:sz w:val="24"/>
          <w:szCs w:val="24"/>
          <w:shd w:val="clear" w:color="auto" w:fill="FFFFFF"/>
          <w:rtl/>
        </w:rPr>
        <w:t>"</w:t>
      </w:r>
      <w:sdt>
        <w:sdtPr>
          <w:rPr>
            <w:rFonts w:ascii="David" w:hAnsi="David" w:cs="David"/>
            <w:color w:val="000000"/>
            <w:sz w:val="24"/>
            <w:szCs w:val="24"/>
            <w:shd w:val="clear" w:color="auto" w:fill="FFFFFF"/>
            <w:rtl/>
          </w:rPr>
          <w:id w:val="169705753"/>
          <w:citation/>
        </w:sdtPr>
        <w:sdtContent>
          <w:r w:rsidR="002B306D" w:rsidRPr="002169FF">
            <w:rPr>
              <w:rFonts w:ascii="David" w:hAnsi="David" w:cs="David"/>
              <w:color w:val="000000"/>
              <w:sz w:val="24"/>
              <w:szCs w:val="24"/>
              <w:shd w:val="clear" w:color="auto" w:fill="FFFFFF"/>
              <w:rtl/>
            </w:rPr>
            <w:fldChar w:fldCharType="begin"/>
          </w:r>
          <w:r w:rsidR="00FE1B6A" w:rsidRPr="002169FF">
            <w:rPr>
              <w:rFonts w:ascii="David" w:hAnsi="David" w:cs="David"/>
              <w:color w:val="000000"/>
              <w:sz w:val="24"/>
              <w:szCs w:val="24"/>
              <w:shd w:val="clear" w:color="auto" w:fill="FFFFFF"/>
              <w:rtl/>
            </w:rPr>
            <w:instrText xml:space="preserve"> </w:instrText>
          </w:r>
          <w:r w:rsidR="00FE1B6A" w:rsidRPr="002169FF">
            <w:rPr>
              <w:rFonts w:ascii="David" w:hAnsi="David" w:cs="David"/>
              <w:color w:val="000000"/>
              <w:sz w:val="24"/>
              <w:szCs w:val="24"/>
              <w:shd w:val="clear" w:color="auto" w:fill="FFFFFF"/>
            </w:rPr>
            <w:instrText>CITATION</w:instrText>
          </w:r>
          <w:r w:rsidR="00FE1B6A" w:rsidRPr="002169FF">
            <w:rPr>
              <w:rFonts w:ascii="David" w:hAnsi="David" w:cs="David"/>
              <w:color w:val="000000"/>
              <w:sz w:val="24"/>
              <w:szCs w:val="24"/>
              <w:shd w:val="clear" w:color="auto" w:fill="FFFFFF"/>
              <w:rtl/>
            </w:rPr>
            <w:instrText xml:space="preserve"> ועד \</w:instrText>
          </w:r>
          <w:r w:rsidR="00FE1B6A" w:rsidRPr="002169FF">
            <w:rPr>
              <w:rFonts w:ascii="David" w:hAnsi="David" w:cs="David"/>
              <w:color w:val="000000"/>
              <w:sz w:val="24"/>
              <w:szCs w:val="24"/>
              <w:shd w:val="clear" w:color="auto" w:fill="FFFFFF"/>
            </w:rPr>
            <w:instrText>l 1037</w:instrText>
          </w:r>
          <w:r w:rsidR="00FE1B6A" w:rsidRPr="002169FF">
            <w:rPr>
              <w:rFonts w:ascii="David" w:hAnsi="David" w:cs="David"/>
              <w:color w:val="000000"/>
              <w:sz w:val="24"/>
              <w:szCs w:val="24"/>
              <w:shd w:val="clear" w:color="auto" w:fill="FFFFFF"/>
              <w:rtl/>
            </w:rPr>
            <w:instrText xml:space="preserve"> </w:instrText>
          </w:r>
          <w:r w:rsidR="002B306D" w:rsidRPr="002169FF">
            <w:rPr>
              <w:rFonts w:ascii="David" w:hAnsi="David" w:cs="David"/>
              <w:color w:val="000000"/>
              <w:sz w:val="24"/>
              <w:szCs w:val="24"/>
              <w:shd w:val="clear" w:color="auto" w:fill="FFFFFF"/>
              <w:rtl/>
            </w:rPr>
            <w:fldChar w:fldCharType="separate"/>
          </w:r>
          <w:r w:rsidR="00FE1B6A" w:rsidRPr="002169FF">
            <w:rPr>
              <w:rFonts w:ascii="David" w:hAnsi="David" w:cs="David"/>
              <w:noProof/>
              <w:color w:val="000000"/>
              <w:sz w:val="24"/>
              <w:szCs w:val="24"/>
              <w:shd w:val="clear" w:color="auto" w:fill="FFFFFF"/>
              <w:rtl/>
            </w:rPr>
            <w:t xml:space="preserve"> (ועדת חקירה ממלכתית בראשות השופט תיאודור אור, 2003)</w:t>
          </w:r>
          <w:r w:rsidR="002B306D" w:rsidRPr="002169FF">
            <w:rPr>
              <w:rFonts w:ascii="David" w:hAnsi="David" w:cs="David"/>
              <w:color w:val="000000"/>
              <w:sz w:val="24"/>
              <w:szCs w:val="24"/>
              <w:shd w:val="clear" w:color="auto" w:fill="FFFFFF"/>
              <w:rtl/>
            </w:rPr>
            <w:fldChar w:fldCharType="end"/>
          </w:r>
        </w:sdtContent>
      </w:sdt>
    </w:p>
    <w:p w:rsidR="00D65F6A" w:rsidRPr="002169FF" w:rsidRDefault="00D65F6A" w:rsidP="00D65F6A">
      <w:pPr>
        <w:bidi/>
        <w:spacing w:line="360" w:lineRule="auto"/>
        <w:ind w:left="-46"/>
        <w:jc w:val="both"/>
        <w:rPr>
          <w:rFonts w:ascii="Arial" w:hAnsi="Arial" w:cs="David"/>
          <w:sz w:val="24"/>
          <w:szCs w:val="24"/>
          <w:rtl/>
        </w:rPr>
      </w:pPr>
      <w:r w:rsidRPr="002169FF">
        <w:rPr>
          <w:rFonts w:ascii="Arial" w:hAnsi="Arial" w:cs="David" w:hint="cs"/>
          <w:sz w:val="24"/>
          <w:szCs w:val="24"/>
          <w:rtl/>
        </w:rPr>
        <w:t xml:space="preserve">כ 90% מהאזרחים הערבים חיים בישובים כפריים שכל תושביהם שייכים למיעוט הערבי ונפרדים מן הרוב היהודי הדומיננטי במדינה. רוב הערבים עדיין מצייתים לקודים תרבותיים וחברתיים מסורתיים בניהול אורח חייהם. יש רק 8 ערים מעורבות הכוללות תושבים יהודים וערבים אך גם ברובן, קיימת הפרדה בין שכונות ערביות לשכונות יהודיות. ברוב המקרים, מעדיפים היהודים וגם הערבים להישאר באזורי מגורים נפרדים. </w:t>
      </w:r>
    </w:p>
    <w:p w:rsidR="00271BA7" w:rsidRPr="002169FF" w:rsidRDefault="00D65F6A" w:rsidP="004D18A3">
      <w:pPr>
        <w:bidi/>
        <w:spacing w:line="360" w:lineRule="auto"/>
        <w:ind w:left="-46"/>
        <w:jc w:val="both"/>
        <w:rPr>
          <w:rFonts w:ascii="Arial" w:hAnsi="Arial" w:cs="David"/>
          <w:sz w:val="24"/>
          <w:szCs w:val="24"/>
          <w:rtl/>
        </w:rPr>
      </w:pPr>
      <w:r w:rsidRPr="002169FF">
        <w:rPr>
          <w:rFonts w:ascii="Arial" w:hAnsi="Arial" w:cs="David" w:hint="cs"/>
          <w:sz w:val="24"/>
          <w:szCs w:val="24"/>
          <w:rtl/>
        </w:rPr>
        <w:t xml:space="preserve">המשטרה הייתה פחות מעורבת בשגרת החיים בחברה הערבית שסבלה מתת-שיטור ביחס לפשיעה שהשפיעה על החברה הערבית עצמה. </w:t>
      </w:r>
      <w:r w:rsidR="00CA631A" w:rsidRPr="002169FF">
        <w:rPr>
          <w:rFonts w:ascii="Arial" w:hAnsi="Arial" w:cs="David" w:hint="cs"/>
          <w:sz w:val="24"/>
          <w:szCs w:val="24"/>
          <w:rtl/>
        </w:rPr>
        <w:t xml:space="preserve">ההפרדה הגיאוגרפית יצרה מכניזם משמעותי מאוד שהשפיע על </w:t>
      </w:r>
      <w:r w:rsidR="00DE7B22" w:rsidRPr="002169FF">
        <w:rPr>
          <w:rFonts w:ascii="Arial" w:hAnsi="Arial" w:cs="David" w:hint="cs"/>
          <w:sz w:val="24"/>
          <w:szCs w:val="24"/>
          <w:rtl/>
        </w:rPr>
        <w:t>החוסר ב</w:t>
      </w:r>
      <w:r w:rsidR="00CA631A" w:rsidRPr="002169FF">
        <w:rPr>
          <w:rFonts w:ascii="Arial" w:hAnsi="Arial" w:cs="David" w:hint="cs"/>
          <w:sz w:val="24"/>
          <w:szCs w:val="24"/>
          <w:rtl/>
        </w:rPr>
        <w:t xml:space="preserve">אכיפה כמו גם על השליטה במיעוטים. </w:t>
      </w:r>
      <w:r w:rsidR="00271BA7" w:rsidRPr="002169FF">
        <w:rPr>
          <w:rFonts w:ascii="Arial" w:hAnsi="Arial" w:cs="David" w:hint="cs"/>
          <w:sz w:val="24"/>
          <w:szCs w:val="24"/>
          <w:rtl/>
        </w:rPr>
        <w:t xml:space="preserve">בהתייחסה לאכיפת החוק במגזר הערבי, תיארה ועדת אור למעשה מעגל שבו יש חוסר אמון הדדי בין הציבור </w:t>
      </w:r>
      <w:r w:rsidR="00503768" w:rsidRPr="002169FF">
        <w:rPr>
          <w:rFonts w:ascii="Arial" w:hAnsi="Arial" w:cs="David" w:hint="cs"/>
          <w:sz w:val="24"/>
          <w:szCs w:val="24"/>
          <w:rtl/>
        </w:rPr>
        <w:t>הערבי</w:t>
      </w:r>
      <w:r w:rsidR="00271BA7" w:rsidRPr="002169FF">
        <w:rPr>
          <w:rFonts w:ascii="Arial" w:hAnsi="Arial" w:cs="David" w:hint="cs"/>
          <w:sz w:val="24"/>
          <w:szCs w:val="24"/>
          <w:rtl/>
        </w:rPr>
        <w:t xml:space="preserve"> והמשטרה שגורם מחד לחוסר עקביות באכיפת החוק על ידי המשטרה ו</w:t>
      </w:r>
      <w:r w:rsidR="003B190E" w:rsidRPr="002169FF">
        <w:rPr>
          <w:rFonts w:ascii="Arial" w:hAnsi="Arial" w:cs="David" w:hint="cs"/>
          <w:sz w:val="24"/>
          <w:szCs w:val="24"/>
          <w:rtl/>
        </w:rPr>
        <w:t xml:space="preserve">מאידך </w:t>
      </w:r>
      <w:r w:rsidR="00271BA7" w:rsidRPr="002169FF">
        <w:rPr>
          <w:rFonts w:ascii="Arial" w:hAnsi="Arial" w:cs="David" w:hint="cs"/>
          <w:sz w:val="24"/>
          <w:szCs w:val="24"/>
          <w:rtl/>
        </w:rPr>
        <w:t xml:space="preserve">להתגברות הניכור של הציבור הערבי כלפיה. חוסר האמון פגע באופן ממשי ביכולת המשטרה לאכוף את החוק ותרם להתגברות הפשיעה. </w:t>
      </w:r>
    </w:p>
    <w:p w:rsidR="00503768" w:rsidRPr="002169FF" w:rsidRDefault="00503768" w:rsidP="00503768">
      <w:pPr>
        <w:bidi/>
        <w:spacing w:line="360" w:lineRule="auto"/>
        <w:ind w:left="-46"/>
        <w:jc w:val="both"/>
        <w:rPr>
          <w:rFonts w:ascii="Arial" w:hAnsi="Arial" w:cs="David"/>
          <w:sz w:val="24"/>
          <w:szCs w:val="24"/>
          <w:rtl/>
        </w:rPr>
      </w:pPr>
      <w:r w:rsidRPr="002169FF">
        <w:rPr>
          <w:rFonts w:ascii="Arial" w:hAnsi="Arial" w:cs="David" w:hint="cs"/>
          <w:sz w:val="24"/>
          <w:szCs w:val="24"/>
          <w:rtl/>
        </w:rPr>
        <w:t>במסקנותיה, התייחסה ועדת אור לחשיבות הרבה של פריסת המשטרה ביישובים הערביים כמרכיב מרכזי בשינוי התפיסה ופריצת מעגל אי-האמון:</w:t>
      </w:r>
    </w:p>
    <w:p w:rsidR="00503768" w:rsidRPr="002169FF" w:rsidRDefault="00503768" w:rsidP="00503768">
      <w:pPr>
        <w:bidi/>
        <w:spacing w:line="360" w:lineRule="auto"/>
        <w:ind w:left="-46"/>
        <w:jc w:val="both"/>
        <w:rPr>
          <w:rFonts w:ascii="David" w:hAnsi="David" w:cs="David"/>
          <w:b/>
          <w:bCs/>
          <w:i/>
          <w:iCs/>
          <w:sz w:val="28"/>
          <w:szCs w:val="28"/>
          <w:rtl/>
        </w:rPr>
      </w:pPr>
      <w:r w:rsidRPr="002169FF">
        <w:rPr>
          <w:rFonts w:ascii="David" w:hAnsi="David" w:cs="David" w:hint="cs"/>
          <w:b/>
          <w:bCs/>
          <w:i/>
          <w:iCs/>
          <w:color w:val="000000"/>
          <w:sz w:val="24"/>
          <w:szCs w:val="24"/>
          <w:shd w:val="clear" w:color="auto" w:fill="FFFFFF"/>
          <w:rtl/>
        </w:rPr>
        <w:lastRenderedPageBreak/>
        <w:t xml:space="preserve">" </w:t>
      </w:r>
      <w:r w:rsidRPr="002169FF">
        <w:rPr>
          <w:rFonts w:ascii="David" w:hAnsi="David" w:cs="David"/>
          <w:b/>
          <w:bCs/>
          <w:i/>
          <w:iCs/>
          <w:color w:val="000000"/>
          <w:sz w:val="24"/>
          <w:szCs w:val="24"/>
          <w:shd w:val="clear" w:color="auto" w:fill="FFFFFF"/>
          <w:rtl/>
        </w:rPr>
        <w:t>בהקשר זה נדרש שידוד מערכות ביחס המשטרה למגזר הערבי. המשטרה ערה לכך שפעמים רבות היא אינה נתפסת במגזר הערבי כגורם נותן שירות, כי אם כגורם עוין, המשרת שלטון חסר התחשבות. בסוגיה זו נודעת חשיבות מיוחדת לפריסת השיטור הקהילתי (מש"קים) במגזר הערבי, באופן שישופר השירות המשטרתי ביישובים הערביים. ואכן, המשטרה עשתה בנושא זה גם לפני אירועי אוקטובר וגם לאחריהם, והמלצתנו היא שנושא זה יקודם ככל האפשר. לסוגיה זו היבט תקציבי, שכן פריסת המשטרה ביישובים הערביים, במתכונת ובסדרי הכוח המקובלים ביישובים יהודיים, מחייבת הקצאת משאבים רבה. היבט זה מעורר קושי. עם זאת, על המשטרה לבחון הסטת תקציבים פנימית משמעותית, על מנת לעודד זאת</w:t>
      </w:r>
      <w:r w:rsidRPr="002169FF">
        <w:rPr>
          <w:rFonts w:ascii="David" w:hAnsi="David" w:cs="David" w:hint="cs"/>
          <w:b/>
          <w:bCs/>
          <w:i/>
          <w:iCs/>
          <w:color w:val="000000"/>
          <w:sz w:val="24"/>
          <w:szCs w:val="24"/>
          <w:shd w:val="clear" w:color="auto" w:fill="FFFFFF"/>
          <w:rtl/>
        </w:rPr>
        <w:t>"</w:t>
      </w:r>
      <w:r w:rsidRPr="002169FF">
        <w:rPr>
          <w:rFonts w:ascii="David" w:hAnsi="David" w:cs="David"/>
          <w:b/>
          <w:bCs/>
          <w:i/>
          <w:iCs/>
          <w:color w:val="000000"/>
          <w:sz w:val="24"/>
          <w:szCs w:val="24"/>
          <w:shd w:val="clear" w:color="auto" w:fill="FFFFFF"/>
        </w:rPr>
        <w:t>.</w:t>
      </w:r>
    </w:p>
    <w:p w:rsidR="002D5E1D" w:rsidRDefault="00503768" w:rsidP="002D5E1D">
      <w:pPr>
        <w:bidi/>
        <w:spacing w:line="360" w:lineRule="auto"/>
        <w:ind w:left="-46"/>
        <w:jc w:val="both"/>
        <w:rPr>
          <w:rFonts w:ascii="Arial" w:hAnsi="Arial" w:cs="David" w:hint="cs"/>
          <w:sz w:val="24"/>
          <w:szCs w:val="24"/>
          <w:rtl/>
        </w:rPr>
      </w:pPr>
      <w:r w:rsidRPr="002169FF">
        <w:rPr>
          <w:rFonts w:ascii="Arial" w:hAnsi="Arial" w:cs="David" w:hint="cs"/>
          <w:sz w:val="24"/>
          <w:szCs w:val="24"/>
          <w:rtl/>
        </w:rPr>
        <w:t>מאז פרסום מסקנות הועדה בשנת 2003, עשתה משטרת ישראל פעולות רבות לשיפור פריסתה, כמו גם קשריה עם הציבור הערבי. החלטת הממשלה 1402 משנת 2016, הפנתה תקציבים להקמת תחנות חדשות ונקודות משטרה</w:t>
      </w:r>
      <w:r w:rsidRPr="002169FF">
        <w:rPr>
          <w:rStyle w:val="ae"/>
          <w:rFonts w:ascii="Arial" w:hAnsi="Arial" w:cs="David"/>
          <w:sz w:val="24"/>
          <w:szCs w:val="24"/>
          <w:rtl/>
        </w:rPr>
        <w:footnoteReference w:id="4"/>
      </w:r>
      <w:r w:rsidRPr="002169FF">
        <w:rPr>
          <w:rFonts w:ascii="Arial" w:hAnsi="Arial" w:cs="David" w:hint="cs"/>
          <w:sz w:val="24"/>
          <w:szCs w:val="24"/>
          <w:rtl/>
        </w:rPr>
        <w:t xml:space="preserve"> במגזר הערבי וכן התווספו מרכזי שיטור קהילת</w:t>
      </w:r>
      <w:r w:rsidR="00A007B0" w:rsidRPr="002169FF">
        <w:rPr>
          <w:rFonts w:ascii="Arial" w:hAnsi="Arial" w:cs="David" w:hint="cs"/>
          <w:sz w:val="24"/>
          <w:szCs w:val="24"/>
          <w:rtl/>
        </w:rPr>
        <w:t>יים רבים.  עם זאת, הפערים עדיין גדולים מאוד ונדרשת השקעה רבה בהקמת יחידות משטרה נוספות ובנוסף לכך, התפיסות של רוב הציבור הערבי עדיין מבטאות חוסר אמון</w:t>
      </w:r>
      <w:r w:rsidR="008307D3" w:rsidRPr="002169FF">
        <w:rPr>
          <w:rFonts w:ascii="Arial" w:hAnsi="Arial" w:cs="David" w:hint="cs"/>
          <w:sz w:val="24"/>
          <w:szCs w:val="24"/>
          <w:rtl/>
        </w:rPr>
        <w:t xml:space="preserve"> במשטרה</w:t>
      </w:r>
      <w:r w:rsidR="00A007B0" w:rsidRPr="002169FF">
        <w:rPr>
          <w:rFonts w:ascii="Arial" w:hAnsi="Arial" w:cs="David" w:hint="cs"/>
          <w:sz w:val="24"/>
          <w:szCs w:val="24"/>
          <w:rtl/>
        </w:rPr>
        <w:t xml:space="preserve"> (לכ</w:t>
      </w:r>
      <w:r w:rsidR="00DE45FE" w:rsidRPr="002169FF">
        <w:rPr>
          <w:rFonts w:ascii="Arial" w:hAnsi="Arial" w:cs="David" w:hint="cs"/>
          <w:sz w:val="24"/>
          <w:szCs w:val="24"/>
          <w:rtl/>
        </w:rPr>
        <w:t>ך תינתן התייחסות בהמשך העבודה), המתבטא בשיתוף פעולה נמוך תוך גילוי נאמנות לאותם קודים חברתיים ותרבותיים ייחודיים למגזר הערבי.</w:t>
      </w:r>
      <w:bookmarkStart w:id="11" w:name="_Toc4950573"/>
    </w:p>
    <w:p w:rsidR="009B0CEE" w:rsidRPr="00714CE6" w:rsidRDefault="009B0CEE" w:rsidP="00714CE6">
      <w:pPr>
        <w:pStyle w:val="1"/>
        <w:bidi/>
        <w:rPr>
          <w:rFonts w:ascii="David" w:hAnsi="David" w:cs="David"/>
          <w:sz w:val="24"/>
          <w:szCs w:val="24"/>
          <w:rtl/>
        </w:rPr>
      </w:pPr>
      <w:bookmarkStart w:id="12" w:name="_Toc5984337"/>
      <w:r w:rsidRPr="00714CE6">
        <w:rPr>
          <w:rFonts w:ascii="David" w:hAnsi="David" w:cs="David"/>
          <w:rtl/>
        </w:rPr>
        <w:t>גורמים הכלכליים</w:t>
      </w:r>
      <w:bookmarkEnd w:id="11"/>
      <w:bookmarkEnd w:id="12"/>
      <w:r w:rsidRPr="00714CE6">
        <w:rPr>
          <w:rFonts w:ascii="David" w:hAnsi="David" w:cs="David"/>
          <w:rtl/>
        </w:rPr>
        <w:t xml:space="preserve"> </w:t>
      </w:r>
    </w:p>
    <w:p w:rsidR="003F1664" w:rsidRPr="002D5E1D" w:rsidRDefault="009B0CEE" w:rsidP="002D5E1D">
      <w:pPr>
        <w:bidi/>
        <w:spacing w:line="360" w:lineRule="auto"/>
        <w:jc w:val="both"/>
        <w:rPr>
          <w:rFonts w:ascii="Arial" w:hAnsi="Arial" w:cs="David"/>
          <w:sz w:val="24"/>
          <w:szCs w:val="24"/>
          <w:rtl/>
        </w:rPr>
      </w:pPr>
      <w:r w:rsidRPr="002D5E1D">
        <w:rPr>
          <w:rFonts w:ascii="Arial" w:hAnsi="Arial" w:cs="David" w:hint="cs"/>
          <w:sz w:val="24"/>
          <w:szCs w:val="24"/>
          <w:rtl/>
        </w:rPr>
        <w:t xml:space="preserve">האוכלוסייה הערבית בישראל נמצאת ברובה בקבוצות הנמוכות של המדד החברתי- כלכלי של הלשכה המרכזית לסטטיסטיקה. הפערים החברתיים מהווים במקרים רבים גורם מדרבן לפשיעה. </w:t>
      </w:r>
      <w:r w:rsidR="00445097" w:rsidRPr="002D5E1D">
        <w:rPr>
          <w:rFonts w:ascii="Arial" w:hAnsi="Arial" w:cs="David" w:hint="cs"/>
          <w:sz w:val="24"/>
          <w:szCs w:val="24"/>
          <w:rtl/>
        </w:rPr>
        <w:t>פערים אלה באים לידי ביטוי בשיעורי התעסוקה נמוכים יותר, בהכנסה לנפש או לתא משפחתי נמוכה יותר ובשיעורי העוני הגבוהים יותר (בעיקר, עוני של ילדים).</w:t>
      </w:r>
      <w:r w:rsidR="003F1664" w:rsidRPr="002D5E1D">
        <w:rPr>
          <w:rFonts w:ascii="Arial" w:hAnsi="Arial" w:cs="David" w:hint="cs"/>
          <w:sz w:val="24"/>
          <w:szCs w:val="24"/>
          <w:rtl/>
        </w:rPr>
        <w:t xml:space="preserve"> על פי נתוני הביטוח הלאומי, תחולת העוני של המשפחות הערביות בשנת 2012 עמדה על 54.3% ותחולת העוני של ילדים ערבים עמדה על 65.8%. שיעור האבטלה באותה שנה עמד בחברה הערבית על 12.6% לעומת 5.7% בחברה היהודית. </w:t>
      </w:r>
    </w:p>
    <w:p w:rsidR="00445097" w:rsidRPr="002D5E1D" w:rsidRDefault="003F1664" w:rsidP="003F1664">
      <w:pPr>
        <w:bidi/>
        <w:spacing w:line="360" w:lineRule="auto"/>
        <w:ind w:left="-46"/>
        <w:jc w:val="both"/>
        <w:rPr>
          <w:rFonts w:ascii="Arial" w:hAnsi="Arial" w:cs="David"/>
          <w:sz w:val="24"/>
          <w:szCs w:val="24"/>
          <w:rtl/>
        </w:rPr>
      </w:pPr>
      <w:r w:rsidRPr="002D5E1D">
        <w:rPr>
          <w:rFonts w:ascii="Arial" w:hAnsi="Arial" w:cs="David" w:hint="cs"/>
          <w:sz w:val="24"/>
          <w:szCs w:val="24"/>
          <w:rtl/>
        </w:rPr>
        <w:t xml:space="preserve">שיעור נשירת תלמידים מבית הספר נחשב למדד לחולשה חברתית וליצירת קבוצת סיכון למעורבות בפשיעה. שיעור הנשירה של תלמידים במגזר הערבי עמד על 3.6%, כפול משיעור הנשירה בקרב תלמידים יהודים שעמד על כ 1.7%.  </w:t>
      </w:r>
      <w:r w:rsidR="00445097" w:rsidRPr="002D5E1D">
        <w:rPr>
          <w:rFonts w:ascii="Arial" w:hAnsi="Arial" w:cs="David" w:hint="cs"/>
          <w:sz w:val="24"/>
          <w:szCs w:val="24"/>
          <w:rtl/>
        </w:rPr>
        <w:t xml:space="preserve">סביבה </w:t>
      </w:r>
      <w:r w:rsidRPr="002D5E1D">
        <w:rPr>
          <w:rFonts w:ascii="Arial" w:hAnsi="Arial" w:cs="David" w:hint="cs"/>
          <w:sz w:val="24"/>
          <w:szCs w:val="24"/>
          <w:rtl/>
        </w:rPr>
        <w:t xml:space="preserve">חברתית </w:t>
      </w:r>
      <w:r w:rsidR="00445097" w:rsidRPr="002D5E1D">
        <w:rPr>
          <w:rFonts w:ascii="Arial" w:hAnsi="Arial" w:cs="David" w:hint="cs"/>
          <w:sz w:val="24"/>
          <w:szCs w:val="24"/>
          <w:rtl/>
        </w:rPr>
        <w:t xml:space="preserve">הכוללת </w:t>
      </w:r>
      <w:r w:rsidRPr="002D5E1D">
        <w:rPr>
          <w:rFonts w:ascii="Arial" w:hAnsi="Arial" w:cs="David" w:hint="cs"/>
          <w:sz w:val="24"/>
          <w:szCs w:val="24"/>
          <w:rtl/>
        </w:rPr>
        <w:t xml:space="preserve">אבטלה, </w:t>
      </w:r>
      <w:r w:rsidR="00445097" w:rsidRPr="002D5E1D">
        <w:rPr>
          <w:rFonts w:ascii="Arial" w:hAnsi="Arial" w:cs="David" w:hint="cs"/>
          <w:sz w:val="24"/>
          <w:szCs w:val="24"/>
          <w:rtl/>
        </w:rPr>
        <w:t xml:space="preserve">עוני ונשירת תלמידים מבתי ספר </w:t>
      </w:r>
      <w:r w:rsidRPr="002D5E1D">
        <w:rPr>
          <w:rFonts w:ascii="Arial" w:hAnsi="Arial" w:cs="David" w:hint="cs"/>
          <w:sz w:val="24"/>
          <w:szCs w:val="24"/>
          <w:rtl/>
        </w:rPr>
        <w:t>היא סביבה המעודדת</w:t>
      </w:r>
      <w:r w:rsidR="00445097" w:rsidRPr="002D5E1D">
        <w:rPr>
          <w:rFonts w:ascii="Arial" w:hAnsi="Arial" w:cs="David" w:hint="cs"/>
          <w:sz w:val="24"/>
          <w:szCs w:val="24"/>
          <w:rtl/>
        </w:rPr>
        <w:t xml:space="preserve"> סטייה חברתית ופשיעה</w:t>
      </w:r>
      <w:sdt>
        <w:sdtPr>
          <w:rPr>
            <w:rFonts w:ascii="Arial" w:hAnsi="Arial" w:cs="David" w:hint="cs"/>
            <w:sz w:val="24"/>
            <w:szCs w:val="24"/>
            <w:rtl/>
          </w:rPr>
          <w:id w:val="668340957"/>
          <w:citation/>
        </w:sdtPr>
        <w:sdtContent>
          <w:r w:rsidR="002B306D" w:rsidRPr="002D5E1D">
            <w:rPr>
              <w:rFonts w:ascii="Arial" w:hAnsi="Arial" w:cs="David"/>
              <w:sz w:val="24"/>
              <w:szCs w:val="24"/>
              <w:rtl/>
            </w:rPr>
            <w:fldChar w:fldCharType="begin"/>
          </w:r>
          <w:r w:rsidR="00982589" w:rsidRPr="002D5E1D">
            <w:rPr>
              <w:rFonts w:ascii="Arial" w:hAnsi="Arial" w:cs="David"/>
              <w:sz w:val="24"/>
              <w:szCs w:val="24"/>
              <w:rtl/>
            </w:rPr>
            <w:instrText xml:space="preserve"> </w:instrText>
          </w:r>
          <w:r w:rsidR="00982589" w:rsidRPr="002D5E1D">
            <w:rPr>
              <w:rFonts w:ascii="Arial" w:hAnsi="Arial" w:cs="David" w:hint="cs"/>
              <w:sz w:val="24"/>
              <w:szCs w:val="24"/>
            </w:rPr>
            <w:instrText>CITATION</w:instrText>
          </w:r>
          <w:r w:rsidR="00982589" w:rsidRPr="002D5E1D">
            <w:rPr>
              <w:rFonts w:ascii="Arial" w:hAnsi="Arial" w:cs="David" w:hint="cs"/>
              <w:sz w:val="24"/>
              <w:szCs w:val="24"/>
              <w:rtl/>
            </w:rPr>
            <w:instrText xml:space="preserve"> ראד14 \</w:instrText>
          </w:r>
          <w:r w:rsidR="00982589" w:rsidRPr="002D5E1D">
            <w:rPr>
              <w:rFonts w:ascii="Arial" w:hAnsi="Arial" w:cs="David" w:hint="cs"/>
              <w:sz w:val="24"/>
              <w:szCs w:val="24"/>
            </w:rPr>
            <w:instrText>l 1037</w:instrText>
          </w:r>
          <w:r w:rsidR="00982589" w:rsidRPr="002D5E1D">
            <w:rPr>
              <w:rFonts w:ascii="Arial" w:hAnsi="Arial" w:cs="David"/>
              <w:sz w:val="24"/>
              <w:szCs w:val="24"/>
              <w:rtl/>
            </w:rPr>
            <w:instrText xml:space="preserve"> </w:instrText>
          </w:r>
          <w:r w:rsidR="002B306D" w:rsidRPr="002D5E1D">
            <w:rPr>
              <w:rFonts w:ascii="Arial" w:hAnsi="Arial" w:cs="David"/>
              <w:sz w:val="24"/>
              <w:szCs w:val="24"/>
              <w:rtl/>
            </w:rPr>
            <w:fldChar w:fldCharType="separate"/>
          </w:r>
          <w:r w:rsidR="00982589" w:rsidRPr="002D5E1D">
            <w:rPr>
              <w:rFonts w:ascii="Arial" w:hAnsi="Arial" w:cs="David"/>
              <w:noProof/>
              <w:sz w:val="24"/>
              <w:szCs w:val="24"/>
              <w:rtl/>
            </w:rPr>
            <w:t xml:space="preserve"> </w:t>
          </w:r>
          <w:r w:rsidR="00982589" w:rsidRPr="002D5E1D">
            <w:rPr>
              <w:rFonts w:ascii="Arial" w:hAnsi="Arial" w:cs="David" w:hint="cs"/>
              <w:noProof/>
              <w:sz w:val="24"/>
              <w:szCs w:val="24"/>
              <w:rtl/>
            </w:rPr>
            <w:t>(טשנר, 2014)</w:t>
          </w:r>
          <w:r w:rsidR="002B306D" w:rsidRPr="002D5E1D">
            <w:rPr>
              <w:rFonts w:ascii="Arial" w:hAnsi="Arial" w:cs="David"/>
              <w:sz w:val="24"/>
              <w:szCs w:val="24"/>
              <w:rtl/>
            </w:rPr>
            <w:fldChar w:fldCharType="end"/>
          </w:r>
        </w:sdtContent>
      </w:sdt>
      <w:r w:rsidR="00445097" w:rsidRPr="002D5E1D">
        <w:rPr>
          <w:rFonts w:ascii="Arial" w:hAnsi="Arial" w:cs="David" w:hint="cs"/>
          <w:sz w:val="24"/>
          <w:szCs w:val="24"/>
          <w:rtl/>
        </w:rPr>
        <w:t xml:space="preserve">. </w:t>
      </w:r>
    </w:p>
    <w:p w:rsidR="0039335A" w:rsidRPr="002D5E1D" w:rsidRDefault="0039335A" w:rsidP="0039335A">
      <w:pPr>
        <w:bidi/>
        <w:spacing w:line="360" w:lineRule="auto"/>
        <w:ind w:left="-46"/>
        <w:jc w:val="both"/>
        <w:rPr>
          <w:rFonts w:ascii="Arial" w:hAnsi="Arial" w:cs="David"/>
          <w:sz w:val="24"/>
          <w:szCs w:val="24"/>
          <w:rtl/>
        </w:rPr>
      </w:pPr>
      <w:r w:rsidRPr="002D5E1D">
        <w:rPr>
          <w:rFonts w:ascii="Arial" w:hAnsi="Arial" w:cs="David" w:hint="cs"/>
          <w:sz w:val="24"/>
          <w:szCs w:val="24"/>
          <w:rtl/>
        </w:rPr>
        <w:t xml:space="preserve">ועדת אור </w:t>
      </w:r>
      <w:sdt>
        <w:sdtPr>
          <w:rPr>
            <w:rFonts w:ascii="Arial" w:hAnsi="Arial" w:cs="David" w:hint="cs"/>
            <w:sz w:val="24"/>
            <w:szCs w:val="24"/>
            <w:rtl/>
          </w:rPr>
          <w:id w:val="169705756"/>
          <w:citation/>
        </w:sdtPr>
        <w:sdtContent>
          <w:r w:rsidR="002B306D" w:rsidRPr="002D5E1D">
            <w:rPr>
              <w:rFonts w:ascii="Arial" w:hAnsi="Arial" w:cs="David"/>
              <w:sz w:val="24"/>
              <w:szCs w:val="24"/>
              <w:rtl/>
            </w:rPr>
            <w:fldChar w:fldCharType="begin"/>
          </w:r>
          <w:r w:rsidRPr="002D5E1D">
            <w:rPr>
              <w:rFonts w:ascii="Arial" w:hAnsi="Arial" w:cs="David"/>
              <w:sz w:val="24"/>
              <w:szCs w:val="24"/>
              <w:rtl/>
            </w:rPr>
            <w:instrText xml:space="preserve"> </w:instrText>
          </w:r>
          <w:r w:rsidRPr="002D5E1D">
            <w:rPr>
              <w:rFonts w:ascii="Arial" w:hAnsi="Arial" w:cs="David" w:hint="cs"/>
              <w:sz w:val="24"/>
              <w:szCs w:val="24"/>
            </w:rPr>
            <w:instrText>CITATION</w:instrText>
          </w:r>
          <w:r w:rsidRPr="002D5E1D">
            <w:rPr>
              <w:rFonts w:ascii="Arial" w:hAnsi="Arial" w:cs="David" w:hint="cs"/>
              <w:sz w:val="24"/>
              <w:szCs w:val="24"/>
              <w:rtl/>
            </w:rPr>
            <w:instrText xml:space="preserve"> ועד \</w:instrText>
          </w:r>
          <w:r w:rsidRPr="002D5E1D">
            <w:rPr>
              <w:rFonts w:ascii="Arial" w:hAnsi="Arial" w:cs="David" w:hint="cs"/>
              <w:sz w:val="24"/>
              <w:szCs w:val="24"/>
            </w:rPr>
            <w:instrText>l 1037</w:instrText>
          </w:r>
          <w:r w:rsidRPr="002D5E1D">
            <w:rPr>
              <w:rFonts w:ascii="Arial" w:hAnsi="Arial" w:cs="David"/>
              <w:sz w:val="24"/>
              <w:szCs w:val="24"/>
              <w:rtl/>
            </w:rPr>
            <w:instrText xml:space="preserve"> </w:instrText>
          </w:r>
          <w:r w:rsidR="002B306D" w:rsidRPr="002D5E1D">
            <w:rPr>
              <w:rFonts w:ascii="Arial" w:hAnsi="Arial" w:cs="David"/>
              <w:sz w:val="24"/>
              <w:szCs w:val="24"/>
              <w:rtl/>
            </w:rPr>
            <w:fldChar w:fldCharType="separate"/>
          </w:r>
          <w:r w:rsidRPr="002D5E1D">
            <w:rPr>
              <w:rFonts w:ascii="Arial" w:hAnsi="Arial" w:cs="David" w:hint="cs"/>
              <w:noProof/>
              <w:sz w:val="24"/>
              <w:szCs w:val="24"/>
              <w:rtl/>
            </w:rPr>
            <w:t>(ועדת חקירה ממלכתית בראשות השופט תיאודור אור, 2003)</w:t>
          </w:r>
          <w:r w:rsidR="002B306D" w:rsidRPr="002D5E1D">
            <w:rPr>
              <w:rFonts w:ascii="Arial" w:hAnsi="Arial" w:cs="David"/>
              <w:sz w:val="24"/>
              <w:szCs w:val="24"/>
              <w:rtl/>
            </w:rPr>
            <w:fldChar w:fldCharType="end"/>
          </w:r>
        </w:sdtContent>
      </w:sdt>
      <w:r w:rsidRPr="002D5E1D">
        <w:rPr>
          <w:rFonts w:ascii="Arial" w:hAnsi="Arial" w:cs="David" w:hint="cs"/>
          <w:sz w:val="24"/>
          <w:szCs w:val="24"/>
          <w:rtl/>
        </w:rPr>
        <w:t xml:space="preserve"> התייחסה לפערים בהקצאת תקציבים ממשלתיים למגזר הערבי כאחד הגורמים המרכזיים ליצירת תחושת הקיפוח והניכור למדינה ומוסדותיה (סעיף 45):</w:t>
      </w:r>
    </w:p>
    <w:p w:rsidR="0039335A" w:rsidRPr="002D5E1D" w:rsidRDefault="0039335A" w:rsidP="0039335A">
      <w:pPr>
        <w:bidi/>
        <w:spacing w:line="360" w:lineRule="auto"/>
        <w:ind w:left="-46"/>
        <w:jc w:val="both"/>
        <w:rPr>
          <w:rFonts w:ascii="David" w:hAnsi="David" w:cs="David"/>
          <w:b/>
          <w:bCs/>
          <w:i/>
          <w:iCs/>
          <w:sz w:val="24"/>
          <w:szCs w:val="24"/>
          <w:rtl/>
        </w:rPr>
      </w:pPr>
      <w:r w:rsidRPr="002D5E1D">
        <w:rPr>
          <w:rFonts w:ascii="David" w:hAnsi="David" w:cs="David" w:hint="cs"/>
          <w:b/>
          <w:bCs/>
          <w:i/>
          <w:iCs/>
          <w:color w:val="000000"/>
          <w:sz w:val="24"/>
          <w:szCs w:val="24"/>
          <w:shd w:val="clear" w:color="auto" w:fill="FFFFFF"/>
          <w:rtl/>
        </w:rPr>
        <w:t>"</w:t>
      </w:r>
      <w:r w:rsidRPr="002D5E1D">
        <w:rPr>
          <w:rFonts w:ascii="David" w:hAnsi="David" w:cs="David"/>
          <w:b/>
          <w:bCs/>
          <w:i/>
          <w:iCs/>
          <w:color w:val="000000"/>
          <w:sz w:val="24"/>
          <w:szCs w:val="24"/>
          <w:shd w:val="clear" w:color="auto" w:fill="FFFFFF"/>
          <w:rtl/>
        </w:rPr>
        <w:t>אפליית המגזר הערבי בהקצאות תקציבים ממשלתיים מתועדת בספרי התקציב, אשר מן הנתונים שבהם ניתן לעמוד על חלוקה בלתי שוויונית של תקציבים בתחומים שונים. במשך השנים, ובמיוחד בתקופה 1992-1996, השתפר באופן משמעותי האיזון בין המגזרים במספר נושאים, אך טרם הושג שוויון. אי השוויון בתחום זה עולה מעתירות אשר סקרנו לעיל את ההחלטות בהן</w:t>
      </w:r>
      <w:r w:rsidRPr="002D5E1D">
        <w:rPr>
          <w:rFonts w:ascii="David" w:hAnsi="David" w:cs="David" w:hint="cs"/>
          <w:b/>
          <w:bCs/>
          <w:i/>
          <w:iCs/>
          <w:color w:val="000000"/>
          <w:sz w:val="24"/>
          <w:szCs w:val="24"/>
          <w:shd w:val="clear" w:color="auto" w:fill="FFFFFF"/>
          <w:rtl/>
        </w:rPr>
        <w:t xml:space="preserve">. </w:t>
      </w:r>
      <w:r w:rsidRPr="002D5E1D">
        <w:rPr>
          <w:rFonts w:ascii="David" w:hAnsi="David" w:cs="David"/>
          <w:b/>
          <w:bCs/>
          <w:i/>
          <w:iCs/>
          <w:color w:val="000000"/>
          <w:sz w:val="24"/>
          <w:szCs w:val="24"/>
          <w:shd w:val="clear" w:color="auto" w:fill="FFFFFF"/>
          <w:rtl/>
        </w:rPr>
        <w:t>נמחיש עניין זה במספר נושאים נוספים</w:t>
      </w:r>
      <w:r w:rsidRPr="002D5E1D">
        <w:rPr>
          <w:rFonts w:ascii="David" w:hAnsi="David" w:cs="David" w:hint="cs"/>
          <w:b/>
          <w:bCs/>
          <w:i/>
          <w:iCs/>
          <w:color w:val="000000"/>
          <w:sz w:val="24"/>
          <w:szCs w:val="24"/>
          <w:shd w:val="clear" w:color="auto" w:fill="FFFFFF"/>
          <w:rtl/>
        </w:rPr>
        <w:t>"</w:t>
      </w:r>
      <w:r w:rsidRPr="002D5E1D">
        <w:rPr>
          <w:rFonts w:ascii="David" w:hAnsi="David" w:cs="David"/>
          <w:b/>
          <w:bCs/>
          <w:i/>
          <w:iCs/>
          <w:color w:val="000000"/>
          <w:sz w:val="24"/>
          <w:szCs w:val="24"/>
          <w:shd w:val="clear" w:color="auto" w:fill="FFFFFF"/>
        </w:rPr>
        <w:t>.</w:t>
      </w:r>
    </w:p>
    <w:p w:rsidR="0039335A" w:rsidRPr="002D5E1D" w:rsidRDefault="0039335A" w:rsidP="004D18A3">
      <w:pPr>
        <w:bidi/>
        <w:spacing w:line="360" w:lineRule="auto"/>
        <w:ind w:left="-46"/>
        <w:jc w:val="both"/>
        <w:rPr>
          <w:rFonts w:ascii="David" w:hAnsi="David" w:cs="David"/>
          <w:sz w:val="24"/>
          <w:szCs w:val="24"/>
          <w:rtl/>
        </w:rPr>
      </w:pPr>
      <w:r w:rsidRPr="002D5E1D">
        <w:rPr>
          <w:rFonts w:ascii="David" w:hAnsi="David" w:cs="David"/>
          <w:sz w:val="24"/>
          <w:szCs w:val="24"/>
          <w:rtl/>
        </w:rPr>
        <w:lastRenderedPageBreak/>
        <w:t xml:space="preserve">פערים אלה באו לידי ביטוי בהקצאת תקציבים לחינוך </w:t>
      </w:r>
      <w:r w:rsidRPr="002D5E1D">
        <w:rPr>
          <w:rFonts w:ascii="David" w:hAnsi="David" w:cs="David" w:hint="cs"/>
          <w:color w:val="000000"/>
          <w:sz w:val="24"/>
          <w:szCs w:val="24"/>
          <w:shd w:val="clear" w:color="auto" w:fill="FFFFFF"/>
          <w:rtl/>
        </w:rPr>
        <w:t xml:space="preserve">כפי שציינה הועדה, </w:t>
      </w:r>
      <w:r w:rsidRPr="002D5E1D">
        <w:rPr>
          <w:rFonts w:ascii="David" w:hAnsi="David" w:cs="David"/>
          <w:color w:val="000000"/>
          <w:sz w:val="24"/>
          <w:szCs w:val="24"/>
          <w:shd w:val="clear" w:color="auto" w:fill="FFFFFF"/>
          <w:rtl/>
        </w:rPr>
        <w:t>בעניינים רבים: מספר תלמידים למורה, מספר תלמידים לכיתה, שיעור כיתות תקניות, מתקני ספורט, מעבדות, מספר מחשבים לתלמיד ועוד</w:t>
      </w:r>
      <w:r w:rsidRPr="002D5E1D">
        <w:rPr>
          <w:rFonts w:ascii="David" w:hAnsi="David" w:cs="David" w:hint="cs"/>
          <w:sz w:val="24"/>
          <w:szCs w:val="24"/>
          <w:rtl/>
        </w:rPr>
        <w:t>.</w:t>
      </w:r>
      <w:r w:rsidR="004D18A3">
        <w:rPr>
          <w:rFonts w:ascii="David" w:hAnsi="David" w:cs="David" w:hint="cs"/>
          <w:sz w:val="24"/>
          <w:szCs w:val="24"/>
          <w:rtl/>
        </w:rPr>
        <w:t xml:space="preserve"> </w:t>
      </w:r>
      <w:r w:rsidRPr="002D5E1D">
        <w:rPr>
          <w:rFonts w:ascii="David" w:hAnsi="David" w:cs="David" w:hint="cs"/>
          <w:sz w:val="24"/>
          <w:szCs w:val="24"/>
          <w:rtl/>
        </w:rPr>
        <w:t xml:space="preserve">כך גם בהקצאת תקציבים לרשויות הערביות שהיו במצב ירוד ולא סיפקו את השירותים הבסיסיים הנדרשים מהן, ביחס לשיעורי העוני הגבוהים יותר במגזר הערבי ובשיעורי התעסוקה. </w:t>
      </w:r>
      <w:r w:rsidRPr="002D5E1D">
        <w:rPr>
          <w:rFonts w:ascii="David" w:hAnsi="David" w:cs="David"/>
          <w:sz w:val="24"/>
          <w:szCs w:val="24"/>
          <w:rtl/>
        </w:rPr>
        <w:t xml:space="preserve"> </w:t>
      </w:r>
    </w:p>
    <w:p w:rsidR="00BF1A3F" w:rsidRPr="002D5E1D" w:rsidRDefault="00C6538D" w:rsidP="004D18A3">
      <w:pPr>
        <w:bidi/>
        <w:spacing w:line="360" w:lineRule="auto"/>
        <w:ind w:left="-46"/>
        <w:jc w:val="both"/>
        <w:rPr>
          <w:rFonts w:ascii="David" w:hAnsi="David" w:cs="David"/>
          <w:sz w:val="24"/>
          <w:szCs w:val="24"/>
          <w:rtl/>
        </w:rPr>
      </w:pPr>
      <w:r w:rsidRPr="002D5E1D">
        <w:rPr>
          <w:rFonts w:ascii="David" w:hAnsi="David" w:cs="David" w:hint="cs"/>
          <w:sz w:val="24"/>
          <w:szCs w:val="24"/>
          <w:rtl/>
        </w:rPr>
        <w:t>ביולי 2016, גיבש צוות בין-משרדי (שכלל את משרד ראש הממשלה, משרד האוצר, המשרד לשוויון חברתי והרשות לפיתוח כלכלי של המיעוטים) את התכנית המערכתית לשילוב כלכלי של החברה הערבית באמצעות תיקון ליקויים במנגנוני ההקצאה הממשלתיים.</w:t>
      </w:r>
      <w:sdt>
        <w:sdtPr>
          <w:rPr>
            <w:rFonts w:ascii="David" w:hAnsi="David" w:cs="David" w:hint="cs"/>
            <w:sz w:val="24"/>
            <w:szCs w:val="24"/>
            <w:rtl/>
          </w:rPr>
          <w:id w:val="1015034629"/>
          <w:citation/>
        </w:sdtPr>
        <w:sdtContent>
          <w:r w:rsidR="002B306D" w:rsidRPr="002D5E1D">
            <w:rPr>
              <w:rFonts w:ascii="David" w:hAnsi="David" w:cs="David"/>
              <w:sz w:val="24"/>
              <w:szCs w:val="24"/>
              <w:rtl/>
            </w:rPr>
            <w:fldChar w:fldCharType="begin"/>
          </w:r>
          <w:r w:rsidR="00BF1A3F" w:rsidRPr="002D5E1D">
            <w:rPr>
              <w:rFonts w:ascii="David" w:hAnsi="David" w:cs="David"/>
              <w:sz w:val="24"/>
              <w:szCs w:val="24"/>
              <w:rtl/>
            </w:rPr>
            <w:instrText xml:space="preserve"> </w:instrText>
          </w:r>
          <w:r w:rsidR="00BF1A3F" w:rsidRPr="002D5E1D">
            <w:rPr>
              <w:rFonts w:ascii="David" w:hAnsi="David" w:cs="David" w:hint="cs"/>
              <w:sz w:val="24"/>
              <w:szCs w:val="24"/>
            </w:rPr>
            <w:instrText>CITATION</w:instrText>
          </w:r>
          <w:r w:rsidR="00BF1A3F" w:rsidRPr="002D5E1D">
            <w:rPr>
              <w:rFonts w:ascii="David" w:hAnsi="David" w:cs="David" w:hint="cs"/>
              <w:sz w:val="24"/>
              <w:szCs w:val="24"/>
              <w:rtl/>
            </w:rPr>
            <w:instrText xml:space="preserve"> משר16 \</w:instrText>
          </w:r>
          <w:r w:rsidR="00BF1A3F" w:rsidRPr="002D5E1D">
            <w:rPr>
              <w:rFonts w:ascii="David" w:hAnsi="David" w:cs="David" w:hint="cs"/>
              <w:sz w:val="24"/>
              <w:szCs w:val="24"/>
            </w:rPr>
            <w:instrText>l 1037</w:instrText>
          </w:r>
          <w:r w:rsidR="00BF1A3F" w:rsidRPr="002D5E1D">
            <w:rPr>
              <w:rFonts w:ascii="David" w:hAnsi="David" w:cs="David"/>
              <w:sz w:val="24"/>
              <w:szCs w:val="24"/>
              <w:rtl/>
            </w:rPr>
            <w:instrText xml:space="preserve"> </w:instrText>
          </w:r>
          <w:r w:rsidR="002B306D" w:rsidRPr="002D5E1D">
            <w:rPr>
              <w:rFonts w:ascii="David" w:hAnsi="David" w:cs="David"/>
              <w:sz w:val="24"/>
              <w:szCs w:val="24"/>
              <w:rtl/>
            </w:rPr>
            <w:fldChar w:fldCharType="separate"/>
          </w:r>
          <w:r w:rsidR="00BF1A3F" w:rsidRPr="002D5E1D">
            <w:rPr>
              <w:rFonts w:ascii="David" w:hAnsi="David" w:cs="David"/>
              <w:noProof/>
              <w:sz w:val="24"/>
              <w:szCs w:val="24"/>
              <w:rtl/>
            </w:rPr>
            <w:t xml:space="preserve"> </w:t>
          </w:r>
          <w:r w:rsidR="00BF1A3F" w:rsidRPr="002D5E1D">
            <w:rPr>
              <w:rFonts w:ascii="David" w:hAnsi="David" w:cs="David" w:hint="cs"/>
              <w:noProof/>
              <w:sz w:val="24"/>
              <w:szCs w:val="24"/>
              <w:rtl/>
            </w:rPr>
            <w:t>(משרד ראש הממשלה, משרד האוצר, המשרד לשוויון חברתי, 2016)</w:t>
          </w:r>
          <w:r w:rsidR="002B306D" w:rsidRPr="002D5E1D">
            <w:rPr>
              <w:rFonts w:ascii="David" w:hAnsi="David" w:cs="David"/>
              <w:sz w:val="24"/>
              <w:szCs w:val="24"/>
              <w:rtl/>
            </w:rPr>
            <w:fldChar w:fldCharType="end"/>
          </w:r>
        </w:sdtContent>
      </w:sdt>
      <w:r w:rsidR="00BF1A3F" w:rsidRPr="002D5E1D">
        <w:rPr>
          <w:rFonts w:ascii="David" w:hAnsi="David" w:cs="David" w:hint="cs"/>
          <w:sz w:val="24"/>
          <w:szCs w:val="24"/>
          <w:rtl/>
        </w:rPr>
        <w:t>.</w:t>
      </w:r>
      <w:r w:rsidR="004D18A3">
        <w:rPr>
          <w:rFonts w:ascii="David" w:hAnsi="David" w:cs="David" w:hint="cs"/>
          <w:sz w:val="24"/>
          <w:szCs w:val="24"/>
          <w:rtl/>
        </w:rPr>
        <w:t xml:space="preserve"> </w:t>
      </w:r>
      <w:r w:rsidR="00BF1A3F" w:rsidRPr="002D5E1D">
        <w:rPr>
          <w:rFonts w:ascii="David" w:hAnsi="David" w:cs="David" w:hint="cs"/>
          <w:sz w:val="24"/>
          <w:szCs w:val="24"/>
          <w:rtl/>
        </w:rPr>
        <w:t xml:space="preserve">תכנית זו נבעה מתוך ההכרה של מקבלי ההחלטות וגורמי המקצוע במשרדי הממשלה והחברה האזרחית בכך ששילוב כלכלי של החברה הערבית הוא מנוע צמיחה משמעותי למשק וכלי חשוב לצמצום פערים חברתיים. בחלקה הראשון של התכנית, הוצגו הפערים המשמעותיים בין החברה הערבית לחברה היהודית במרבית המשתנים המצביעים על מידת ההשתתפות הנוכחית והעתידית בכלכלה הישראלית, כגון </w:t>
      </w:r>
      <w:r w:rsidR="00BF1A3F" w:rsidRPr="002D5E1D">
        <w:rPr>
          <w:rFonts w:ascii="David" w:hAnsi="David" w:cs="David"/>
          <w:sz w:val="24"/>
          <w:szCs w:val="24"/>
          <w:rtl/>
        </w:rPr>
        <w:t>–</w:t>
      </w:r>
      <w:r w:rsidR="00BF1A3F" w:rsidRPr="002D5E1D">
        <w:rPr>
          <w:rFonts w:ascii="David" w:hAnsi="David" w:cs="David" w:hint="cs"/>
          <w:sz w:val="24"/>
          <w:szCs w:val="24"/>
          <w:rtl/>
        </w:rPr>
        <w:t xml:space="preserve"> שיעורי תעסוקה, שיעור האקדמאים, ביצועי מערכת החינוך, נגישות לתחבורה ציבורית ואיתנות הרשות המקומית.</w:t>
      </w:r>
    </w:p>
    <w:p w:rsidR="00BF1A3F" w:rsidRPr="002D5E1D" w:rsidRDefault="00BF1A3F" w:rsidP="00BF1A3F">
      <w:pPr>
        <w:bidi/>
        <w:spacing w:line="360" w:lineRule="auto"/>
        <w:ind w:left="-46"/>
        <w:jc w:val="both"/>
        <w:rPr>
          <w:rFonts w:ascii="David" w:hAnsi="David" w:cs="David"/>
          <w:sz w:val="24"/>
          <w:szCs w:val="24"/>
          <w:rtl/>
        </w:rPr>
      </w:pPr>
      <w:r w:rsidRPr="002D5E1D">
        <w:rPr>
          <w:rFonts w:ascii="David" w:hAnsi="David" w:cs="David" w:hint="cs"/>
          <w:sz w:val="24"/>
          <w:szCs w:val="24"/>
          <w:rtl/>
        </w:rPr>
        <w:t>הפערים הללו על פי מחברי התכנית, נוצרו גם בשל מנגנוני תקצוב אשר הקצו בעבר משאבים ממשלתיים שלא בהכרח, בהתאם לקריטריונים מובחנים או בהתאם למדיניות לשילוב כלכלי של אוכלוסיות חלשות.</w:t>
      </w:r>
    </w:p>
    <w:p w:rsidR="00E25FDE" w:rsidRPr="002D5E1D" w:rsidRDefault="00BF1A3F" w:rsidP="007F317D">
      <w:pPr>
        <w:bidi/>
        <w:spacing w:line="360" w:lineRule="auto"/>
        <w:jc w:val="both"/>
        <w:rPr>
          <w:rFonts w:ascii="David" w:hAnsi="David" w:cs="David"/>
          <w:sz w:val="24"/>
          <w:szCs w:val="24"/>
          <w:rtl/>
        </w:rPr>
      </w:pPr>
      <w:r w:rsidRPr="002D5E1D">
        <w:rPr>
          <w:rFonts w:ascii="David" w:hAnsi="David" w:cs="David" w:hint="cs"/>
          <w:sz w:val="24"/>
          <w:szCs w:val="24"/>
          <w:rtl/>
        </w:rPr>
        <w:t xml:space="preserve">להלן מספר דוגמאות לפערים </w:t>
      </w:r>
      <w:r w:rsidRPr="002D5E1D">
        <w:rPr>
          <w:rFonts w:ascii="David" w:hAnsi="David" w:cs="David" w:hint="cs"/>
          <w:b/>
          <w:bCs/>
          <w:sz w:val="24"/>
          <w:szCs w:val="24"/>
          <w:rtl/>
        </w:rPr>
        <w:t xml:space="preserve">מתוך התכנית המערכתית לשילוב </w:t>
      </w:r>
      <w:r w:rsidR="00E25FDE" w:rsidRPr="002D5E1D">
        <w:rPr>
          <w:rFonts w:ascii="David" w:hAnsi="David" w:cs="David" w:hint="cs"/>
          <w:b/>
          <w:bCs/>
          <w:sz w:val="24"/>
          <w:szCs w:val="24"/>
          <w:rtl/>
        </w:rPr>
        <w:t>כלכלי של החברה הערבית</w:t>
      </w:r>
      <w:r w:rsidR="00E25FDE" w:rsidRPr="002D5E1D">
        <w:rPr>
          <w:rFonts w:ascii="David" w:hAnsi="David" w:cs="David" w:hint="cs"/>
          <w:sz w:val="24"/>
          <w:szCs w:val="24"/>
          <w:rtl/>
        </w:rPr>
        <w:t>:</w:t>
      </w:r>
    </w:p>
    <w:p w:rsidR="00E25FDE" w:rsidRDefault="00E25FDE" w:rsidP="00E25FDE">
      <w:pPr>
        <w:keepNext/>
        <w:bidi/>
        <w:spacing w:line="360" w:lineRule="auto"/>
        <w:ind w:left="-46"/>
        <w:jc w:val="center"/>
      </w:pPr>
      <w:r w:rsidRPr="00E25FDE">
        <w:rPr>
          <w:rFonts w:ascii="David" w:hAnsi="David" w:cs="David"/>
          <w:noProof/>
          <w:sz w:val="28"/>
          <w:szCs w:val="28"/>
          <w:rtl/>
        </w:rPr>
        <w:drawing>
          <wp:inline distT="0" distB="0" distL="0" distR="0">
            <wp:extent cx="3670046" cy="1626870"/>
            <wp:effectExtent l="19050" t="19050" r="25654" b="11430"/>
            <wp:docPr id="14" name="תמונה 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1"/>
                    <a:srcRect l="18750" t="22233" r="14062" b="30521"/>
                    <a:stretch>
                      <a:fillRect/>
                    </a:stretch>
                  </pic:blipFill>
                  <pic:spPr bwMode="auto">
                    <a:xfrm>
                      <a:off x="0" y="0"/>
                      <a:ext cx="3672893" cy="1628132"/>
                    </a:xfrm>
                    <a:prstGeom prst="rect">
                      <a:avLst/>
                    </a:prstGeom>
                    <a:noFill/>
                    <a:ln w="9525">
                      <a:solidFill>
                        <a:schemeClr val="accent1"/>
                      </a:solidFill>
                      <a:miter lim="800000"/>
                      <a:headEnd/>
                      <a:tailEnd/>
                    </a:ln>
                    <a:effectLst/>
                  </pic:spPr>
                </pic:pic>
              </a:graphicData>
            </a:graphic>
          </wp:inline>
        </w:drawing>
      </w:r>
    </w:p>
    <w:p w:rsidR="00E25FDE" w:rsidRPr="004D18A3" w:rsidRDefault="00E25FDE" w:rsidP="007F317D">
      <w:pPr>
        <w:pStyle w:val="af0"/>
        <w:bidi/>
        <w:jc w:val="center"/>
        <w:rPr>
          <w:rFonts w:ascii="David" w:hAnsi="David" w:cs="David"/>
          <w:color w:val="0070C0"/>
          <w:sz w:val="40"/>
          <w:szCs w:val="40"/>
          <w:rtl/>
        </w:rPr>
      </w:pPr>
      <w:r w:rsidRPr="004D18A3">
        <w:rPr>
          <w:rFonts w:ascii="David" w:hAnsi="David" w:cs="David"/>
          <w:color w:val="0070C0"/>
          <w:sz w:val="24"/>
          <w:szCs w:val="24"/>
          <w:u w:val="single"/>
          <w:rtl/>
        </w:rPr>
        <w:t xml:space="preserve">תרשים </w:t>
      </w:r>
      <w:r w:rsidR="007F317D">
        <w:rPr>
          <w:rFonts w:ascii="David" w:hAnsi="David" w:cs="David" w:hint="cs"/>
          <w:color w:val="0070C0"/>
          <w:sz w:val="24"/>
          <w:szCs w:val="24"/>
          <w:u w:val="single"/>
          <w:rtl/>
        </w:rPr>
        <w:t>4</w:t>
      </w:r>
      <w:r w:rsidRPr="004D18A3">
        <w:rPr>
          <w:rFonts w:ascii="David" w:hAnsi="David" w:cs="David"/>
          <w:noProof/>
          <w:color w:val="0070C0"/>
          <w:sz w:val="24"/>
          <w:szCs w:val="24"/>
          <w:rtl/>
        </w:rPr>
        <w:t>: פערים בהישגים לימודיים בין יהודים וערבים בישראל</w:t>
      </w:r>
    </w:p>
    <w:p w:rsidR="00BF1A3F" w:rsidRDefault="00BF1A3F" w:rsidP="00E25FDE">
      <w:pPr>
        <w:bidi/>
        <w:spacing w:line="360" w:lineRule="auto"/>
        <w:ind w:left="-46"/>
        <w:jc w:val="both"/>
        <w:rPr>
          <w:rFonts w:ascii="David" w:hAnsi="David" w:cs="David"/>
          <w:sz w:val="28"/>
          <w:szCs w:val="28"/>
          <w:rtl/>
        </w:rPr>
      </w:pPr>
      <w:r>
        <w:rPr>
          <w:rFonts w:ascii="David" w:hAnsi="David" w:cs="David" w:hint="cs"/>
          <w:sz w:val="28"/>
          <w:szCs w:val="28"/>
          <w:rtl/>
        </w:rPr>
        <w:t xml:space="preserve"> </w:t>
      </w:r>
    </w:p>
    <w:p w:rsidR="00E25FDE" w:rsidRDefault="00E25FDE" w:rsidP="00E25FDE">
      <w:pPr>
        <w:keepNext/>
        <w:bidi/>
        <w:spacing w:line="360" w:lineRule="auto"/>
        <w:ind w:left="-46"/>
        <w:jc w:val="center"/>
      </w:pPr>
      <w:r w:rsidRPr="00E25FDE">
        <w:rPr>
          <w:rFonts w:ascii="David" w:hAnsi="David" w:cs="David"/>
          <w:noProof/>
          <w:sz w:val="28"/>
          <w:szCs w:val="28"/>
          <w:rtl/>
        </w:rPr>
        <w:drawing>
          <wp:inline distT="0" distB="0" distL="0" distR="0">
            <wp:extent cx="2880933" cy="1860957"/>
            <wp:effectExtent l="19050" t="19050" r="14667" b="24993"/>
            <wp:docPr id="25" name="תמונה 2"/>
            <wp:cNvGraphicFramePr/>
            <a:graphic xmlns:a="http://schemas.openxmlformats.org/drawingml/2006/main">
              <a:graphicData uri="http://schemas.openxmlformats.org/drawingml/2006/picture">
                <pic:pic xmlns:pic="http://schemas.openxmlformats.org/drawingml/2006/picture">
                  <pic:nvPicPr>
                    <pic:cNvPr id="1027" name="Picture 3"/>
                    <pic:cNvPicPr>
                      <a:picLocks noChangeAspect="1" noChangeArrowheads="1"/>
                    </pic:cNvPicPr>
                  </pic:nvPicPr>
                  <pic:blipFill>
                    <a:blip r:embed="rId12"/>
                    <a:srcRect l="19341" t="22934" r="19412" b="15909"/>
                    <a:stretch>
                      <a:fillRect/>
                    </a:stretch>
                  </pic:blipFill>
                  <pic:spPr bwMode="auto">
                    <a:xfrm>
                      <a:off x="0" y="0"/>
                      <a:ext cx="2886818" cy="1864759"/>
                    </a:xfrm>
                    <a:prstGeom prst="rect">
                      <a:avLst/>
                    </a:prstGeom>
                    <a:noFill/>
                    <a:ln w="9525">
                      <a:solidFill>
                        <a:schemeClr val="accent1"/>
                      </a:solidFill>
                      <a:miter lim="800000"/>
                      <a:headEnd/>
                      <a:tailEnd/>
                    </a:ln>
                    <a:effectLst/>
                  </pic:spPr>
                </pic:pic>
              </a:graphicData>
            </a:graphic>
          </wp:inline>
        </w:drawing>
      </w:r>
    </w:p>
    <w:p w:rsidR="00E25FDE" w:rsidRPr="004D18A3" w:rsidRDefault="00E25FDE" w:rsidP="007F317D">
      <w:pPr>
        <w:pStyle w:val="af0"/>
        <w:bidi/>
        <w:jc w:val="center"/>
        <w:rPr>
          <w:rFonts w:ascii="David" w:hAnsi="David" w:cs="David"/>
          <w:color w:val="0070C0"/>
          <w:sz w:val="24"/>
          <w:szCs w:val="24"/>
          <w:rtl/>
        </w:rPr>
      </w:pPr>
      <w:r w:rsidRPr="004D18A3">
        <w:rPr>
          <w:rFonts w:ascii="David" w:hAnsi="David" w:cs="David"/>
          <w:color w:val="0070C0"/>
          <w:sz w:val="24"/>
          <w:szCs w:val="24"/>
          <w:u w:val="single"/>
          <w:rtl/>
        </w:rPr>
        <w:t xml:space="preserve">תרשים </w:t>
      </w:r>
      <w:r w:rsidR="007F317D">
        <w:rPr>
          <w:rFonts w:ascii="David" w:hAnsi="David" w:cs="David" w:hint="cs"/>
          <w:color w:val="0070C0"/>
          <w:sz w:val="24"/>
          <w:szCs w:val="24"/>
          <w:u w:val="single"/>
          <w:rtl/>
        </w:rPr>
        <w:t>5</w:t>
      </w:r>
      <w:r w:rsidRPr="004D18A3">
        <w:rPr>
          <w:rFonts w:ascii="David" w:hAnsi="David" w:cs="David"/>
          <w:noProof/>
          <w:color w:val="0070C0"/>
          <w:sz w:val="24"/>
          <w:szCs w:val="24"/>
          <w:rtl/>
        </w:rPr>
        <w:t>: פערים בזכאות לתעודת בגרות איכותית בין ערבים ויהודים</w:t>
      </w:r>
    </w:p>
    <w:p w:rsidR="0039226B" w:rsidRDefault="00E25FDE" w:rsidP="0039226B">
      <w:pPr>
        <w:pStyle w:val="2"/>
        <w:keepNext/>
        <w:bidi/>
        <w:jc w:val="center"/>
      </w:pPr>
      <w:bookmarkStart w:id="13" w:name="_Toc4948720"/>
      <w:bookmarkStart w:id="14" w:name="_Toc4950574"/>
      <w:r w:rsidRPr="00E25FDE">
        <w:rPr>
          <w:rFonts w:ascii="David" w:hAnsi="David" w:cs="David"/>
          <w:noProof/>
          <w:sz w:val="32"/>
          <w:szCs w:val="32"/>
          <w:rtl/>
        </w:rPr>
        <w:lastRenderedPageBreak/>
        <w:drawing>
          <wp:inline distT="0" distB="0" distL="0" distR="0">
            <wp:extent cx="4253027" cy="2033046"/>
            <wp:effectExtent l="19050" t="19050" r="14173" b="24354"/>
            <wp:docPr id="29" name="תמונה 4"/>
            <wp:cNvGraphicFramePr/>
            <a:graphic xmlns:a="http://schemas.openxmlformats.org/drawingml/2006/main">
              <a:graphicData uri="http://schemas.openxmlformats.org/drawingml/2006/picture">
                <pic:pic xmlns:pic="http://schemas.openxmlformats.org/drawingml/2006/picture">
                  <pic:nvPicPr>
                    <pic:cNvPr id="2051" name="Picture 3"/>
                    <pic:cNvPicPr>
                      <a:picLocks noChangeAspect="1" noChangeArrowheads="1"/>
                    </pic:cNvPicPr>
                  </pic:nvPicPr>
                  <pic:blipFill>
                    <a:blip r:embed="rId13"/>
                    <a:srcRect l="11102" t="35105" r="6249" b="16625"/>
                    <a:stretch>
                      <a:fillRect/>
                    </a:stretch>
                  </pic:blipFill>
                  <pic:spPr bwMode="auto">
                    <a:xfrm>
                      <a:off x="0" y="0"/>
                      <a:ext cx="4263159" cy="2037889"/>
                    </a:xfrm>
                    <a:prstGeom prst="rect">
                      <a:avLst/>
                    </a:prstGeom>
                    <a:noFill/>
                    <a:ln w="9525">
                      <a:solidFill>
                        <a:schemeClr val="accent1"/>
                      </a:solidFill>
                      <a:miter lim="800000"/>
                      <a:headEnd/>
                      <a:tailEnd/>
                    </a:ln>
                    <a:effectLst/>
                  </pic:spPr>
                </pic:pic>
              </a:graphicData>
            </a:graphic>
          </wp:inline>
        </w:drawing>
      </w:r>
    </w:p>
    <w:p w:rsidR="00E25FDE" w:rsidRPr="004D18A3" w:rsidRDefault="0039226B" w:rsidP="003D4D04">
      <w:pPr>
        <w:pStyle w:val="af0"/>
        <w:bidi/>
        <w:spacing w:line="360" w:lineRule="auto"/>
        <w:jc w:val="center"/>
        <w:rPr>
          <w:rFonts w:ascii="David" w:hAnsi="David" w:cs="David"/>
          <w:color w:val="0070C0"/>
          <w:sz w:val="44"/>
          <w:szCs w:val="44"/>
          <w:rtl/>
        </w:rPr>
      </w:pPr>
      <w:r w:rsidRPr="004D18A3">
        <w:rPr>
          <w:rFonts w:ascii="David" w:hAnsi="David" w:cs="David"/>
          <w:color w:val="0070C0"/>
          <w:sz w:val="24"/>
          <w:szCs w:val="24"/>
          <w:u w:val="single"/>
          <w:rtl/>
        </w:rPr>
        <w:t xml:space="preserve">תרשים </w:t>
      </w:r>
      <w:r w:rsidR="003D4D04">
        <w:rPr>
          <w:rFonts w:ascii="David" w:hAnsi="David" w:cs="David" w:hint="cs"/>
          <w:color w:val="0070C0"/>
          <w:sz w:val="24"/>
          <w:szCs w:val="24"/>
          <w:u w:val="single"/>
          <w:rtl/>
        </w:rPr>
        <w:t>6</w:t>
      </w:r>
      <w:r w:rsidRPr="004D18A3">
        <w:rPr>
          <w:rFonts w:ascii="David" w:hAnsi="David" w:cs="David"/>
          <w:noProof/>
          <w:color w:val="0070C0"/>
          <w:sz w:val="24"/>
          <w:szCs w:val="24"/>
          <w:rtl/>
        </w:rPr>
        <w:t>: פערים בתקציב כולל של רשויות מקומיות לתושב, בין רשויות יהודיות לרשויות ערביות</w:t>
      </w:r>
    </w:p>
    <w:p w:rsidR="004E6637" w:rsidRPr="00714CE6" w:rsidRDefault="00AB7D1E" w:rsidP="00714CE6">
      <w:pPr>
        <w:pStyle w:val="1"/>
        <w:bidi/>
        <w:rPr>
          <w:rFonts w:ascii="David" w:hAnsi="David" w:cs="David"/>
          <w:rtl/>
        </w:rPr>
      </w:pPr>
      <w:bookmarkStart w:id="15" w:name="_Toc5984338"/>
      <w:r w:rsidRPr="00714CE6">
        <w:rPr>
          <w:rFonts w:ascii="David" w:hAnsi="David" w:cs="David"/>
          <w:rtl/>
        </w:rPr>
        <w:t>השפעת השלטון המקומי על התפתחות הפשיעה</w:t>
      </w:r>
      <w:bookmarkEnd w:id="13"/>
      <w:bookmarkEnd w:id="14"/>
      <w:bookmarkEnd w:id="15"/>
    </w:p>
    <w:p w:rsidR="008D604D" w:rsidRPr="004D18A3" w:rsidRDefault="008D604D" w:rsidP="00126B6E">
      <w:pPr>
        <w:bidi/>
        <w:spacing w:line="360" w:lineRule="auto"/>
        <w:jc w:val="both"/>
        <w:rPr>
          <w:rFonts w:ascii="Arial" w:hAnsi="Arial" w:cs="David"/>
          <w:sz w:val="24"/>
          <w:szCs w:val="24"/>
          <w:rtl/>
        </w:rPr>
      </w:pPr>
      <w:r w:rsidRPr="004D18A3">
        <w:rPr>
          <w:rFonts w:ascii="Arial" w:hAnsi="Arial" w:cs="David" w:hint="cs"/>
          <w:sz w:val="24"/>
          <w:szCs w:val="24"/>
          <w:rtl/>
        </w:rPr>
        <w:t>השלטון המקומי הוא מרכיב מרכזי וחשוב בניהול שגרת החיים בקהילה וביצירת סביבה בטוחה וחיונית והנו בעל השפעה משמעותית על מניעת פשיעה וסטיות חברתיות אחרות. הרשויות המקומיות בחברה הערבית התפתחו במרוצת השנים והפכו למנגנון מרכזי בחיי תושביהם אך גם לזירה של תחרות פוליטית וחברתית פנימית.</w:t>
      </w:r>
    </w:p>
    <w:p w:rsidR="001D7E2E" w:rsidRPr="004D18A3" w:rsidRDefault="008D604D" w:rsidP="005C2A9B">
      <w:pPr>
        <w:bidi/>
        <w:spacing w:line="360" w:lineRule="auto"/>
        <w:jc w:val="both"/>
        <w:rPr>
          <w:rFonts w:ascii="Arial" w:hAnsi="Arial" w:cs="David"/>
          <w:sz w:val="24"/>
          <w:szCs w:val="24"/>
          <w:rtl/>
        </w:rPr>
      </w:pPr>
      <w:r w:rsidRPr="004D18A3">
        <w:rPr>
          <w:rFonts w:ascii="Arial" w:hAnsi="Arial" w:cs="David" w:hint="cs"/>
          <w:sz w:val="24"/>
          <w:szCs w:val="24"/>
          <w:rtl/>
        </w:rPr>
        <w:t>הרשויות הערביות מהוות מדד לבחינת מצבה של האוכלוסייה הערבית בישראל ובחינת תפקודן ומצבן תאפשר הבנה טובה יותר של מצבה בניהול שגרת חייה. מצבה הסוציו-אקונומי של החברה הערבית משפיע ישירות על מצבן של הרשויות המקומיות הערביות, על התנהלותן הכספית</w:t>
      </w:r>
      <w:r w:rsidR="00DA2D55" w:rsidRPr="004D18A3">
        <w:rPr>
          <w:rFonts w:ascii="Arial" w:hAnsi="Arial" w:cs="David" w:hint="cs"/>
          <w:sz w:val="24"/>
          <w:szCs w:val="24"/>
          <w:rtl/>
        </w:rPr>
        <w:t xml:space="preserve">, על איכות ניהולן ועל היקף השירותים שהן מספקות </w:t>
      </w:r>
      <w:sdt>
        <w:sdtPr>
          <w:rPr>
            <w:rFonts w:ascii="Arial" w:hAnsi="Arial" w:cs="David" w:hint="cs"/>
            <w:sz w:val="24"/>
            <w:szCs w:val="24"/>
            <w:rtl/>
          </w:rPr>
          <w:id w:val="668340964"/>
          <w:citation/>
        </w:sdtPr>
        <w:sdtContent>
          <w:r w:rsidR="002B306D" w:rsidRPr="004D18A3">
            <w:rPr>
              <w:rFonts w:ascii="Arial" w:hAnsi="Arial" w:cs="David"/>
              <w:sz w:val="24"/>
              <w:szCs w:val="24"/>
              <w:rtl/>
            </w:rPr>
            <w:fldChar w:fldCharType="begin"/>
          </w:r>
          <w:r w:rsidR="00DA2D55" w:rsidRPr="004D18A3">
            <w:rPr>
              <w:rFonts w:ascii="Arial" w:hAnsi="Arial" w:cs="David"/>
              <w:sz w:val="24"/>
              <w:szCs w:val="24"/>
              <w:rtl/>
            </w:rPr>
            <w:instrText xml:space="preserve"> </w:instrText>
          </w:r>
          <w:r w:rsidR="00DA2D55" w:rsidRPr="004D18A3">
            <w:rPr>
              <w:rFonts w:ascii="Arial" w:hAnsi="Arial" w:cs="David" w:hint="cs"/>
              <w:sz w:val="24"/>
              <w:szCs w:val="24"/>
            </w:rPr>
            <w:instrText>CITATION</w:instrText>
          </w:r>
          <w:r w:rsidR="00DA2D55" w:rsidRPr="004D18A3">
            <w:rPr>
              <w:rFonts w:ascii="Arial" w:hAnsi="Arial" w:cs="David" w:hint="cs"/>
              <w:sz w:val="24"/>
              <w:szCs w:val="24"/>
              <w:rtl/>
            </w:rPr>
            <w:instrText xml:space="preserve"> יוס11 \</w:instrText>
          </w:r>
          <w:r w:rsidR="00DA2D55" w:rsidRPr="004D18A3">
            <w:rPr>
              <w:rFonts w:ascii="Arial" w:hAnsi="Arial" w:cs="David" w:hint="cs"/>
              <w:sz w:val="24"/>
              <w:szCs w:val="24"/>
            </w:rPr>
            <w:instrText>l 1037</w:instrText>
          </w:r>
          <w:r w:rsidR="00DA2D55" w:rsidRPr="004D18A3">
            <w:rPr>
              <w:rFonts w:ascii="Arial" w:hAnsi="Arial" w:cs="David"/>
              <w:sz w:val="24"/>
              <w:szCs w:val="24"/>
              <w:rtl/>
            </w:rPr>
            <w:instrText xml:space="preserve"> </w:instrText>
          </w:r>
          <w:r w:rsidR="002B306D" w:rsidRPr="004D18A3">
            <w:rPr>
              <w:rFonts w:ascii="Arial" w:hAnsi="Arial" w:cs="David"/>
              <w:sz w:val="24"/>
              <w:szCs w:val="24"/>
              <w:rtl/>
            </w:rPr>
            <w:fldChar w:fldCharType="separate"/>
          </w:r>
          <w:r w:rsidR="00DA2D55" w:rsidRPr="004D18A3">
            <w:rPr>
              <w:rFonts w:ascii="Arial" w:hAnsi="Arial" w:cs="David" w:hint="cs"/>
              <w:noProof/>
              <w:sz w:val="24"/>
              <w:szCs w:val="24"/>
              <w:rtl/>
            </w:rPr>
            <w:t>(מוסטפא י' ג', 2011)</w:t>
          </w:r>
          <w:r w:rsidR="002B306D" w:rsidRPr="004D18A3">
            <w:rPr>
              <w:rFonts w:ascii="Arial" w:hAnsi="Arial" w:cs="David"/>
              <w:sz w:val="24"/>
              <w:szCs w:val="24"/>
              <w:rtl/>
            </w:rPr>
            <w:fldChar w:fldCharType="end"/>
          </w:r>
        </w:sdtContent>
      </w:sdt>
      <w:r w:rsidR="00AA7D69" w:rsidRPr="004D18A3">
        <w:rPr>
          <w:rFonts w:ascii="Arial" w:hAnsi="Arial" w:cs="David" w:hint="cs"/>
          <w:sz w:val="24"/>
          <w:szCs w:val="24"/>
          <w:rtl/>
        </w:rPr>
        <w:t xml:space="preserve">. היישובים הערביים מאופיינים במצב סוציו-אקונומי נמוך ותושביהם סובלים משיעורי עוני ואבטלה גבוהים. כמעט כל הרשויות הערביות בישראל מדורגות בארבעת האשכולות הנמוכים (מתוך 10) של המדד החברתי כלכלי של הלשכה המרכזית לסטטיסטיקה ואין אף רשות אחת שמדורגת בארבעת האשכולות הגבוהים </w:t>
      </w:r>
      <w:sdt>
        <w:sdtPr>
          <w:rPr>
            <w:rFonts w:ascii="Arial" w:hAnsi="Arial" w:cs="David" w:hint="cs"/>
            <w:sz w:val="24"/>
            <w:szCs w:val="24"/>
            <w:rtl/>
          </w:rPr>
          <w:id w:val="668340965"/>
          <w:citation/>
        </w:sdtPr>
        <w:sdtContent>
          <w:r w:rsidR="002B306D" w:rsidRPr="004D18A3">
            <w:rPr>
              <w:rFonts w:ascii="Arial" w:hAnsi="Arial" w:cs="David"/>
              <w:sz w:val="24"/>
              <w:szCs w:val="24"/>
              <w:rtl/>
            </w:rPr>
            <w:fldChar w:fldCharType="begin"/>
          </w:r>
          <w:r w:rsidR="00AA7D69" w:rsidRPr="004D18A3">
            <w:rPr>
              <w:rFonts w:ascii="Arial" w:hAnsi="Arial" w:cs="David"/>
              <w:sz w:val="24"/>
              <w:szCs w:val="24"/>
              <w:rtl/>
            </w:rPr>
            <w:instrText xml:space="preserve"> </w:instrText>
          </w:r>
          <w:r w:rsidR="00AA7D69" w:rsidRPr="004D18A3">
            <w:rPr>
              <w:rFonts w:ascii="Arial" w:hAnsi="Arial" w:cs="David" w:hint="cs"/>
              <w:sz w:val="24"/>
              <w:szCs w:val="24"/>
            </w:rPr>
            <w:instrText>CITATION</w:instrText>
          </w:r>
          <w:r w:rsidR="00AA7D69" w:rsidRPr="004D18A3">
            <w:rPr>
              <w:rFonts w:ascii="Arial" w:hAnsi="Arial" w:cs="David" w:hint="cs"/>
              <w:sz w:val="24"/>
              <w:szCs w:val="24"/>
              <w:rtl/>
            </w:rPr>
            <w:instrText xml:space="preserve"> יוס11 \</w:instrText>
          </w:r>
          <w:r w:rsidR="00AA7D69" w:rsidRPr="004D18A3">
            <w:rPr>
              <w:rFonts w:ascii="Arial" w:hAnsi="Arial" w:cs="David" w:hint="cs"/>
              <w:sz w:val="24"/>
              <w:szCs w:val="24"/>
            </w:rPr>
            <w:instrText>l 1037</w:instrText>
          </w:r>
          <w:r w:rsidR="00AA7D69" w:rsidRPr="004D18A3">
            <w:rPr>
              <w:rFonts w:ascii="Arial" w:hAnsi="Arial" w:cs="David"/>
              <w:sz w:val="24"/>
              <w:szCs w:val="24"/>
              <w:rtl/>
            </w:rPr>
            <w:instrText xml:space="preserve"> </w:instrText>
          </w:r>
          <w:r w:rsidR="002B306D" w:rsidRPr="004D18A3">
            <w:rPr>
              <w:rFonts w:ascii="Arial" w:hAnsi="Arial" w:cs="David"/>
              <w:sz w:val="24"/>
              <w:szCs w:val="24"/>
              <w:rtl/>
            </w:rPr>
            <w:fldChar w:fldCharType="separate"/>
          </w:r>
          <w:r w:rsidR="00AA7D69" w:rsidRPr="004D18A3">
            <w:rPr>
              <w:rFonts w:ascii="Arial" w:hAnsi="Arial" w:cs="David" w:hint="cs"/>
              <w:noProof/>
              <w:sz w:val="24"/>
              <w:szCs w:val="24"/>
              <w:rtl/>
            </w:rPr>
            <w:t>(מוסטפא י' ג', 2011)</w:t>
          </w:r>
          <w:r w:rsidR="002B306D" w:rsidRPr="004D18A3">
            <w:rPr>
              <w:rFonts w:ascii="Arial" w:hAnsi="Arial" w:cs="David"/>
              <w:sz w:val="24"/>
              <w:szCs w:val="24"/>
              <w:rtl/>
            </w:rPr>
            <w:fldChar w:fldCharType="end"/>
          </w:r>
        </w:sdtContent>
      </w:sdt>
      <w:r w:rsidR="00AA7D69" w:rsidRPr="004D18A3">
        <w:rPr>
          <w:rFonts w:ascii="Arial" w:hAnsi="Arial" w:cs="David" w:hint="cs"/>
          <w:sz w:val="24"/>
          <w:szCs w:val="24"/>
          <w:rtl/>
        </w:rPr>
        <w:t xml:space="preserve">. לנבחרי הציבור ברשות המקומית יש חשיבות רבה בהשפעה על תפקוד הרשות המקומית ועל ניהול שגרת החיים ביישוב. חשיבות זו נובעת מסמכותם, מעמדם ותפקידם המוענקים להם מכוח החוקים, התקנות, חוקי העזר והנהלים בשלטון המקומי. ברוב הרשויות המקומיות הערביות בישראל, רווחת תרבות שלטונית ריכוזית אינדיבידואלית שמקורה בחברה מסורתית, פטריארכאלית וחמולתית. מגמה זו אף מתחזקת במשך השנים על רקע עליית כוחן של רשימות מקומיות על חשבון נציגי מפלגות ארציות </w:t>
      </w:r>
      <w:sdt>
        <w:sdtPr>
          <w:rPr>
            <w:rFonts w:ascii="Arial" w:hAnsi="Arial" w:cs="David" w:hint="cs"/>
            <w:sz w:val="24"/>
            <w:szCs w:val="24"/>
            <w:rtl/>
          </w:rPr>
          <w:id w:val="668340966"/>
          <w:citation/>
        </w:sdtPr>
        <w:sdtContent>
          <w:r w:rsidR="002B306D" w:rsidRPr="004D18A3">
            <w:rPr>
              <w:rFonts w:ascii="Arial" w:hAnsi="Arial" w:cs="David"/>
              <w:sz w:val="24"/>
              <w:szCs w:val="24"/>
              <w:rtl/>
            </w:rPr>
            <w:fldChar w:fldCharType="begin"/>
          </w:r>
          <w:r w:rsidR="00AA7D69" w:rsidRPr="004D18A3">
            <w:rPr>
              <w:rFonts w:ascii="Arial" w:hAnsi="Arial" w:cs="David"/>
              <w:sz w:val="24"/>
              <w:szCs w:val="24"/>
              <w:rtl/>
            </w:rPr>
            <w:instrText xml:space="preserve"> </w:instrText>
          </w:r>
          <w:r w:rsidR="00AA7D69" w:rsidRPr="004D18A3">
            <w:rPr>
              <w:rFonts w:ascii="Arial" w:hAnsi="Arial" w:cs="David" w:hint="cs"/>
              <w:sz w:val="24"/>
              <w:szCs w:val="24"/>
            </w:rPr>
            <w:instrText>CITATION</w:instrText>
          </w:r>
          <w:r w:rsidR="00AA7D69" w:rsidRPr="004D18A3">
            <w:rPr>
              <w:rFonts w:ascii="Arial" w:hAnsi="Arial" w:cs="David" w:hint="cs"/>
              <w:sz w:val="24"/>
              <w:szCs w:val="24"/>
              <w:rtl/>
            </w:rPr>
            <w:instrText xml:space="preserve"> מוה11 \</w:instrText>
          </w:r>
          <w:r w:rsidR="00AA7D69" w:rsidRPr="004D18A3">
            <w:rPr>
              <w:rFonts w:ascii="Arial" w:hAnsi="Arial" w:cs="David" w:hint="cs"/>
              <w:sz w:val="24"/>
              <w:szCs w:val="24"/>
            </w:rPr>
            <w:instrText>l 1037</w:instrText>
          </w:r>
          <w:r w:rsidR="00AA7D69" w:rsidRPr="004D18A3">
            <w:rPr>
              <w:rFonts w:ascii="Arial" w:hAnsi="Arial" w:cs="David"/>
              <w:sz w:val="24"/>
              <w:szCs w:val="24"/>
              <w:rtl/>
            </w:rPr>
            <w:instrText xml:space="preserve"> </w:instrText>
          </w:r>
          <w:r w:rsidR="002B306D" w:rsidRPr="004D18A3">
            <w:rPr>
              <w:rFonts w:ascii="Arial" w:hAnsi="Arial" w:cs="David"/>
              <w:sz w:val="24"/>
              <w:szCs w:val="24"/>
              <w:rtl/>
            </w:rPr>
            <w:fldChar w:fldCharType="separate"/>
          </w:r>
          <w:r w:rsidR="00AA7D69" w:rsidRPr="004D18A3">
            <w:rPr>
              <w:rFonts w:ascii="Arial" w:hAnsi="Arial" w:cs="David" w:hint="cs"/>
              <w:noProof/>
              <w:sz w:val="24"/>
              <w:szCs w:val="24"/>
              <w:rtl/>
            </w:rPr>
            <w:t>(מוסטפא מ' , 2011)</w:t>
          </w:r>
          <w:r w:rsidR="002B306D" w:rsidRPr="004D18A3">
            <w:rPr>
              <w:rFonts w:ascii="Arial" w:hAnsi="Arial" w:cs="David"/>
              <w:sz w:val="24"/>
              <w:szCs w:val="24"/>
              <w:rtl/>
            </w:rPr>
            <w:fldChar w:fldCharType="end"/>
          </w:r>
        </w:sdtContent>
      </w:sdt>
      <w:r w:rsidR="00AA7D69" w:rsidRPr="004D18A3">
        <w:rPr>
          <w:rFonts w:ascii="Arial" w:hAnsi="Arial" w:cs="David" w:hint="cs"/>
          <w:sz w:val="24"/>
          <w:szCs w:val="24"/>
          <w:rtl/>
        </w:rPr>
        <w:t xml:space="preserve">. עמדת הכוח הנובעת ממעמד ראש הרשות המקומית הביאה לעלייה במספר המתמודדים על משרות ראש הרשות. אלה, עקפו את ההנהגה המסורתית וניצלו את מבנה החמולה כדי לקבל לגיטימציה ולהיבחר לכהונה. מחקרים שנערכו בנושא הצביעו על עלייה מובהקת באחוז ראשי הרשויות הערביים שבחירתם מבוססת על שיקולים משפחתיים-חמולתיים </w:t>
      </w:r>
      <w:sdt>
        <w:sdtPr>
          <w:rPr>
            <w:rFonts w:ascii="Arial" w:hAnsi="Arial" w:cs="David" w:hint="cs"/>
            <w:sz w:val="24"/>
            <w:szCs w:val="24"/>
            <w:rtl/>
          </w:rPr>
          <w:id w:val="668340967"/>
          <w:citation/>
        </w:sdtPr>
        <w:sdtContent>
          <w:r w:rsidR="002B306D" w:rsidRPr="004D18A3">
            <w:rPr>
              <w:rFonts w:ascii="Arial" w:hAnsi="Arial" w:cs="David"/>
              <w:sz w:val="24"/>
              <w:szCs w:val="24"/>
              <w:rtl/>
            </w:rPr>
            <w:fldChar w:fldCharType="begin"/>
          </w:r>
          <w:r w:rsidR="005C2A9B" w:rsidRPr="004D18A3">
            <w:rPr>
              <w:rFonts w:ascii="Arial" w:hAnsi="Arial" w:cs="David"/>
              <w:sz w:val="24"/>
              <w:szCs w:val="24"/>
              <w:rtl/>
            </w:rPr>
            <w:instrText xml:space="preserve"> </w:instrText>
          </w:r>
          <w:r w:rsidR="005C2A9B" w:rsidRPr="004D18A3">
            <w:rPr>
              <w:rFonts w:ascii="Arial" w:hAnsi="Arial" w:cs="David" w:hint="cs"/>
              <w:sz w:val="24"/>
              <w:szCs w:val="24"/>
            </w:rPr>
            <w:instrText>CITATION</w:instrText>
          </w:r>
          <w:r w:rsidR="005C2A9B" w:rsidRPr="004D18A3">
            <w:rPr>
              <w:rFonts w:ascii="Arial" w:hAnsi="Arial" w:cs="David" w:hint="cs"/>
              <w:sz w:val="24"/>
              <w:szCs w:val="24"/>
              <w:rtl/>
            </w:rPr>
            <w:instrText xml:space="preserve"> מוה11 \</w:instrText>
          </w:r>
          <w:r w:rsidR="005C2A9B" w:rsidRPr="004D18A3">
            <w:rPr>
              <w:rFonts w:ascii="Arial" w:hAnsi="Arial" w:cs="David" w:hint="cs"/>
              <w:sz w:val="24"/>
              <w:szCs w:val="24"/>
            </w:rPr>
            <w:instrText>l 1037</w:instrText>
          </w:r>
          <w:r w:rsidR="005C2A9B" w:rsidRPr="004D18A3">
            <w:rPr>
              <w:rFonts w:ascii="Arial" w:hAnsi="Arial" w:cs="David"/>
              <w:sz w:val="24"/>
              <w:szCs w:val="24"/>
              <w:rtl/>
            </w:rPr>
            <w:instrText xml:space="preserve"> </w:instrText>
          </w:r>
          <w:r w:rsidR="002B306D" w:rsidRPr="004D18A3">
            <w:rPr>
              <w:rFonts w:ascii="Arial" w:hAnsi="Arial" w:cs="David"/>
              <w:sz w:val="24"/>
              <w:szCs w:val="24"/>
              <w:rtl/>
            </w:rPr>
            <w:fldChar w:fldCharType="separate"/>
          </w:r>
          <w:r w:rsidR="005C2A9B" w:rsidRPr="004D18A3">
            <w:rPr>
              <w:rFonts w:ascii="Arial" w:hAnsi="Arial" w:cs="David" w:hint="cs"/>
              <w:noProof/>
              <w:sz w:val="24"/>
              <w:szCs w:val="24"/>
              <w:rtl/>
            </w:rPr>
            <w:t>(מוסטפא מ' , 2011)</w:t>
          </w:r>
          <w:r w:rsidR="002B306D" w:rsidRPr="004D18A3">
            <w:rPr>
              <w:rFonts w:ascii="Arial" w:hAnsi="Arial" w:cs="David"/>
              <w:sz w:val="24"/>
              <w:szCs w:val="24"/>
              <w:rtl/>
            </w:rPr>
            <w:fldChar w:fldCharType="end"/>
          </w:r>
        </w:sdtContent>
      </w:sdt>
      <w:r w:rsidR="005C2A9B" w:rsidRPr="004D18A3">
        <w:rPr>
          <w:rFonts w:ascii="Arial" w:hAnsi="Arial" w:cs="David" w:hint="cs"/>
          <w:sz w:val="24"/>
          <w:szCs w:val="24"/>
          <w:rtl/>
        </w:rPr>
        <w:t xml:space="preserve">. </w:t>
      </w:r>
      <w:r w:rsidR="001D7E2E" w:rsidRPr="004D18A3">
        <w:rPr>
          <w:rFonts w:ascii="Arial" w:hAnsi="Arial" w:cs="David" w:hint="cs"/>
          <w:sz w:val="24"/>
          <w:szCs w:val="24"/>
          <w:rtl/>
        </w:rPr>
        <w:t xml:space="preserve">מעמדה ועוצמתה של החמולה נובעת מתהליך ההתפרקות של החברה הערבית המסורתית לאחר קום המדינה ושינוי שעברו הערבים ממעמד של רוב למעמד של מיעוט. המשפחה הייתה אבן הפינה היחידה שנותרה על כנה כמבנה חברתי יציב יחסית ותומך מה שמיצב אותה כבעלת עוצמה רבה, הן חברתית והן פוליטית. כך בשנים הראשונות שלאחר קום המדינה הייתה החמולה יחידה מגובשת שהתבטאה בכוח פוליטי בהתאם לגודלה ועוצמתה. החמולה היוותה גורם מקשר בין שני כוחות משמעותיים שהובילו לנאמנות </w:t>
      </w:r>
      <w:r w:rsidR="001D7E2E" w:rsidRPr="004D18A3">
        <w:rPr>
          <w:rFonts w:ascii="Arial" w:hAnsi="Arial" w:cs="David"/>
          <w:sz w:val="24"/>
          <w:szCs w:val="24"/>
          <w:rtl/>
        </w:rPr>
        <w:t>–</w:t>
      </w:r>
      <w:r w:rsidR="001D7E2E" w:rsidRPr="004D18A3">
        <w:rPr>
          <w:rFonts w:ascii="Arial" w:hAnsi="Arial" w:cs="David" w:hint="cs"/>
          <w:sz w:val="24"/>
          <w:szCs w:val="24"/>
          <w:rtl/>
        </w:rPr>
        <w:t xml:space="preserve"> המשפחה והדת</w:t>
      </w:r>
      <w:sdt>
        <w:sdtPr>
          <w:rPr>
            <w:rFonts w:ascii="Arial" w:hAnsi="Arial" w:cs="David" w:hint="cs"/>
            <w:sz w:val="24"/>
            <w:szCs w:val="24"/>
            <w:rtl/>
          </w:rPr>
          <w:id w:val="668340972"/>
          <w:citation/>
        </w:sdtPr>
        <w:sdtContent>
          <w:r w:rsidR="002B306D" w:rsidRPr="004D18A3">
            <w:rPr>
              <w:rFonts w:ascii="Arial" w:hAnsi="Arial" w:cs="David"/>
              <w:sz w:val="24"/>
              <w:szCs w:val="24"/>
              <w:rtl/>
            </w:rPr>
            <w:fldChar w:fldCharType="begin"/>
          </w:r>
          <w:r w:rsidR="001D7E2E" w:rsidRPr="004D18A3">
            <w:rPr>
              <w:rFonts w:ascii="Arial" w:hAnsi="Arial" w:cs="David"/>
              <w:sz w:val="24"/>
              <w:szCs w:val="24"/>
              <w:rtl/>
            </w:rPr>
            <w:instrText xml:space="preserve"> </w:instrText>
          </w:r>
          <w:r w:rsidR="001D7E2E" w:rsidRPr="004D18A3">
            <w:rPr>
              <w:rFonts w:ascii="Arial" w:hAnsi="Arial" w:cs="David" w:hint="cs"/>
              <w:sz w:val="24"/>
              <w:szCs w:val="24"/>
            </w:rPr>
            <w:instrText>CITATION</w:instrText>
          </w:r>
          <w:r w:rsidR="001D7E2E" w:rsidRPr="004D18A3">
            <w:rPr>
              <w:rFonts w:ascii="Arial" w:hAnsi="Arial" w:cs="David" w:hint="cs"/>
              <w:sz w:val="24"/>
              <w:szCs w:val="24"/>
              <w:rtl/>
            </w:rPr>
            <w:instrText xml:space="preserve"> ניד11 \</w:instrText>
          </w:r>
          <w:r w:rsidR="001D7E2E" w:rsidRPr="004D18A3">
            <w:rPr>
              <w:rFonts w:ascii="Arial" w:hAnsi="Arial" w:cs="David" w:hint="cs"/>
              <w:sz w:val="24"/>
              <w:szCs w:val="24"/>
            </w:rPr>
            <w:instrText>l 1037</w:instrText>
          </w:r>
          <w:r w:rsidR="001D7E2E" w:rsidRPr="004D18A3">
            <w:rPr>
              <w:rFonts w:ascii="Arial" w:hAnsi="Arial" w:cs="David"/>
              <w:sz w:val="24"/>
              <w:szCs w:val="24"/>
              <w:rtl/>
            </w:rPr>
            <w:instrText xml:space="preserve"> </w:instrText>
          </w:r>
          <w:r w:rsidR="002B306D" w:rsidRPr="004D18A3">
            <w:rPr>
              <w:rFonts w:ascii="Arial" w:hAnsi="Arial" w:cs="David"/>
              <w:sz w:val="24"/>
              <w:szCs w:val="24"/>
              <w:rtl/>
            </w:rPr>
            <w:fldChar w:fldCharType="separate"/>
          </w:r>
          <w:r w:rsidR="001D7E2E" w:rsidRPr="004D18A3">
            <w:rPr>
              <w:rFonts w:ascii="Arial" w:hAnsi="Arial" w:cs="David"/>
              <w:noProof/>
              <w:sz w:val="24"/>
              <w:szCs w:val="24"/>
              <w:rtl/>
            </w:rPr>
            <w:t xml:space="preserve"> </w:t>
          </w:r>
          <w:r w:rsidR="001D7E2E" w:rsidRPr="004D18A3">
            <w:rPr>
              <w:rFonts w:ascii="Arial" w:hAnsi="Arial" w:cs="David" w:hint="cs"/>
              <w:noProof/>
              <w:sz w:val="24"/>
              <w:szCs w:val="24"/>
              <w:rtl/>
            </w:rPr>
            <w:t>(חאיק, 2011)</w:t>
          </w:r>
          <w:r w:rsidR="002B306D" w:rsidRPr="004D18A3">
            <w:rPr>
              <w:rFonts w:ascii="Arial" w:hAnsi="Arial" w:cs="David"/>
              <w:sz w:val="24"/>
              <w:szCs w:val="24"/>
              <w:rtl/>
            </w:rPr>
            <w:fldChar w:fldCharType="end"/>
          </w:r>
        </w:sdtContent>
      </w:sdt>
      <w:r w:rsidR="001D7E2E" w:rsidRPr="004D18A3">
        <w:rPr>
          <w:rFonts w:ascii="Arial" w:hAnsi="Arial" w:cs="David" w:hint="cs"/>
          <w:sz w:val="24"/>
          <w:szCs w:val="24"/>
          <w:rtl/>
        </w:rPr>
        <w:t>.</w:t>
      </w:r>
    </w:p>
    <w:p w:rsidR="00051EA0" w:rsidRPr="004D18A3" w:rsidRDefault="005C2A9B" w:rsidP="001D7E2E">
      <w:pPr>
        <w:bidi/>
        <w:spacing w:line="360" w:lineRule="auto"/>
        <w:jc w:val="both"/>
        <w:rPr>
          <w:rFonts w:ascii="Arial" w:hAnsi="Arial" w:cs="David"/>
          <w:sz w:val="24"/>
          <w:szCs w:val="24"/>
          <w:rtl/>
        </w:rPr>
      </w:pPr>
      <w:r w:rsidRPr="004D18A3">
        <w:rPr>
          <w:rFonts w:ascii="Arial" w:hAnsi="Arial" w:cs="David" w:hint="cs"/>
          <w:sz w:val="24"/>
          <w:szCs w:val="24"/>
          <w:rtl/>
        </w:rPr>
        <w:lastRenderedPageBreak/>
        <w:t xml:space="preserve">כאשר נבחר ראש הרשות על פי שיוכו החמולתי ולא על פי כישוריו או תרומתו לקהילה, תהייה נאמנותו ומחויבותו לחמולה, קודמת למחויבותו לכלל הציבור.  הנאמנות לחמולה ולאינטרסים של בעלי הכוח וההשפעה בתוכה תסייע לראש הרשות להיבחר בשנית, הרבה יותר מהישגיו המוניציפאליים. </w:t>
      </w:r>
      <w:r w:rsidR="00051EA0" w:rsidRPr="004D18A3">
        <w:rPr>
          <w:rFonts w:ascii="Arial" w:hAnsi="Arial" w:cs="David" w:hint="cs"/>
          <w:sz w:val="24"/>
          <w:szCs w:val="24"/>
          <w:rtl/>
        </w:rPr>
        <w:t xml:space="preserve">במקרים רבים, המחויבות לחמולה מהווה חסם משמעותי ביכולת ובנכונות של ראש הרשות לשתף פעולה עם רשויות ממלכתיות בהתמודדות עם מפירי חוק או בקידום האינטרס הציבורי. </w:t>
      </w:r>
    </w:p>
    <w:p w:rsidR="006346C3" w:rsidRPr="004D18A3" w:rsidRDefault="00051EA0" w:rsidP="00051EA0">
      <w:pPr>
        <w:bidi/>
        <w:spacing w:line="360" w:lineRule="auto"/>
        <w:jc w:val="both"/>
        <w:rPr>
          <w:rFonts w:ascii="Arial" w:hAnsi="Arial" w:cs="David"/>
          <w:sz w:val="24"/>
          <w:szCs w:val="24"/>
          <w:rtl/>
        </w:rPr>
      </w:pPr>
      <w:r w:rsidRPr="004D18A3">
        <w:rPr>
          <w:rFonts w:ascii="Arial" w:hAnsi="Arial" w:cs="David" w:hint="cs"/>
          <w:sz w:val="24"/>
          <w:szCs w:val="24"/>
          <w:rtl/>
        </w:rPr>
        <w:t xml:space="preserve">בראיונות שנערכו במסגרת עבודה זו, הצביעו מרואיינים מקרב החברה הערבית ומקרב אנשי המשטרה על מקרים רבים שבהם ראשי רשויות פעלו בהתאם לאינטרסים של ארגוני פשיעה (ובמקרים מסוימים נעזרו בהם או שיתפו עמם פעולה) מתוך שיקולים הנוגעים לסיכויי הצלחתם בבחירות. </w:t>
      </w:r>
    </w:p>
    <w:p w:rsidR="00126B6E" w:rsidRPr="004D18A3" w:rsidRDefault="006346C3" w:rsidP="003D4D04">
      <w:pPr>
        <w:bidi/>
        <w:spacing w:line="360" w:lineRule="auto"/>
        <w:jc w:val="both"/>
        <w:rPr>
          <w:rFonts w:ascii="Arial" w:hAnsi="Arial" w:cs="David"/>
          <w:sz w:val="24"/>
          <w:szCs w:val="24"/>
          <w:rtl/>
        </w:rPr>
      </w:pPr>
      <w:r w:rsidRPr="004D18A3">
        <w:rPr>
          <w:rFonts w:ascii="Arial" w:hAnsi="Arial" w:cs="David" w:hint="cs"/>
          <w:sz w:val="24"/>
          <w:szCs w:val="24"/>
          <w:rtl/>
        </w:rPr>
        <w:t xml:space="preserve">בבחירות לרשויות המקומיות שנערכו ב 30 באוקטובר 2018, התאפיינו הרשויות הערביות באירועי אלימות רבים הכוללים איומים, קטטות המוניות, הצתות ואירועי ירי. בקלנסווה, נסוג מועמד מוביל מהתמודדות ברגע האחרון בעקבות איומים על חייו ועל חיי משפחתו. בטובא-זנגריא התחוללו קרבות של ממש בין החמולות המתחרות, אלה כללו ירי מאסיבי והשלכת רימונים וכן הצתה של בניין המועצה (כמה פעמים) במטרה למנוע מראש המועצה הנבחר להיכנס לתפקידו.  ישיבת המועצה הראשונה שלאחר הבחירות, נערכה בתוך תחנת המשטרה בראש פינה הסמוכה כדי לספק למשתתפים הגנה מפני זעמה של החמולה היריבה. </w:t>
      </w:r>
    </w:p>
    <w:p w:rsidR="004E6637" w:rsidRPr="00714CE6" w:rsidRDefault="004E6637" w:rsidP="00714CE6">
      <w:pPr>
        <w:pStyle w:val="1"/>
        <w:bidi/>
        <w:rPr>
          <w:rFonts w:ascii="David" w:hAnsi="David" w:cs="David"/>
          <w:rtl/>
        </w:rPr>
      </w:pPr>
      <w:bookmarkStart w:id="16" w:name="_Toc4948721"/>
      <w:bookmarkStart w:id="17" w:name="_Toc4950575"/>
      <w:bookmarkStart w:id="18" w:name="_Toc5984339"/>
      <w:r w:rsidRPr="00714CE6">
        <w:rPr>
          <w:rFonts w:ascii="David" w:hAnsi="David" w:cs="David"/>
          <w:rtl/>
        </w:rPr>
        <w:t>נקודת המבט של ה</w:t>
      </w:r>
      <w:r w:rsidR="003D4D04" w:rsidRPr="00714CE6">
        <w:rPr>
          <w:rFonts w:ascii="David" w:hAnsi="David" w:cs="David"/>
          <w:rtl/>
        </w:rPr>
        <w:t>הנהגה וה</w:t>
      </w:r>
      <w:r w:rsidRPr="00714CE6">
        <w:rPr>
          <w:rFonts w:ascii="David" w:hAnsi="David" w:cs="David"/>
          <w:rtl/>
        </w:rPr>
        <w:t>אינטלקטואלים הערביים</w:t>
      </w:r>
      <w:bookmarkEnd w:id="16"/>
      <w:bookmarkEnd w:id="17"/>
      <w:bookmarkEnd w:id="18"/>
    </w:p>
    <w:p w:rsidR="00545DFC" w:rsidRPr="004D18A3" w:rsidRDefault="00545DFC" w:rsidP="004E6637">
      <w:pPr>
        <w:bidi/>
        <w:spacing w:line="360" w:lineRule="auto"/>
        <w:jc w:val="both"/>
        <w:rPr>
          <w:rFonts w:ascii="Arial" w:hAnsi="Arial" w:cs="David"/>
          <w:b/>
          <w:bCs/>
          <w:i/>
          <w:iCs/>
          <w:sz w:val="24"/>
          <w:szCs w:val="24"/>
          <w:rtl/>
        </w:rPr>
      </w:pPr>
      <w:r w:rsidRPr="004D18A3">
        <w:rPr>
          <w:rFonts w:ascii="Arial" w:hAnsi="Arial" w:cs="David" w:hint="cs"/>
          <w:sz w:val="24"/>
          <w:szCs w:val="24"/>
          <w:rtl/>
        </w:rPr>
        <w:t>בשנת 2014 פרסמו אוניברסיטת חיפה ומרכז אמאן</w:t>
      </w:r>
      <w:r w:rsidRPr="004D18A3">
        <w:rPr>
          <w:rStyle w:val="ae"/>
          <w:rFonts w:ascii="Arial" w:hAnsi="Arial" w:cs="David"/>
          <w:sz w:val="24"/>
          <w:szCs w:val="24"/>
          <w:rtl/>
        </w:rPr>
        <w:footnoteReference w:id="5"/>
      </w:r>
      <w:r w:rsidRPr="004D18A3">
        <w:rPr>
          <w:rFonts w:ascii="Arial" w:hAnsi="Arial" w:cs="David" w:hint="cs"/>
          <w:sz w:val="24"/>
          <w:szCs w:val="24"/>
          <w:rtl/>
        </w:rPr>
        <w:t xml:space="preserve"> את ספרו של דר' נוהאד עלי </w:t>
      </w:r>
      <w:r w:rsidRPr="004D18A3">
        <w:rPr>
          <w:rFonts w:ascii="Arial" w:hAnsi="Arial" w:cs="David"/>
          <w:sz w:val="24"/>
          <w:szCs w:val="24"/>
          <w:rtl/>
        </w:rPr>
        <w:t>–</w:t>
      </w:r>
      <w:r w:rsidRPr="004D18A3">
        <w:rPr>
          <w:rFonts w:ascii="Arial" w:hAnsi="Arial" w:cs="David" w:hint="cs"/>
          <w:sz w:val="24"/>
          <w:szCs w:val="24"/>
          <w:rtl/>
        </w:rPr>
        <w:t xml:space="preserve"> </w:t>
      </w:r>
      <w:r w:rsidRPr="004D18A3">
        <w:rPr>
          <w:rFonts w:ascii="Arial" w:hAnsi="Arial" w:cs="David" w:hint="cs"/>
          <w:b/>
          <w:bCs/>
          <w:sz w:val="24"/>
          <w:szCs w:val="24"/>
          <w:rtl/>
        </w:rPr>
        <w:t>"אלימות ופשיעה בחברה הערבית בישראל, קונספירציה ממסדית או פשיעה תרבותית".</w:t>
      </w:r>
      <w:r w:rsidRPr="004D18A3">
        <w:rPr>
          <w:rFonts w:ascii="Arial" w:hAnsi="Arial" w:cs="David" w:hint="cs"/>
          <w:sz w:val="24"/>
          <w:szCs w:val="24"/>
          <w:rtl/>
        </w:rPr>
        <w:t xml:space="preserve"> עלי מנתח את הרקע והסיבות לתופעת הפשיעה בחברה הערבית (ביחס לעבירות בתוך החברה הערבית של ערבים אזרחי ישראל) בשני צירים מרכזיים</w:t>
      </w:r>
      <w:r w:rsidR="00CA0336" w:rsidRPr="004D18A3">
        <w:rPr>
          <w:rFonts w:ascii="Arial" w:hAnsi="Arial" w:cs="David" w:hint="cs"/>
          <w:sz w:val="24"/>
          <w:szCs w:val="24"/>
          <w:rtl/>
        </w:rPr>
        <w:t xml:space="preserve"> המנוגדים מאוד זה לזה</w:t>
      </w:r>
      <w:r w:rsidRPr="004D18A3">
        <w:rPr>
          <w:rFonts w:ascii="Arial" w:hAnsi="Arial" w:cs="David" w:hint="cs"/>
          <w:sz w:val="24"/>
          <w:szCs w:val="24"/>
          <w:rtl/>
        </w:rPr>
        <w:t>, כפי שמרמז שמו של הספר</w:t>
      </w:r>
      <w:r w:rsidR="00605DC8" w:rsidRPr="004D18A3">
        <w:rPr>
          <w:rFonts w:ascii="Arial" w:hAnsi="Arial" w:cs="David" w:hint="cs"/>
          <w:sz w:val="24"/>
          <w:szCs w:val="24"/>
          <w:rtl/>
        </w:rPr>
        <w:t xml:space="preserve">. </w:t>
      </w:r>
      <w:r w:rsidR="00A578B5" w:rsidRPr="004D18A3">
        <w:rPr>
          <w:rFonts w:ascii="Arial" w:hAnsi="Arial" w:cs="David" w:hint="cs"/>
          <w:b/>
          <w:bCs/>
          <w:sz w:val="24"/>
          <w:szCs w:val="24"/>
          <w:rtl/>
        </w:rPr>
        <w:t>הציר הראשון</w:t>
      </w:r>
      <w:r w:rsidR="00A578B5" w:rsidRPr="004D18A3">
        <w:rPr>
          <w:rFonts w:ascii="Arial" w:hAnsi="Arial" w:cs="David" w:hint="cs"/>
          <w:sz w:val="24"/>
          <w:szCs w:val="24"/>
          <w:rtl/>
        </w:rPr>
        <w:t>:</w:t>
      </w:r>
      <w:r w:rsidR="00605DC8" w:rsidRPr="004D18A3">
        <w:rPr>
          <w:rFonts w:ascii="Arial" w:hAnsi="Arial" w:cs="David" w:hint="cs"/>
          <w:sz w:val="24"/>
          <w:szCs w:val="24"/>
          <w:rtl/>
        </w:rPr>
        <w:t xml:space="preserve"> ביחס לאחריות הרשויות והממסד בישראל לתופעה, שבא</w:t>
      </w:r>
      <w:r w:rsidR="0045399F" w:rsidRPr="004D18A3">
        <w:rPr>
          <w:rFonts w:ascii="Arial" w:hAnsi="Arial" w:cs="David" w:hint="cs"/>
          <w:sz w:val="24"/>
          <w:szCs w:val="24"/>
          <w:rtl/>
        </w:rPr>
        <w:t>ה</w:t>
      </w:r>
      <w:r w:rsidR="00605DC8" w:rsidRPr="004D18A3">
        <w:rPr>
          <w:rFonts w:ascii="Arial" w:hAnsi="Arial" w:cs="David" w:hint="cs"/>
          <w:sz w:val="24"/>
          <w:szCs w:val="24"/>
          <w:rtl/>
        </w:rPr>
        <w:t xml:space="preserve"> לידי ביטוי בהעדר אכיפה מספקת ובהענקת מעיין "אוטונומיה" לציבור הערבי לטפל בפשיעה ובאלימות בתוך עצמו. מערכת האכיפה אינה פותרת את הבעיות באופן אפקטיבי ולכן הפשיעה מתגברת. גישה זו הביאה לפריחה של תיאוריות קונספירציה הגורסות שהרשויות, ובראשן משטרת ישראל, מזניחות את הטיפול בפשיעה</w:t>
      </w:r>
      <w:r w:rsidR="0045399F" w:rsidRPr="004D18A3">
        <w:rPr>
          <w:rFonts w:ascii="Arial" w:hAnsi="Arial" w:cs="David" w:hint="cs"/>
          <w:sz w:val="24"/>
          <w:szCs w:val="24"/>
          <w:rtl/>
        </w:rPr>
        <w:t xml:space="preserve"> בחברה הערבית,</w:t>
      </w:r>
      <w:r w:rsidR="00605DC8" w:rsidRPr="004D18A3">
        <w:rPr>
          <w:rFonts w:ascii="Arial" w:hAnsi="Arial" w:cs="David" w:hint="cs"/>
          <w:sz w:val="24"/>
          <w:szCs w:val="24"/>
          <w:rtl/>
        </w:rPr>
        <w:t xml:space="preserve"> בכוונה כדי שהערבים יהיו עסוקים בתוך עצמם ולא יתפנו לעסוק בבעיות האמיתיות שלהם מול המדינה ביחס לנושאים לאומיים ואזרחיים. </w:t>
      </w:r>
      <w:r w:rsidR="00A578B5" w:rsidRPr="004D18A3">
        <w:rPr>
          <w:rFonts w:ascii="Arial" w:hAnsi="Arial" w:cs="David" w:hint="cs"/>
          <w:sz w:val="24"/>
          <w:szCs w:val="24"/>
          <w:rtl/>
        </w:rPr>
        <w:t xml:space="preserve">יש להוסיף כי, לא אחת, התבטאו מנהיגים ערבים באופן מפורש ברוח זו. דוגמה טובה לכך אפשר למצוא בנאומו </w:t>
      </w:r>
      <w:r w:rsidR="000072F9" w:rsidRPr="004D18A3">
        <w:rPr>
          <w:rFonts w:ascii="Arial" w:hAnsi="Arial" w:cs="David" w:hint="cs"/>
          <w:sz w:val="24"/>
          <w:szCs w:val="24"/>
          <w:rtl/>
        </w:rPr>
        <w:t xml:space="preserve">בכנסת </w:t>
      </w:r>
      <w:r w:rsidR="00A578B5" w:rsidRPr="004D18A3">
        <w:rPr>
          <w:rFonts w:ascii="Arial" w:hAnsi="Arial" w:cs="David" w:hint="cs"/>
          <w:sz w:val="24"/>
          <w:szCs w:val="24"/>
          <w:rtl/>
        </w:rPr>
        <w:t>של חבר הכנסת דר' יוסף ג'בארין מטעם הרשימה המשותפת, בתאריך 1</w:t>
      </w:r>
      <w:r w:rsidR="00D30029" w:rsidRPr="004D18A3">
        <w:rPr>
          <w:rFonts w:ascii="Arial" w:hAnsi="Arial" w:cs="David" w:hint="cs"/>
          <w:sz w:val="24"/>
          <w:szCs w:val="24"/>
          <w:rtl/>
        </w:rPr>
        <w:t>7</w:t>
      </w:r>
      <w:r w:rsidR="00A578B5" w:rsidRPr="004D18A3">
        <w:rPr>
          <w:rFonts w:ascii="Arial" w:hAnsi="Arial" w:cs="David" w:hint="cs"/>
          <w:sz w:val="24"/>
          <w:szCs w:val="24"/>
          <w:rtl/>
        </w:rPr>
        <w:t xml:space="preserve"> לדצמבר 2018 בו אמר את הדברים הבאים: </w:t>
      </w:r>
      <w:r w:rsidR="00A578B5" w:rsidRPr="004D18A3">
        <w:rPr>
          <w:rFonts w:ascii="Arial" w:hAnsi="Arial" w:cs="David" w:hint="cs"/>
          <w:b/>
          <w:bCs/>
          <w:i/>
          <w:iCs/>
          <w:sz w:val="24"/>
          <w:szCs w:val="24"/>
          <w:rtl/>
        </w:rPr>
        <w:t>"...בקשר לעבודת המשטרה בחברה הערבית, ואני חושב שהשאלה המרכזית שמעסיקה את הציבור הערבי בעניין הזה, בעניין האלימות הגואה בחברה הערבית שעד עכשיו השר</w:t>
      </w:r>
      <w:r w:rsidR="00D30029" w:rsidRPr="004D18A3">
        <w:rPr>
          <w:rFonts w:ascii="Arial" w:hAnsi="Arial" w:cs="David" w:hint="cs"/>
          <w:sz w:val="24"/>
          <w:szCs w:val="24"/>
          <w:rtl/>
        </w:rPr>
        <w:t>(פונה לשר לביטחון הפנים- י.ח)</w:t>
      </w:r>
      <w:r w:rsidR="00A578B5" w:rsidRPr="004D18A3">
        <w:rPr>
          <w:rFonts w:ascii="Arial" w:hAnsi="Arial" w:cs="David" w:hint="cs"/>
          <w:b/>
          <w:bCs/>
          <w:i/>
          <w:iCs/>
          <w:sz w:val="24"/>
          <w:szCs w:val="24"/>
          <w:rtl/>
        </w:rPr>
        <w:t xml:space="preserve"> לא ענה עליה, מדוע כשיש אותו אירוע של ירי או כשיש שימוש באותו כלי נשק, בדרך כלל כמובן לא חוקי</w:t>
      </w:r>
      <w:r w:rsidR="00D30029" w:rsidRPr="004D18A3">
        <w:rPr>
          <w:rFonts w:ascii="Arial" w:hAnsi="Arial" w:cs="David" w:hint="cs"/>
          <w:b/>
          <w:bCs/>
          <w:i/>
          <w:iCs/>
          <w:sz w:val="24"/>
          <w:szCs w:val="24"/>
          <w:rtl/>
        </w:rPr>
        <w:t>,</w:t>
      </w:r>
      <w:r w:rsidR="00A578B5" w:rsidRPr="004D18A3">
        <w:rPr>
          <w:rFonts w:ascii="Arial" w:hAnsi="Arial" w:cs="David" w:hint="cs"/>
          <w:b/>
          <w:bCs/>
          <w:i/>
          <w:iCs/>
          <w:sz w:val="24"/>
          <w:szCs w:val="24"/>
          <w:rtl/>
        </w:rPr>
        <w:t xml:space="preserve"> מדוע אם מדובר באירוע על בסיס לאומי או לאומני תוך שעות המשטרה מצליחה להגיע למי שביצע את האירוע ולמי שהיה מעורב בו</w:t>
      </w:r>
      <w:r w:rsidR="00E90E08" w:rsidRPr="004D18A3">
        <w:rPr>
          <w:rFonts w:ascii="Arial" w:hAnsi="Arial" w:cs="David" w:hint="cs"/>
          <w:b/>
          <w:bCs/>
          <w:i/>
          <w:iCs/>
          <w:sz w:val="24"/>
          <w:szCs w:val="24"/>
          <w:rtl/>
        </w:rPr>
        <w:t xml:space="preserve"> אבל אם פחות או יותר אותו אירוע באותם תנאים עם אותו נשק הוא בתוך החברה הערבית עצמה, הוא פנים ערבי, אז כמעט ולא קורה כלום מבחינת למצות את הדין עם הפושעים. ...זו השאלה שהציבור הערבי שואל, מדוע כשמדובר בעניינים שאתם רואים בהם עניינים ביטחוניים אז זו שאלה של שעות כדי </w:t>
      </w:r>
      <w:r w:rsidR="00E90E08" w:rsidRPr="004D18A3">
        <w:rPr>
          <w:rFonts w:ascii="Arial" w:hAnsi="Arial" w:cs="David" w:hint="cs"/>
          <w:b/>
          <w:bCs/>
          <w:i/>
          <w:iCs/>
          <w:sz w:val="24"/>
          <w:szCs w:val="24"/>
          <w:rtl/>
        </w:rPr>
        <w:lastRenderedPageBreak/>
        <w:t>להגיע למבצעים ולמעורבים אבל כשזה מגיע לנושאים של אלימות פנים ערבית זה יכול לקחת שנים וזה בדרך כלל נגמר בלי כתב אישום..."</w:t>
      </w:r>
    </w:p>
    <w:p w:rsidR="00E90E08" w:rsidRPr="004D18A3" w:rsidRDefault="00E90E08" w:rsidP="00B356C4">
      <w:pPr>
        <w:bidi/>
        <w:spacing w:line="360" w:lineRule="auto"/>
        <w:ind w:left="-46"/>
        <w:jc w:val="both"/>
        <w:rPr>
          <w:rFonts w:ascii="Arial" w:hAnsi="Arial" w:cs="David"/>
          <w:sz w:val="24"/>
          <w:szCs w:val="24"/>
          <w:rtl/>
        </w:rPr>
      </w:pPr>
      <w:r w:rsidRPr="004D18A3">
        <w:rPr>
          <w:rFonts w:ascii="Arial" w:hAnsi="Arial" w:cs="David" w:hint="cs"/>
          <w:sz w:val="24"/>
          <w:szCs w:val="24"/>
          <w:rtl/>
        </w:rPr>
        <w:t xml:space="preserve">על פי גישה זו, התגברות הפשיעה והאלימות בחברה הערבית נובעת מתפקוד לקוי או חוסר תפקוד </w:t>
      </w:r>
      <w:r w:rsidR="000072F9" w:rsidRPr="004D18A3">
        <w:rPr>
          <w:rFonts w:ascii="Arial" w:hAnsi="Arial" w:cs="David" w:hint="cs"/>
          <w:sz w:val="24"/>
          <w:szCs w:val="24"/>
          <w:rtl/>
        </w:rPr>
        <w:t xml:space="preserve">מכוון </w:t>
      </w:r>
      <w:r w:rsidRPr="004D18A3">
        <w:rPr>
          <w:rFonts w:ascii="Arial" w:hAnsi="Arial" w:cs="David" w:hint="cs"/>
          <w:sz w:val="24"/>
          <w:szCs w:val="24"/>
          <w:rtl/>
        </w:rPr>
        <w:t>של רשויות האכיפה.</w:t>
      </w:r>
    </w:p>
    <w:p w:rsidR="00F13E8D" w:rsidRPr="004D18A3" w:rsidRDefault="00E90E08" w:rsidP="00FD6E30">
      <w:pPr>
        <w:bidi/>
        <w:spacing w:line="360" w:lineRule="auto"/>
        <w:ind w:left="-46"/>
        <w:jc w:val="both"/>
        <w:rPr>
          <w:rFonts w:ascii="Arial" w:hAnsi="Arial" w:cs="David"/>
          <w:sz w:val="24"/>
          <w:szCs w:val="24"/>
          <w:rtl/>
        </w:rPr>
      </w:pPr>
      <w:r w:rsidRPr="004D18A3">
        <w:rPr>
          <w:rFonts w:ascii="Arial" w:hAnsi="Arial" w:cs="David" w:hint="cs"/>
          <w:b/>
          <w:bCs/>
          <w:sz w:val="24"/>
          <w:szCs w:val="24"/>
          <w:rtl/>
        </w:rPr>
        <w:t>הציר השני</w:t>
      </w:r>
      <w:r w:rsidRPr="004D18A3">
        <w:rPr>
          <w:rFonts w:ascii="Arial" w:hAnsi="Arial" w:cs="David" w:hint="cs"/>
          <w:sz w:val="24"/>
          <w:szCs w:val="24"/>
          <w:rtl/>
        </w:rPr>
        <w:t>: מתייחס להיבטים התרבותיים והחברתיים של החברה הערבית</w:t>
      </w:r>
      <w:r w:rsidR="00CA0336" w:rsidRPr="004D18A3">
        <w:rPr>
          <w:rFonts w:ascii="Arial" w:hAnsi="Arial" w:cs="David" w:hint="cs"/>
          <w:sz w:val="24"/>
          <w:szCs w:val="24"/>
          <w:rtl/>
        </w:rPr>
        <w:t xml:space="preserve"> עצמה</w:t>
      </w:r>
      <w:r w:rsidRPr="004D18A3">
        <w:rPr>
          <w:rFonts w:ascii="Arial" w:hAnsi="Arial" w:cs="David" w:hint="cs"/>
          <w:sz w:val="24"/>
          <w:szCs w:val="24"/>
          <w:rtl/>
        </w:rPr>
        <w:t xml:space="preserve"> כגורם להתגברות האלימות והפשיעה</w:t>
      </w:r>
      <w:r w:rsidR="00C74FC5" w:rsidRPr="004D18A3">
        <w:rPr>
          <w:rFonts w:ascii="Arial" w:hAnsi="Arial" w:cs="David" w:hint="cs"/>
          <w:sz w:val="24"/>
          <w:szCs w:val="24"/>
          <w:rtl/>
        </w:rPr>
        <w:t xml:space="preserve">. </w:t>
      </w:r>
      <w:r w:rsidR="00CA0336" w:rsidRPr="004D18A3">
        <w:rPr>
          <w:rFonts w:ascii="Arial" w:hAnsi="Arial" w:cs="David" w:hint="cs"/>
          <w:sz w:val="24"/>
          <w:szCs w:val="24"/>
          <w:rtl/>
        </w:rPr>
        <w:t xml:space="preserve">התומכים בעמדה זו טוענים כי לאלימות שורשים עמוקים בתרבות הערבית ובמיוחד המוסלמית ולכן, גם אם משקיעים משאבים ניכרים, לא ניתן למגר אותה. יש המצביעים על האלימות המשתוללת במדינות הערביות השכנות לנו כדוגמה לביטוי האלימות בתרבות הערבית. </w:t>
      </w:r>
      <w:r w:rsidR="00982589" w:rsidRPr="004D18A3">
        <w:rPr>
          <w:rFonts w:ascii="Arial" w:hAnsi="Arial" w:cs="David" w:hint="cs"/>
          <w:sz w:val="24"/>
          <w:szCs w:val="24"/>
          <w:rtl/>
        </w:rPr>
        <w:t>עלי מסביר את חוסר ההצלחה להתמודד עם הפשיעה במגזר הערבי בכך שההנהגה הערבית מטילה את האחריות על המדינה ועל רשויות האכיפה ומצד שני, רשויות ה</w:t>
      </w:r>
      <w:r w:rsidR="00FD6E30" w:rsidRPr="004D18A3">
        <w:rPr>
          <w:rFonts w:ascii="Arial" w:hAnsi="Arial" w:cs="David" w:hint="cs"/>
          <w:sz w:val="24"/>
          <w:szCs w:val="24"/>
          <w:rtl/>
        </w:rPr>
        <w:t>מדינה רואות בפשיעה כמאפיין תרבותי הטבוע באופייה של החברה הערבית וגם אם יוקצו לכך משאבים מרובים, לא ניתן יהיה למגר את התופעה. מכך יוצא שההנהגה הערבית והמדינה אינן משתפות פעולה והפשיעה אינה מטופלת באופן אפקטיבי.</w:t>
      </w:r>
    </w:p>
    <w:p w:rsidR="000072F9" w:rsidRPr="00714CE6" w:rsidRDefault="009C2119" w:rsidP="00714CE6">
      <w:pPr>
        <w:pStyle w:val="1"/>
        <w:bidi/>
        <w:rPr>
          <w:rFonts w:ascii="David" w:hAnsi="David" w:cs="David"/>
          <w:rtl/>
        </w:rPr>
      </w:pPr>
      <w:bookmarkStart w:id="19" w:name="_Toc4948722"/>
      <w:bookmarkStart w:id="20" w:name="_Toc4950576"/>
      <w:bookmarkStart w:id="21" w:name="_Toc5984340"/>
      <w:r w:rsidRPr="00714CE6">
        <w:rPr>
          <w:rFonts w:ascii="David" w:hAnsi="David" w:cs="David"/>
          <w:rtl/>
        </w:rPr>
        <w:t>בעיית המשילות במגזר הערבי וההשפעה על הפשיעה</w:t>
      </w:r>
      <w:bookmarkEnd w:id="19"/>
      <w:bookmarkEnd w:id="20"/>
      <w:bookmarkEnd w:id="21"/>
    </w:p>
    <w:p w:rsidR="009C2119" w:rsidRPr="004D18A3" w:rsidRDefault="009C2119" w:rsidP="001D1336">
      <w:pPr>
        <w:bidi/>
        <w:spacing w:line="360" w:lineRule="auto"/>
        <w:ind w:left="-46"/>
        <w:jc w:val="both"/>
        <w:rPr>
          <w:rFonts w:ascii="Arial" w:hAnsi="Arial" w:cs="David"/>
          <w:sz w:val="24"/>
          <w:szCs w:val="24"/>
          <w:rtl/>
        </w:rPr>
      </w:pPr>
      <w:r w:rsidRPr="004D18A3">
        <w:rPr>
          <w:rFonts w:ascii="Arial" w:hAnsi="Arial" w:cs="David" w:hint="cs"/>
          <w:sz w:val="24"/>
          <w:szCs w:val="24"/>
          <w:rtl/>
        </w:rPr>
        <w:t>משילות (</w:t>
      </w:r>
      <w:r w:rsidRPr="004D18A3">
        <w:rPr>
          <w:rFonts w:ascii="Arial" w:hAnsi="Arial" w:cs="David"/>
          <w:sz w:val="24"/>
          <w:szCs w:val="24"/>
        </w:rPr>
        <w:t>Governability</w:t>
      </w:r>
      <w:r w:rsidRPr="004D18A3">
        <w:rPr>
          <w:rFonts w:ascii="Arial" w:hAnsi="Arial" w:cs="David" w:hint="cs"/>
          <w:sz w:val="24"/>
          <w:szCs w:val="24"/>
          <w:rtl/>
        </w:rPr>
        <w:t xml:space="preserve">) היא ביטוי ליכולתה של הממשלה למשול. מקורו של המושג במדעי המדינה והוא ביכולת הביצוע וההוצאה מן הכוח אל הפועל במערכות חברתיות וארגוניות שונות. בשנים האחרונות, גובר השימוש במושג המשילות בשיח הציבורי בישראל, בעיקר בהקשר להשפעתו על ביצועי המגזר הציבורי. חוסר המשילות גורם להעצמה של כוחות אלטרנטיביים הממלאים את הוואקום שנוצר </w:t>
      </w:r>
      <w:sdt>
        <w:sdtPr>
          <w:rPr>
            <w:rFonts w:ascii="Arial" w:hAnsi="Arial" w:cs="David" w:hint="cs"/>
            <w:sz w:val="24"/>
            <w:szCs w:val="24"/>
            <w:rtl/>
          </w:rPr>
          <w:id w:val="668340958"/>
          <w:citation/>
        </w:sdtPr>
        <w:sdtContent>
          <w:r w:rsidR="002B306D" w:rsidRPr="004D18A3">
            <w:rPr>
              <w:rFonts w:ascii="Arial" w:hAnsi="Arial" w:cs="David"/>
              <w:sz w:val="24"/>
              <w:szCs w:val="24"/>
              <w:rtl/>
            </w:rPr>
            <w:fldChar w:fldCharType="begin"/>
          </w:r>
          <w:r w:rsidRPr="004D18A3">
            <w:rPr>
              <w:rFonts w:ascii="Arial" w:hAnsi="Arial" w:cs="David"/>
              <w:sz w:val="24"/>
              <w:szCs w:val="24"/>
              <w:rtl/>
            </w:rPr>
            <w:instrText xml:space="preserve"> </w:instrText>
          </w:r>
          <w:r w:rsidRPr="004D18A3">
            <w:rPr>
              <w:rFonts w:ascii="Arial" w:hAnsi="Arial" w:cs="David" w:hint="cs"/>
              <w:sz w:val="24"/>
              <w:szCs w:val="24"/>
            </w:rPr>
            <w:instrText>CITATION</w:instrText>
          </w:r>
          <w:r w:rsidRPr="004D18A3">
            <w:rPr>
              <w:rFonts w:ascii="Arial" w:hAnsi="Arial" w:cs="David" w:hint="cs"/>
              <w:sz w:val="24"/>
              <w:szCs w:val="24"/>
              <w:rtl/>
            </w:rPr>
            <w:instrText xml:space="preserve"> פינ14 \</w:instrText>
          </w:r>
          <w:r w:rsidRPr="004D18A3">
            <w:rPr>
              <w:rFonts w:ascii="Arial" w:hAnsi="Arial" w:cs="David" w:hint="cs"/>
              <w:sz w:val="24"/>
              <w:szCs w:val="24"/>
            </w:rPr>
            <w:instrText>l 1037</w:instrText>
          </w:r>
          <w:r w:rsidRPr="004D18A3">
            <w:rPr>
              <w:rFonts w:ascii="Arial" w:hAnsi="Arial" w:cs="David"/>
              <w:sz w:val="24"/>
              <w:szCs w:val="24"/>
              <w:rtl/>
            </w:rPr>
            <w:instrText xml:space="preserve"> </w:instrText>
          </w:r>
          <w:r w:rsidR="002B306D" w:rsidRPr="004D18A3">
            <w:rPr>
              <w:rFonts w:ascii="Arial" w:hAnsi="Arial" w:cs="David"/>
              <w:sz w:val="24"/>
              <w:szCs w:val="24"/>
              <w:rtl/>
            </w:rPr>
            <w:fldChar w:fldCharType="separate"/>
          </w:r>
          <w:r w:rsidRPr="004D18A3">
            <w:rPr>
              <w:rFonts w:ascii="Arial" w:hAnsi="Arial" w:cs="David" w:hint="cs"/>
              <w:noProof/>
              <w:sz w:val="24"/>
              <w:szCs w:val="24"/>
              <w:rtl/>
            </w:rPr>
            <w:t>(יחזקאלי, 2014)</w:t>
          </w:r>
          <w:r w:rsidR="002B306D" w:rsidRPr="004D18A3">
            <w:rPr>
              <w:rFonts w:ascii="Arial" w:hAnsi="Arial" w:cs="David"/>
              <w:sz w:val="24"/>
              <w:szCs w:val="24"/>
              <w:rtl/>
            </w:rPr>
            <w:fldChar w:fldCharType="end"/>
          </w:r>
        </w:sdtContent>
      </w:sdt>
      <w:r w:rsidRPr="004D18A3">
        <w:rPr>
          <w:rFonts w:ascii="Arial" w:hAnsi="Arial" w:cs="David" w:hint="cs"/>
          <w:sz w:val="24"/>
          <w:szCs w:val="24"/>
          <w:rtl/>
        </w:rPr>
        <w:t xml:space="preserve">. אותם כוחות אלטרנטיביים יכולים להיות ארגונים וולונטריים, עמותות חברתיות ובעלי אינטרסים שונים </w:t>
      </w:r>
      <w:r w:rsidR="001D1336" w:rsidRPr="004D18A3">
        <w:rPr>
          <w:rFonts w:ascii="Arial" w:hAnsi="Arial" w:cs="David" w:hint="cs"/>
          <w:sz w:val="24"/>
          <w:szCs w:val="24"/>
          <w:rtl/>
        </w:rPr>
        <w:t>ומצד שני,</w:t>
      </w:r>
      <w:r w:rsidRPr="004D18A3">
        <w:rPr>
          <w:rFonts w:ascii="Arial" w:hAnsi="Arial" w:cs="David" w:hint="cs"/>
          <w:sz w:val="24"/>
          <w:szCs w:val="24"/>
          <w:rtl/>
        </w:rPr>
        <w:t xml:space="preserve"> פרטים או קבוצות אופורטוניסטיות הפועלות בניגוד לחוק או בתחום האפור. למשל, כנופיות עבריינים שעוסקות במתן הלוואות בשוק האפור, בפריטת צ'קים ובגביית חובות, תפקידים שאמורים להימצא בחזקת </w:t>
      </w:r>
      <w:r w:rsidR="005D24A9" w:rsidRPr="004D18A3">
        <w:rPr>
          <w:rFonts w:ascii="Arial" w:hAnsi="Arial" w:cs="David" w:hint="cs"/>
          <w:sz w:val="24"/>
          <w:szCs w:val="24"/>
          <w:rtl/>
        </w:rPr>
        <w:t xml:space="preserve">האחריות של גופים מוסדיים או רשויות המדינה. </w:t>
      </w:r>
      <w:r w:rsidR="000F7E74" w:rsidRPr="004D18A3">
        <w:rPr>
          <w:rFonts w:ascii="Arial" w:hAnsi="Arial" w:cs="David" w:hint="cs"/>
          <w:sz w:val="24"/>
          <w:szCs w:val="24"/>
          <w:rtl/>
        </w:rPr>
        <w:t>באופן כללי, משילותה של הרשות המבצעת בישראל מצויה במשבר בשל הגורמים הבאים:</w:t>
      </w:r>
    </w:p>
    <w:p w:rsidR="000F7E74" w:rsidRPr="004D18A3" w:rsidRDefault="000F7E74" w:rsidP="00494407">
      <w:pPr>
        <w:pStyle w:val="a3"/>
        <w:numPr>
          <w:ilvl w:val="0"/>
          <w:numId w:val="12"/>
        </w:numPr>
        <w:bidi/>
        <w:spacing w:line="360" w:lineRule="auto"/>
        <w:jc w:val="both"/>
        <w:rPr>
          <w:rFonts w:ascii="Arial" w:hAnsi="Arial" w:cs="David"/>
          <w:sz w:val="24"/>
          <w:szCs w:val="24"/>
          <w:rtl/>
        </w:rPr>
      </w:pPr>
      <w:r w:rsidRPr="004D18A3">
        <w:rPr>
          <w:rFonts w:ascii="Arial" w:hAnsi="Arial" w:cs="David" w:hint="cs"/>
          <w:sz w:val="24"/>
          <w:szCs w:val="24"/>
          <w:rtl/>
        </w:rPr>
        <w:t>ריבוי מפלגות וסיעות ופיצול הכנסת</w:t>
      </w:r>
    </w:p>
    <w:p w:rsidR="000F7E74" w:rsidRPr="004D18A3" w:rsidRDefault="000F7E74" w:rsidP="00494407">
      <w:pPr>
        <w:pStyle w:val="a3"/>
        <w:numPr>
          <w:ilvl w:val="0"/>
          <w:numId w:val="12"/>
        </w:numPr>
        <w:bidi/>
        <w:spacing w:line="360" w:lineRule="auto"/>
        <w:jc w:val="both"/>
        <w:rPr>
          <w:rFonts w:ascii="Arial" w:hAnsi="Arial" w:cs="David"/>
          <w:sz w:val="24"/>
          <w:szCs w:val="24"/>
          <w:rtl/>
        </w:rPr>
      </w:pPr>
      <w:r w:rsidRPr="004D18A3">
        <w:rPr>
          <w:rFonts w:ascii="Arial" w:hAnsi="Arial" w:cs="David" w:hint="cs"/>
          <w:sz w:val="24"/>
          <w:szCs w:val="24"/>
          <w:rtl/>
        </w:rPr>
        <w:t>ריבוי תיקים והגדלת משרדי הממשלה כדי לעמוד בדרישות שותפות קואליציוניות.</w:t>
      </w:r>
    </w:p>
    <w:p w:rsidR="000F7E74" w:rsidRPr="004D18A3" w:rsidRDefault="000F7E74" w:rsidP="00494407">
      <w:pPr>
        <w:pStyle w:val="a3"/>
        <w:numPr>
          <w:ilvl w:val="0"/>
          <w:numId w:val="12"/>
        </w:numPr>
        <w:bidi/>
        <w:spacing w:line="360" w:lineRule="auto"/>
        <w:jc w:val="both"/>
        <w:rPr>
          <w:rFonts w:ascii="Arial" w:hAnsi="Arial" w:cs="David"/>
          <w:sz w:val="24"/>
          <w:szCs w:val="24"/>
          <w:rtl/>
        </w:rPr>
      </w:pPr>
      <w:r w:rsidRPr="004D18A3">
        <w:rPr>
          <w:rFonts w:ascii="Arial" w:hAnsi="Arial" w:cs="David" w:hint="cs"/>
          <w:sz w:val="24"/>
          <w:szCs w:val="24"/>
          <w:rtl/>
        </w:rPr>
        <w:t>שרידות קואליציונית נמוכה.</w:t>
      </w:r>
    </w:p>
    <w:p w:rsidR="000F7E74" w:rsidRPr="004D18A3" w:rsidRDefault="000F7E74" w:rsidP="000F7E74">
      <w:pPr>
        <w:bidi/>
        <w:spacing w:line="360" w:lineRule="auto"/>
        <w:ind w:left="-46"/>
        <w:jc w:val="both"/>
        <w:rPr>
          <w:rFonts w:ascii="Arial" w:hAnsi="Arial" w:cs="David"/>
          <w:sz w:val="24"/>
          <w:szCs w:val="24"/>
          <w:rtl/>
        </w:rPr>
      </w:pPr>
      <w:r w:rsidRPr="004D18A3">
        <w:rPr>
          <w:rFonts w:ascii="Arial" w:hAnsi="Arial" w:cs="David" w:hint="cs"/>
          <w:sz w:val="24"/>
          <w:szCs w:val="24"/>
          <w:rtl/>
        </w:rPr>
        <w:t xml:space="preserve">כתוצאה מכך, המדיניות הציבורית לא עקבית, חילופים תדירים של שרים ושל בעלי תפקידים בכירים מקשים על שיפור מתמשך של מערכות </w:t>
      </w:r>
      <w:r w:rsidRPr="004D18A3">
        <w:rPr>
          <w:rFonts w:ascii="Arial" w:hAnsi="Arial" w:cs="David"/>
          <w:sz w:val="24"/>
          <w:szCs w:val="24"/>
          <w:rtl/>
        </w:rPr>
        <w:t>–</w:t>
      </w:r>
      <w:r w:rsidRPr="004D18A3">
        <w:rPr>
          <w:rFonts w:ascii="Arial" w:hAnsi="Arial" w:cs="David" w:hint="cs"/>
          <w:sz w:val="24"/>
          <w:szCs w:val="24"/>
          <w:rtl/>
        </w:rPr>
        <w:t xml:space="preserve"> בין אם הוא שיפור תשתיתי ובין אם שיפור לטווח ארוך. בסופו של דבר הם פוגעים בכל היבטי החברה, הכלכלה, המדינה והביטחון </w:t>
      </w:r>
      <w:sdt>
        <w:sdtPr>
          <w:rPr>
            <w:rFonts w:ascii="Arial" w:hAnsi="Arial" w:cs="David" w:hint="cs"/>
            <w:sz w:val="24"/>
            <w:szCs w:val="24"/>
            <w:rtl/>
          </w:rPr>
          <w:id w:val="668340959"/>
          <w:citation/>
        </w:sdtPr>
        <w:sdtContent>
          <w:r w:rsidR="002B306D" w:rsidRPr="004D18A3">
            <w:rPr>
              <w:rFonts w:ascii="Arial" w:hAnsi="Arial" w:cs="David"/>
              <w:sz w:val="24"/>
              <w:szCs w:val="24"/>
              <w:rtl/>
            </w:rPr>
            <w:fldChar w:fldCharType="begin"/>
          </w:r>
          <w:r w:rsidRPr="004D18A3">
            <w:rPr>
              <w:rFonts w:ascii="Arial" w:hAnsi="Arial" w:cs="David"/>
              <w:sz w:val="24"/>
              <w:szCs w:val="24"/>
              <w:rtl/>
            </w:rPr>
            <w:instrText xml:space="preserve"> </w:instrText>
          </w:r>
          <w:r w:rsidRPr="004D18A3">
            <w:rPr>
              <w:rFonts w:ascii="Arial" w:hAnsi="Arial" w:cs="David" w:hint="cs"/>
              <w:sz w:val="24"/>
              <w:szCs w:val="24"/>
            </w:rPr>
            <w:instrText>CITATION</w:instrText>
          </w:r>
          <w:r w:rsidRPr="004D18A3">
            <w:rPr>
              <w:rFonts w:ascii="Arial" w:hAnsi="Arial" w:cs="David" w:hint="cs"/>
              <w:sz w:val="24"/>
              <w:szCs w:val="24"/>
              <w:rtl/>
            </w:rPr>
            <w:instrText xml:space="preserve"> שוח07 \</w:instrText>
          </w:r>
          <w:r w:rsidRPr="004D18A3">
            <w:rPr>
              <w:rFonts w:ascii="Arial" w:hAnsi="Arial" w:cs="David" w:hint="cs"/>
              <w:sz w:val="24"/>
              <w:szCs w:val="24"/>
            </w:rPr>
            <w:instrText>l 1037</w:instrText>
          </w:r>
          <w:r w:rsidRPr="004D18A3">
            <w:rPr>
              <w:rFonts w:ascii="Arial" w:hAnsi="Arial" w:cs="David"/>
              <w:sz w:val="24"/>
              <w:szCs w:val="24"/>
              <w:rtl/>
            </w:rPr>
            <w:instrText xml:space="preserve"> </w:instrText>
          </w:r>
          <w:r w:rsidR="002B306D" w:rsidRPr="004D18A3">
            <w:rPr>
              <w:rFonts w:ascii="Arial" w:hAnsi="Arial" w:cs="David"/>
              <w:sz w:val="24"/>
              <w:szCs w:val="24"/>
              <w:rtl/>
            </w:rPr>
            <w:fldChar w:fldCharType="separate"/>
          </w:r>
          <w:r w:rsidRPr="004D18A3">
            <w:rPr>
              <w:rFonts w:ascii="Arial" w:hAnsi="Arial" w:cs="David" w:hint="cs"/>
              <w:noProof/>
              <w:sz w:val="24"/>
              <w:szCs w:val="24"/>
              <w:rtl/>
            </w:rPr>
            <w:t>(שוחט, 2007)</w:t>
          </w:r>
          <w:r w:rsidR="002B306D" w:rsidRPr="004D18A3">
            <w:rPr>
              <w:rFonts w:ascii="Arial" w:hAnsi="Arial" w:cs="David"/>
              <w:sz w:val="24"/>
              <w:szCs w:val="24"/>
              <w:rtl/>
            </w:rPr>
            <w:fldChar w:fldCharType="end"/>
          </w:r>
        </w:sdtContent>
      </w:sdt>
      <w:r w:rsidRPr="004D18A3">
        <w:rPr>
          <w:rFonts w:ascii="Arial" w:hAnsi="Arial" w:cs="David" w:hint="cs"/>
          <w:sz w:val="24"/>
          <w:szCs w:val="24"/>
          <w:rtl/>
        </w:rPr>
        <w:t>.</w:t>
      </w:r>
    </w:p>
    <w:p w:rsidR="003D4D04" w:rsidRDefault="003D4D04" w:rsidP="00A67435">
      <w:pPr>
        <w:bidi/>
        <w:spacing w:line="360" w:lineRule="auto"/>
        <w:ind w:left="-46"/>
        <w:jc w:val="both"/>
        <w:rPr>
          <w:rFonts w:ascii="Arial" w:hAnsi="Arial" w:cs="David" w:hint="cs"/>
          <w:sz w:val="24"/>
          <w:szCs w:val="24"/>
          <w:rtl/>
        </w:rPr>
      </w:pPr>
      <w:r>
        <w:rPr>
          <w:rFonts w:ascii="Arial" w:hAnsi="Arial" w:cs="David" w:hint="cs"/>
          <w:sz w:val="24"/>
          <w:szCs w:val="24"/>
          <w:rtl/>
        </w:rPr>
        <w:t>במסקנותיה, התייחסה ועדת אור לחוסר המשילות שבאה לידי ביטוי בכך שרשויות האכיפה (ולא רק המשטרה) נדרשות לפעול ביתר שאת על מנת להבטיח נורמות של ציות לחוק בחברה הערבית:</w:t>
      </w:r>
    </w:p>
    <w:p w:rsidR="00E80B46" w:rsidRPr="004D18A3" w:rsidRDefault="00E20DE1" w:rsidP="00E20DE1">
      <w:pPr>
        <w:bidi/>
        <w:spacing w:line="360" w:lineRule="auto"/>
        <w:ind w:left="-46"/>
        <w:jc w:val="both"/>
        <w:rPr>
          <w:rFonts w:ascii="Arial" w:hAnsi="Arial" w:cs="David"/>
          <w:sz w:val="24"/>
          <w:szCs w:val="24"/>
          <w:rtl/>
        </w:rPr>
      </w:pPr>
      <w:r w:rsidRPr="004D18A3">
        <w:rPr>
          <w:rFonts w:ascii="Arial" w:hAnsi="Arial" w:cs="David" w:hint="cs"/>
          <w:sz w:val="24"/>
          <w:szCs w:val="24"/>
          <w:rtl/>
        </w:rPr>
        <w:t xml:space="preserve">" </w:t>
      </w:r>
      <w:r w:rsidRPr="004D18A3">
        <w:rPr>
          <w:rFonts w:ascii="Arial" w:hAnsi="Arial" w:cs="David" w:hint="cs"/>
          <w:b/>
          <w:bCs/>
          <w:i/>
          <w:iCs/>
          <w:sz w:val="24"/>
          <w:szCs w:val="24"/>
          <w:rtl/>
        </w:rPr>
        <w:t xml:space="preserve"> בד בבד, על המשטרה לגלות עמדה ברורה בכל הנוגע לאכיפת החוק מול המגזר הערבי. לא אחת מתקבל הרושם כי ננקטת גישה בלתי ברורה בהקשר זה, אין לכך מקום. מדינת ישראל היא מדינת חוק. שלטון החוק מחייב שוויון בכפיפות לחוק ואת אכיפתו של החוק על כולם. גישת רשויות האכיפה בהקשר זה חייבת להיות עקבית ושיטתית. בין אם מדובר בקריאות בלתי חוקיות לשימוש באלימות לסוגיה</w:t>
      </w:r>
      <w:r w:rsidR="00E80B46" w:rsidRPr="004D18A3">
        <w:rPr>
          <w:rFonts w:ascii="Arial" w:hAnsi="Arial" w:cs="David" w:hint="cs"/>
          <w:b/>
          <w:bCs/>
          <w:i/>
          <w:iCs/>
          <w:sz w:val="24"/>
          <w:szCs w:val="24"/>
          <w:rtl/>
        </w:rPr>
        <w:t xml:space="preserve"> ובין אם מדובר בתופעות בלתי חוקיות אחרות"</w:t>
      </w:r>
      <w:sdt>
        <w:sdtPr>
          <w:rPr>
            <w:rFonts w:ascii="Arial" w:hAnsi="Arial" w:cs="David" w:hint="cs"/>
            <w:sz w:val="24"/>
            <w:szCs w:val="24"/>
            <w:rtl/>
          </w:rPr>
          <w:id w:val="668340961"/>
          <w:citation/>
        </w:sdtPr>
        <w:sdtContent>
          <w:r w:rsidR="002B306D" w:rsidRPr="004D18A3">
            <w:rPr>
              <w:rFonts w:ascii="Arial" w:hAnsi="Arial" w:cs="David"/>
              <w:sz w:val="24"/>
              <w:szCs w:val="24"/>
              <w:rtl/>
            </w:rPr>
            <w:fldChar w:fldCharType="begin"/>
          </w:r>
          <w:r w:rsidR="00E80B46" w:rsidRPr="004D18A3">
            <w:rPr>
              <w:rFonts w:ascii="Arial" w:hAnsi="Arial" w:cs="David"/>
              <w:sz w:val="24"/>
              <w:szCs w:val="24"/>
              <w:rtl/>
            </w:rPr>
            <w:instrText xml:space="preserve"> </w:instrText>
          </w:r>
          <w:r w:rsidR="00E80B46" w:rsidRPr="004D18A3">
            <w:rPr>
              <w:rFonts w:ascii="Arial" w:hAnsi="Arial" w:cs="David" w:hint="cs"/>
              <w:sz w:val="24"/>
              <w:szCs w:val="24"/>
            </w:rPr>
            <w:instrText>CITATION</w:instrText>
          </w:r>
          <w:r w:rsidR="00E80B46" w:rsidRPr="004D18A3">
            <w:rPr>
              <w:rFonts w:ascii="Arial" w:hAnsi="Arial" w:cs="David" w:hint="cs"/>
              <w:sz w:val="24"/>
              <w:szCs w:val="24"/>
              <w:rtl/>
            </w:rPr>
            <w:instrText xml:space="preserve"> ועד \</w:instrText>
          </w:r>
          <w:r w:rsidR="00E80B46" w:rsidRPr="004D18A3">
            <w:rPr>
              <w:rFonts w:ascii="Arial" w:hAnsi="Arial" w:cs="David" w:hint="cs"/>
              <w:sz w:val="24"/>
              <w:szCs w:val="24"/>
            </w:rPr>
            <w:instrText>l 1037</w:instrText>
          </w:r>
          <w:r w:rsidR="00E80B46" w:rsidRPr="004D18A3">
            <w:rPr>
              <w:rFonts w:ascii="Arial" w:hAnsi="Arial" w:cs="David"/>
              <w:sz w:val="24"/>
              <w:szCs w:val="24"/>
              <w:rtl/>
            </w:rPr>
            <w:instrText xml:space="preserve"> </w:instrText>
          </w:r>
          <w:r w:rsidR="002B306D" w:rsidRPr="004D18A3">
            <w:rPr>
              <w:rFonts w:ascii="Arial" w:hAnsi="Arial" w:cs="David"/>
              <w:sz w:val="24"/>
              <w:szCs w:val="24"/>
              <w:rtl/>
            </w:rPr>
            <w:fldChar w:fldCharType="separate"/>
          </w:r>
          <w:r w:rsidR="00E80B46" w:rsidRPr="004D18A3">
            <w:rPr>
              <w:rFonts w:ascii="Arial" w:hAnsi="Arial" w:cs="David"/>
              <w:noProof/>
              <w:sz w:val="24"/>
              <w:szCs w:val="24"/>
              <w:rtl/>
            </w:rPr>
            <w:t xml:space="preserve"> </w:t>
          </w:r>
          <w:r w:rsidR="00E80B46" w:rsidRPr="004D18A3">
            <w:rPr>
              <w:rFonts w:ascii="Arial" w:hAnsi="Arial" w:cs="David" w:hint="cs"/>
              <w:noProof/>
              <w:sz w:val="24"/>
              <w:szCs w:val="24"/>
              <w:rtl/>
            </w:rPr>
            <w:t>(ועדת חקירה ממלכתית בראשות השופט תיאודור אור, 2003)</w:t>
          </w:r>
          <w:r w:rsidR="002B306D" w:rsidRPr="004D18A3">
            <w:rPr>
              <w:rFonts w:ascii="Arial" w:hAnsi="Arial" w:cs="David"/>
              <w:sz w:val="24"/>
              <w:szCs w:val="24"/>
              <w:rtl/>
            </w:rPr>
            <w:fldChar w:fldCharType="end"/>
          </w:r>
        </w:sdtContent>
      </w:sdt>
      <w:r w:rsidRPr="004D18A3">
        <w:rPr>
          <w:rFonts w:ascii="Arial" w:hAnsi="Arial" w:cs="David" w:hint="cs"/>
          <w:sz w:val="24"/>
          <w:szCs w:val="24"/>
          <w:rtl/>
        </w:rPr>
        <w:t xml:space="preserve"> </w:t>
      </w:r>
      <w:r w:rsidR="00D412E9" w:rsidRPr="004D18A3">
        <w:rPr>
          <w:rFonts w:ascii="Arial" w:hAnsi="Arial" w:cs="David" w:hint="cs"/>
          <w:sz w:val="24"/>
          <w:szCs w:val="24"/>
          <w:rtl/>
        </w:rPr>
        <w:t xml:space="preserve"> </w:t>
      </w:r>
    </w:p>
    <w:p w:rsidR="000F7E74" w:rsidRPr="004D18A3" w:rsidRDefault="00E52AD2" w:rsidP="002E0572">
      <w:pPr>
        <w:bidi/>
        <w:spacing w:line="360" w:lineRule="auto"/>
        <w:ind w:left="-46"/>
        <w:jc w:val="both"/>
        <w:rPr>
          <w:rFonts w:ascii="Arial" w:hAnsi="Arial" w:cs="David"/>
          <w:sz w:val="24"/>
          <w:szCs w:val="24"/>
          <w:rtl/>
        </w:rPr>
      </w:pPr>
      <w:r w:rsidRPr="004D18A3">
        <w:rPr>
          <w:rFonts w:ascii="Arial" w:hAnsi="Arial" w:cs="David" w:hint="cs"/>
          <w:sz w:val="24"/>
          <w:szCs w:val="24"/>
          <w:rtl/>
        </w:rPr>
        <w:lastRenderedPageBreak/>
        <w:t xml:space="preserve">יש לציין כי מאז פרסומן של מסקנות הועדה, פעלה משטרת ישראל רבות כדי ליישם את הלקחים ולשפר את הקשר ואת האמון עם האוכלוסייה הערבית. </w:t>
      </w:r>
      <w:r w:rsidR="00494407" w:rsidRPr="004D18A3">
        <w:rPr>
          <w:rFonts w:ascii="Arial" w:hAnsi="Arial" w:cs="David" w:hint="cs"/>
          <w:sz w:val="24"/>
          <w:szCs w:val="24"/>
          <w:rtl/>
        </w:rPr>
        <w:t xml:space="preserve">המשטרה הקימה נקודות שיטור קהילתי ביישובים ובשכונות ערביות. השוטרים הקהילתיים שיפרו את היחס והשירות לאזרח ופחות עסקו באכיפה וחיכוך, הם השתלבו בהרצאות ופעילויות בבתי הספר ובמקרים רבים, התושבים ראו בהם כתובת שאליה ניתן לפנות ולקבל עזרה. מעבר למרכזי השיטור הקהילתי, הוקמו בישובים ערביים נקודות משטרה גדולות ומשמעותיות יותר שיכלו לספק מרחב מגוון יותר של שירותים לקהילה. </w:t>
      </w:r>
      <w:r w:rsidR="002E0572" w:rsidRPr="004D18A3">
        <w:rPr>
          <w:rFonts w:ascii="Arial" w:hAnsi="Arial" w:cs="David" w:hint="cs"/>
          <w:sz w:val="24"/>
          <w:szCs w:val="24"/>
          <w:rtl/>
        </w:rPr>
        <w:t>בעקבות החלטת הממשלה 1402 העוסקת בשיפור הביטחון האישי במגזר הערבי, הוקמו 11 תחנות ונקודות משטרה חדשות ביישובים הערביים וכן הוקצו משאבים ניכרים לחיזוק התחנות הקיימות במגזר הערבי. התחנות החדשות הוקמו בלבם של יישובים שבעבר ידעו עימותים קשים עם המשטרה כמו - כפר כנא, טמרה וג'אסר א-זרקה. סקרים שביצעה המשטרה באמצעות מנהלת המגזר הערבי, מצביעים על מגמת שיפור באמון הציבור באותן תחנות וקליטת המסר כי המשטרה פועלת למען הציבור המקומי בשיפור ביטחונו האישי ואיכות חייו.</w:t>
      </w:r>
    </w:p>
    <w:p w:rsidR="00E90E08" w:rsidRPr="004D18A3" w:rsidRDefault="00383279" w:rsidP="00F13E8D">
      <w:pPr>
        <w:bidi/>
        <w:spacing w:line="360" w:lineRule="auto"/>
        <w:ind w:left="-46"/>
        <w:jc w:val="both"/>
        <w:rPr>
          <w:rFonts w:ascii="Arial" w:hAnsi="Arial" w:cs="David"/>
          <w:sz w:val="24"/>
          <w:szCs w:val="24"/>
          <w:rtl/>
        </w:rPr>
      </w:pPr>
      <w:r w:rsidRPr="004D18A3">
        <w:rPr>
          <w:rFonts w:ascii="Arial" w:hAnsi="Arial" w:cs="David" w:hint="cs"/>
          <w:sz w:val="24"/>
          <w:szCs w:val="24"/>
          <w:rtl/>
        </w:rPr>
        <w:t xml:space="preserve">עם זאת ולמרות כל האמור לעיל, מסתבר כי פערי המשילות במגזר הערבי עדיין גדולים ומשמעותיים. בשנת 2017 התקיים מחקר משותף למשטרת ישראל ואוניברסיטה העברית בירושלים בראשותו של פרופ' באדי חסייסי מן המכון לקרימינולוגיה, במטרה לבחון את אתגרי השיטור בחברה הערבית דרך נקודת המבט של מפקדי תחנות המשטרה במגזר הערבי כאשר הציר הראשון במחקר נוגע בשאלת המשילות. </w:t>
      </w:r>
      <w:r w:rsidR="00F46FCA" w:rsidRPr="004D18A3">
        <w:rPr>
          <w:rFonts w:ascii="Arial" w:hAnsi="Arial" w:cs="David" w:hint="cs"/>
          <w:sz w:val="24"/>
          <w:szCs w:val="24"/>
          <w:rtl/>
        </w:rPr>
        <w:t xml:space="preserve">עוד במחקרים קודמים, הראה חסייסי כי בחברות שסועות לאורך קווים אתניים, הפיקוח הרב יחסית של המשטרה אינו מעיד על משילות גבוהה, אלא, אולי אף להיפך </w:t>
      </w:r>
      <w:r w:rsidR="00F46FCA" w:rsidRPr="004D18A3">
        <w:rPr>
          <w:rFonts w:ascii="Arial" w:hAnsi="Arial" w:cs="David"/>
          <w:sz w:val="24"/>
          <w:szCs w:val="24"/>
          <w:rtl/>
        </w:rPr>
        <w:t>–</w:t>
      </w:r>
      <w:r w:rsidR="00F46FCA" w:rsidRPr="004D18A3">
        <w:rPr>
          <w:rFonts w:ascii="Arial" w:hAnsi="Arial" w:cs="David" w:hint="cs"/>
          <w:sz w:val="24"/>
          <w:szCs w:val="24"/>
          <w:rtl/>
        </w:rPr>
        <w:t xml:space="preserve"> על חוסר משילות. במקרים כאלה, למדינה אין יכולת (ולעיתים גם רצון) ליצור קונפורמיזם בקבוצת המיעוט, דרך מנגנונים פורמאליים שגרתיים מאחר ואלה מבוססים על ליבה תרבותית שקבוצת המיעוט אינה שותפה לה. כתוצאה מכך, בקרב המיעוט נוצר מצב שאותו מכנה חסייסי כ"היעדר חוק" (אי-ליגליזם) המתווסף לתחושה של ניכור והזנחה מצד הממשלה ומקצין עוד יותר את תחושת "היעדר החוק". מצב זה עלול לגרום למשטרה לבנות דפוס של שיטור מבדל הגורם למעורבות מינימאלית ודיפרנציאלית בענייני קהילת המיעוט. נוצר מצב שבו בתחומים מסוימים יש שיטור יתר ובאחרים שיטור חסר ובתוך הקהילה משתמרים מוסדות שנתפסים כאותנטיים ואנשים נוטים לקחת את החוק לידיהם בתהליכי "עשיית סדר" מחוץ להסדר החוקי </w:t>
      </w:r>
      <w:sdt>
        <w:sdtPr>
          <w:rPr>
            <w:rFonts w:ascii="Arial" w:hAnsi="Arial" w:cs="David" w:hint="cs"/>
            <w:sz w:val="24"/>
            <w:szCs w:val="24"/>
            <w:rtl/>
          </w:rPr>
          <w:id w:val="668340962"/>
          <w:citation/>
        </w:sdtPr>
        <w:sdtContent>
          <w:r w:rsidR="002B306D" w:rsidRPr="004D18A3">
            <w:rPr>
              <w:rFonts w:ascii="Arial" w:hAnsi="Arial" w:cs="David"/>
              <w:sz w:val="24"/>
              <w:szCs w:val="24"/>
              <w:rtl/>
            </w:rPr>
            <w:fldChar w:fldCharType="begin"/>
          </w:r>
          <w:r w:rsidR="00F46FCA" w:rsidRPr="004D18A3">
            <w:rPr>
              <w:rFonts w:ascii="Arial" w:hAnsi="Arial" w:cs="David"/>
              <w:sz w:val="24"/>
              <w:szCs w:val="24"/>
              <w:rtl/>
            </w:rPr>
            <w:instrText xml:space="preserve"> </w:instrText>
          </w:r>
          <w:r w:rsidR="00F46FCA" w:rsidRPr="004D18A3">
            <w:rPr>
              <w:rFonts w:ascii="Arial" w:hAnsi="Arial" w:cs="David" w:hint="cs"/>
              <w:sz w:val="24"/>
              <w:szCs w:val="24"/>
            </w:rPr>
            <w:instrText>CITATION</w:instrText>
          </w:r>
          <w:r w:rsidR="00F46FCA" w:rsidRPr="004D18A3">
            <w:rPr>
              <w:rFonts w:ascii="Arial" w:hAnsi="Arial" w:cs="David" w:hint="cs"/>
              <w:sz w:val="24"/>
              <w:szCs w:val="24"/>
              <w:rtl/>
            </w:rPr>
            <w:instrText xml:space="preserve"> באד17 \</w:instrText>
          </w:r>
          <w:r w:rsidR="00F46FCA" w:rsidRPr="004D18A3">
            <w:rPr>
              <w:rFonts w:ascii="Arial" w:hAnsi="Arial" w:cs="David" w:hint="cs"/>
              <w:sz w:val="24"/>
              <w:szCs w:val="24"/>
            </w:rPr>
            <w:instrText>l 1037</w:instrText>
          </w:r>
          <w:r w:rsidR="00F46FCA" w:rsidRPr="004D18A3">
            <w:rPr>
              <w:rFonts w:ascii="Arial" w:hAnsi="Arial" w:cs="David"/>
              <w:sz w:val="24"/>
              <w:szCs w:val="24"/>
              <w:rtl/>
            </w:rPr>
            <w:instrText xml:space="preserve"> </w:instrText>
          </w:r>
          <w:r w:rsidR="002B306D" w:rsidRPr="004D18A3">
            <w:rPr>
              <w:rFonts w:ascii="Arial" w:hAnsi="Arial" w:cs="David"/>
              <w:sz w:val="24"/>
              <w:szCs w:val="24"/>
              <w:rtl/>
            </w:rPr>
            <w:fldChar w:fldCharType="separate"/>
          </w:r>
          <w:r w:rsidR="00F46FCA" w:rsidRPr="004D18A3">
            <w:rPr>
              <w:rFonts w:ascii="Arial" w:hAnsi="Arial" w:cs="David" w:hint="cs"/>
              <w:noProof/>
              <w:sz w:val="24"/>
              <w:szCs w:val="24"/>
              <w:rtl/>
            </w:rPr>
            <w:t>(באדי חסייסי, 2017)</w:t>
          </w:r>
          <w:r w:rsidR="002B306D" w:rsidRPr="004D18A3">
            <w:rPr>
              <w:rFonts w:ascii="Arial" w:hAnsi="Arial" w:cs="David"/>
              <w:sz w:val="24"/>
              <w:szCs w:val="24"/>
              <w:rtl/>
            </w:rPr>
            <w:fldChar w:fldCharType="end"/>
          </w:r>
        </w:sdtContent>
      </w:sdt>
      <w:r w:rsidR="004E6637" w:rsidRPr="004D18A3">
        <w:rPr>
          <w:rFonts w:ascii="Arial" w:hAnsi="Arial" w:cs="David" w:hint="cs"/>
          <w:sz w:val="24"/>
          <w:szCs w:val="24"/>
          <w:rtl/>
        </w:rPr>
        <w:t>.</w:t>
      </w:r>
      <w:r w:rsidRPr="004D18A3">
        <w:rPr>
          <w:rFonts w:ascii="Arial" w:hAnsi="Arial" w:cs="David" w:hint="cs"/>
          <w:sz w:val="24"/>
          <w:szCs w:val="24"/>
          <w:rtl/>
        </w:rPr>
        <w:t xml:space="preserve"> </w:t>
      </w:r>
      <w:r w:rsidR="00FD6E30" w:rsidRPr="004D18A3">
        <w:rPr>
          <w:rFonts w:ascii="Arial" w:hAnsi="Arial" w:cs="David" w:hint="cs"/>
          <w:sz w:val="24"/>
          <w:szCs w:val="24"/>
          <w:rtl/>
        </w:rPr>
        <w:t xml:space="preserve">  </w:t>
      </w:r>
      <w:r w:rsidR="002F7940" w:rsidRPr="004D18A3">
        <w:rPr>
          <w:rFonts w:ascii="Arial" w:hAnsi="Arial" w:cs="David" w:hint="cs"/>
          <w:sz w:val="24"/>
          <w:szCs w:val="24"/>
          <w:rtl/>
        </w:rPr>
        <w:t>במחקר הנוכחי, מ</w:t>
      </w:r>
      <w:r w:rsidR="00095570" w:rsidRPr="004D18A3">
        <w:rPr>
          <w:rFonts w:ascii="Arial" w:hAnsi="Arial" w:cs="David" w:hint="cs"/>
          <w:sz w:val="24"/>
          <w:szCs w:val="24"/>
          <w:rtl/>
        </w:rPr>
        <w:t xml:space="preserve">צביע חסייסי על נושא המשילות כבעל משמעות להבנת יחסי משטרה-חברה. הממצאים הנובעים מראיונות עם המפקדים, תואמים לתיאוריה שלעיל. קיים פיקוח רב יחסית של המשטרה אך עם זאת, נוצרים איים של חוסר משילות ותפיסה נבדלת לחוק וסדר. המצב נובע, בין היתר, מתפקידה הדואלי של המשטרה העוסקת בכובע אחד בביטחון הפנים שאז האזרח הערבי נתפס כאיום פוטנציאלי ובכובע השני כמשטרה העוסקת במתן שירות שיטור בסיסי ואז האזרח הערבי הוא הלקוח. התפקיד הכפול של המשטרה, במישור הלאומי מול המישור המקומי והשפעות ייצוג היתר של החברה הערבית בעבירות אלימות והפרות סדר הופכים את הקשר עם המשטרה למתוח ביותר. </w:t>
      </w:r>
    </w:p>
    <w:p w:rsidR="009A72FD" w:rsidRPr="004D18A3" w:rsidRDefault="005D5869" w:rsidP="005D5869">
      <w:pPr>
        <w:bidi/>
        <w:spacing w:line="360" w:lineRule="auto"/>
        <w:ind w:left="-46"/>
        <w:jc w:val="both"/>
        <w:rPr>
          <w:rFonts w:ascii="Arial" w:hAnsi="Arial" w:cs="David"/>
          <w:sz w:val="24"/>
          <w:szCs w:val="24"/>
          <w:rtl/>
        </w:rPr>
      </w:pPr>
      <w:r w:rsidRPr="004D18A3">
        <w:rPr>
          <w:rFonts w:ascii="Arial" w:hAnsi="Arial" w:cs="David" w:hint="cs"/>
          <w:sz w:val="24"/>
          <w:szCs w:val="24"/>
          <w:rtl/>
        </w:rPr>
        <w:t>בעניין זה יש להוסיף כי רשויות הפיקוח והאכיפה האזרחיות נרתעות לא אחת מלבצע את תפקידם במגזר הערבי ופעילותם מותנית בליווי של המשטרה.</w:t>
      </w:r>
      <w:r w:rsidR="001D1336" w:rsidRPr="004D18A3">
        <w:rPr>
          <w:rFonts w:ascii="Arial" w:hAnsi="Arial" w:cs="David" w:hint="cs"/>
          <w:sz w:val="24"/>
          <w:szCs w:val="24"/>
          <w:rtl/>
        </w:rPr>
        <w:t xml:space="preserve"> רתיעה זו נובעת ממקרים של איומים או אלימות של ממש כלפי ממלאי תפקידים ציבוריים, לדוגמה </w:t>
      </w:r>
      <w:r w:rsidR="001D1336" w:rsidRPr="004D18A3">
        <w:rPr>
          <w:rFonts w:ascii="Arial" w:hAnsi="Arial" w:cs="David"/>
          <w:sz w:val="24"/>
          <w:szCs w:val="24"/>
          <w:rtl/>
        </w:rPr>
        <w:t>–</w:t>
      </w:r>
      <w:r w:rsidR="001D1336" w:rsidRPr="004D18A3">
        <w:rPr>
          <w:rFonts w:ascii="Arial" w:hAnsi="Arial" w:cs="David" w:hint="cs"/>
          <w:sz w:val="24"/>
          <w:szCs w:val="24"/>
          <w:rtl/>
        </w:rPr>
        <w:t xml:space="preserve"> בחודש אוגוסט 2017 הושלכו שני רימוני רסס על ביתו של פקח ברשות מקרקעי ישראל בשאר יישוב. ככל הנראה המעשה קשור לכך שהפקח ביצע פעילות אכיפה באחד הכפרים הערביים בגליל והמסר האלים </w:t>
      </w:r>
      <w:r w:rsidR="00963D14" w:rsidRPr="004D18A3">
        <w:rPr>
          <w:rFonts w:ascii="Arial" w:hAnsi="Arial" w:cs="David" w:hint="cs"/>
          <w:sz w:val="24"/>
          <w:szCs w:val="24"/>
          <w:rtl/>
        </w:rPr>
        <w:t>ישפיע בוודאי על רמת המוטיבציה שלו וגם של עמיתיו, להמשיך ולאכוף נגד פלישות לאדמות המדינה.</w:t>
      </w:r>
      <w:r w:rsidRPr="004D18A3">
        <w:rPr>
          <w:rFonts w:ascii="Arial" w:hAnsi="Arial" w:cs="David" w:hint="cs"/>
          <w:sz w:val="24"/>
          <w:szCs w:val="24"/>
          <w:rtl/>
        </w:rPr>
        <w:t xml:space="preserve"> לעיתים קרובות, מתוך רצון של המפקדים במשטרה לשנות את תפיסת המשילות, המשטרה היא שיוזמת פעולות פיקוח ואכיפה שכלל אינן בתחום אחריותה ודוחקת </w:t>
      </w:r>
      <w:r w:rsidRPr="004D18A3">
        <w:rPr>
          <w:rFonts w:ascii="Arial" w:hAnsi="Arial" w:cs="David" w:hint="cs"/>
          <w:sz w:val="24"/>
          <w:szCs w:val="24"/>
          <w:rtl/>
        </w:rPr>
        <w:lastRenderedPageBreak/>
        <w:t xml:space="preserve">בגורמי הפיקוח להצטרף לפעילות. במחוז הצפוני של המשטרה מכונה פעילות זו כ "שולחן עגול" ונערכת ביוזמת המשטרה בתחומי אכיפה אזרחיים כמו פיקוח על מכירת בשר באטליזים, פיקוח על מרעה, גביית חובות מים ומסים ועוד. </w:t>
      </w:r>
    </w:p>
    <w:p w:rsidR="007B7940" w:rsidRPr="004D18A3" w:rsidRDefault="00F353F8" w:rsidP="009A7753">
      <w:pPr>
        <w:bidi/>
        <w:spacing w:line="360" w:lineRule="auto"/>
        <w:ind w:left="-46"/>
        <w:jc w:val="both"/>
        <w:rPr>
          <w:rFonts w:ascii="Arial" w:hAnsi="Arial" w:cs="David"/>
          <w:sz w:val="24"/>
          <w:szCs w:val="24"/>
          <w:rtl/>
        </w:rPr>
      </w:pPr>
      <w:r w:rsidRPr="004D18A3">
        <w:rPr>
          <w:rFonts w:ascii="Arial" w:hAnsi="Arial" w:cs="David" w:hint="cs"/>
          <w:sz w:val="24"/>
          <w:szCs w:val="24"/>
          <w:rtl/>
        </w:rPr>
        <w:t>לסיכום נושא המשילות בחברה הערבית יש להדגיש כי העדרה של המדינה גורם לחלל שאותו ממלאים בעלי עניין. חלקם, מתוך כוונות חיוביות שמטרתן לגשר על הפער ולאפשר איכות חיים ראויה, כפי שעושים פעילים חברתיים או כפי שפועלת המשטרה במקרים רבים וחלקם האחר הם גורמים פליליים שממלאים את החלל כדי לצבור כוח והשפעה. הג</w:t>
      </w:r>
      <w:r w:rsidR="00573563" w:rsidRPr="004D18A3">
        <w:rPr>
          <w:rFonts w:ascii="Arial" w:hAnsi="Arial" w:cs="David" w:hint="cs"/>
          <w:sz w:val="24"/>
          <w:szCs w:val="24"/>
          <w:rtl/>
        </w:rPr>
        <w:t>ו</w:t>
      </w:r>
      <w:r w:rsidRPr="004D18A3">
        <w:rPr>
          <w:rFonts w:ascii="Arial" w:hAnsi="Arial" w:cs="David" w:hint="cs"/>
          <w:sz w:val="24"/>
          <w:szCs w:val="24"/>
          <w:rtl/>
        </w:rPr>
        <w:t>רמים הפליליים הבולטים ביותר עוסקים בתחומים כלכליים, כמו ניהול "בנקים פרטיים", מתן הלוואות, גביית חובות ועוד וכן בתחומי</w:t>
      </w:r>
      <w:r w:rsidR="007B7940" w:rsidRPr="004D18A3">
        <w:rPr>
          <w:rFonts w:ascii="Arial" w:hAnsi="Arial" w:cs="David" w:hint="cs"/>
          <w:sz w:val="24"/>
          <w:szCs w:val="24"/>
          <w:rtl/>
        </w:rPr>
        <w:t>ם אחרים כמו בוררות בסכסוכים, שמירה ואבטחה ועוד. אותם עבריינים הממלאים את החלל שנוצר עקב העדר המשילות בחברה הערבית, הם גורם מרכזי ב</w:t>
      </w:r>
      <w:r w:rsidR="009A7753">
        <w:rPr>
          <w:rFonts w:ascii="Arial" w:hAnsi="Arial" w:cs="David" w:hint="cs"/>
          <w:sz w:val="24"/>
          <w:szCs w:val="24"/>
          <w:rtl/>
        </w:rPr>
        <w:t>השפעתו על היקף הפשיעה ומאפייניה.</w:t>
      </w:r>
    </w:p>
    <w:p w:rsidR="00793A85" w:rsidRPr="00714CE6" w:rsidRDefault="006108DB" w:rsidP="00714CE6">
      <w:pPr>
        <w:pStyle w:val="1"/>
        <w:bidi/>
        <w:rPr>
          <w:rFonts w:ascii="David" w:hAnsi="David" w:cs="David"/>
          <w:rtl/>
        </w:rPr>
      </w:pPr>
      <w:bookmarkStart w:id="22" w:name="_Toc4948723"/>
      <w:bookmarkStart w:id="23" w:name="_Toc4950577"/>
      <w:bookmarkStart w:id="24" w:name="_Toc5984341"/>
      <w:r w:rsidRPr="00714CE6">
        <w:rPr>
          <w:rFonts w:ascii="David" w:hAnsi="David" w:cs="David"/>
          <w:rtl/>
        </w:rPr>
        <w:t xml:space="preserve">תחושת הביטחון האישי, </w:t>
      </w:r>
      <w:r w:rsidR="00793A85" w:rsidRPr="00714CE6">
        <w:rPr>
          <w:rFonts w:ascii="David" w:hAnsi="David" w:cs="David"/>
          <w:rtl/>
        </w:rPr>
        <w:t>האמון במשטרה</w:t>
      </w:r>
      <w:r w:rsidRPr="00714CE6">
        <w:rPr>
          <w:rFonts w:ascii="David" w:hAnsi="David" w:cs="David"/>
          <w:rtl/>
        </w:rPr>
        <w:t xml:space="preserve"> והציות לחוק</w:t>
      </w:r>
      <w:r w:rsidR="00793A85" w:rsidRPr="00714CE6">
        <w:rPr>
          <w:rFonts w:ascii="David" w:hAnsi="David" w:cs="David"/>
          <w:rtl/>
        </w:rPr>
        <w:t xml:space="preserve"> בחברה הערבית</w:t>
      </w:r>
      <w:bookmarkEnd w:id="22"/>
      <w:bookmarkEnd w:id="23"/>
      <w:bookmarkEnd w:id="24"/>
    </w:p>
    <w:p w:rsidR="00577AF5" w:rsidRPr="004D18A3" w:rsidRDefault="00344620" w:rsidP="00820892">
      <w:pPr>
        <w:bidi/>
        <w:spacing w:line="360" w:lineRule="auto"/>
        <w:ind w:left="-46"/>
        <w:jc w:val="both"/>
        <w:rPr>
          <w:rFonts w:ascii="Arial" w:hAnsi="Arial" w:cs="David"/>
          <w:sz w:val="24"/>
          <w:szCs w:val="24"/>
          <w:rtl/>
        </w:rPr>
      </w:pPr>
      <w:r w:rsidRPr="004D18A3">
        <w:rPr>
          <w:rFonts w:ascii="Arial" w:hAnsi="Arial" w:cs="David" w:hint="cs"/>
          <w:sz w:val="24"/>
          <w:szCs w:val="24"/>
          <w:rtl/>
        </w:rPr>
        <w:t>אמון הציבור במשטרה ותחושת הביטחון האישי הם מושגים שלובים זה בזה ומהווים נדבך מרכזי ביכולת התפקוד של המשטרה במדינה דמוקרטית. אמון הציבור במשטרה הוא הבסיס ללגיטימציה שהיא מקבלת כדי לפעול</w:t>
      </w:r>
      <w:sdt>
        <w:sdtPr>
          <w:rPr>
            <w:rFonts w:ascii="Arial" w:hAnsi="Arial" w:cs="David" w:hint="cs"/>
            <w:sz w:val="24"/>
            <w:szCs w:val="24"/>
            <w:rtl/>
          </w:rPr>
          <w:id w:val="668340986"/>
          <w:citation/>
        </w:sdtPr>
        <w:sdtContent>
          <w:r w:rsidR="002B306D" w:rsidRPr="004D18A3">
            <w:rPr>
              <w:rFonts w:ascii="Arial" w:hAnsi="Arial" w:cs="David"/>
              <w:sz w:val="24"/>
              <w:szCs w:val="24"/>
              <w:rtl/>
            </w:rPr>
            <w:fldChar w:fldCharType="begin"/>
          </w:r>
          <w:r w:rsidR="00762547" w:rsidRPr="004D18A3">
            <w:rPr>
              <w:rFonts w:ascii="Arial" w:hAnsi="Arial" w:cs="David"/>
              <w:sz w:val="24"/>
              <w:szCs w:val="24"/>
              <w:rtl/>
            </w:rPr>
            <w:instrText xml:space="preserve"> </w:instrText>
          </w:r>
          <w:r w:rsidR="00762547" w:rsidRPr="004D18A3">
            <w:rPr>
              <w:rFonts w:ascii="Arial" w:hAnsi="Arial" w:cs="David" w:hint="cs"/>
              <w:sz w:val="24"/>
              <w:szCs w:val="24"/>
            </w:rPr>
            <w:instrText>CITATION</w:instrText>
          </w:r>
          <w:r w:rsidR="00762547" w:rsidRPr="004D18A3">
            <w:rPr>
              <w:rFonts w:ascii="Arial" w:hAnsi="Arial" w:cs="David" w:hint="cs"/>
              <w:sz w:val="24"/>
              <w:szCs w:val="24"/>
              <w:rtl/>
            </w:rPr>
            <w:instrText xml:space="preserve"> אבי12 \</w:instrText>
          </w:r>
          <w:r w:rsidR="00762547" w:rsidRPr="004D18A3">
            <w:rPr>
              <w:rFonts w:ascii="Arial" w:hAnsi="Arial" w:cs="David" w:hint="cs"/>
              <w:sz w:val="24"/>
              <w:szCs w:val="24"/>
            </w:rPr>
            <w:instrText>l 1037</w:instrText>
          </w:r>
          <w:r w:rsidR="00762547" w:rsidRPr="004D18A3">
            <w:rPr>
              <w:rFonts w:ascii="Arial" w:hAnsi="Arial" w:cs="David"/>
              <w:sz w:val="24"/>
              <w:szCs w:val="24"/>
              <w:rtl/>
            </w:rPr>
            <w:instrText xml:space="preserve"> </w:instrText>
          </w:r>
          <w:r w:rsidR="002B306D" w:rsidRPr="004D18A3">
            <w:rPr>
              <w:rFonts w:ascii="Arial" w:hAnsi="Arial" w:cs="David"/>
              <w:sz w:val="24"/>
              <w:szCs w:val="24"/>
              <w:rtl/>
            </w:rPr>
            <w:fldChar w:fldCharType="separate"/>
          </w:r>
          <w:r w:rsidR="00762547" w:rsidRPr="004D18A3">
            <w:rPr>
              <w:rFonts w:ascii="Arial" w:hAnsi="Arial" w:cs="David"/>
              <w:noProof/>
              <w:sz w:val="24"/>
              <w:szCs w:val="24"/>
              <w:rtl/>
            </w:rPr>
            <w:t xml:space="preserve"> </w:t>
          </w:r>
          <w:r w:rsidR="00762547" w:rsidRPr="004D18A3">
            <w:rPr>
              <w:rFonts w:ascii="Arial" w:hAnsi="Arial" w:cs="David" w:hint="cs"/>
              <w:noProof/>
              <w:sz w:val="24"/>
              <w:szCs w:val="24"/>
              <w:rtl/>
            </w:rPr>
            <w:t>(אבי ברוכמן, 2012)</w:t>
          </w:r>
          <w:r w:rsidR="002B306D" w:rsidRPr="004D18A3">
            <w:rPr>
              <w:rFonts w:ascii="Arial" w:hAnsi="Arial" w:cs="David"/>
              <w:sz w:val="24"/>
              <w:szCs w:val="24"/>
              <w:rtl/>
            </w:rPr>
            <w:fldChar w:fldCharType="end"/>
          </w:r>
        </w:sdtContent>
      </w:sdt>
      <w:r w:rsidRPr="004D18A3">
        <w:rPr>
          <w:rFonts w:ascii="Arial" w:hAnsi="Arial" w:cs="David" w:hint="cs"/>
          <w:sz w:val="24"/>
          <w:szCs w:val="24"/>
          <w:rtl/>
        </w:rPr>
        <w:t>. הלגיטימציה חשובה במיוחד למשטרה מאחר וחלק  מפעולתה מתבצעת כאקט של אכיפה וחיכוך עם אזרחים, שהם חלק מהציבור. משטרה שאינה זוכה לאמון הציבור, תתקשה לפעול למימוש ייעודה</w:t>
      </w:r>
      <w:r w:rsidR="00762547" w:rsidRPr="004D18A3">
        <w:rPr>
          <w:rFonts w:ascii="Arial" w:hAnsi="Arial" w:cs="David" w:hint="cs"/>
          <w:sz w:val="24"/>
          <w:szCs w:val="24"/>
          <w:rtl/>
        </w:rPr>
        <w:t xml:space="preserve">. </w:t>
      </w:r>
      <w:r w:rsidR="00B63C0D" w:rsidRPr="004D18A3">
        <w:rPr>
          <w:rFonts w:ascii="Arial" w:hAnsi="Arial" w:cs="David" w:hint="cs"/>
          <w:sz w:val="24"/>
          <w:szCs w:val="24"/>
          <w:rtl/>
        </w:rPr>
        <w:t xml:space="preserve">האמון הוא בעצם תפיסה של הפרט כי ניתן לסמוך על המוסד, כי המוסד שומר על החוקים להם הוא כפוף, עובד היטב ומשרת את אינטרס הכלל. כלומר, אמון הציבור חורג מעבר לשאלה האם לפרט עמדה חיובית או שלילית </w:t>
      </w:r>
      <w:r w:rsidR="00577AF5" w:rsidRPr="004D18A3">
        <w:rPr>
          <w:rFonts w:ascii="Arial" w:hAnsi="Arial" w:cs="David" w:hint="cs"/>
          <w:sz w:val="24"/>
          <w:szCs w:val="24"/>
          <w:rtl/>
        </w:rPr>
        <w:t xml:space="preserve">כלפי המוסד. אמון מתייחס לאוסף של אמונות וציפיות מהמוסד. (ההגדרה עפ"י </w:t>
      </w:r>
      <w:r w:rsidR="00577AF5" w:rsidRPr="004D18A3">
        <w:rPr>
          <w:rFonts w:ascii="Arial" w:hAnsi="Arial" w:cs="David"/>
          <w:sz w:val="24"/>
          <w:szCs w:val="24"/>
        </w:rPr>
        <w:t>Devos 2002</w:t>
      </w:r>
      <w:r w:rsidR="00577AF5" w:rsidRPr="004D18A3">
        <w:rPr>
          <w:rFonts w:ascii="Arial" w:hAnsi="Arial" w:cs="David" w:hint="cs"/>
          <w:sz w:val="24"/>
          <w:szCs w:val="24"/>
          <w:rtl/>
        </w:rPr>
        <w:t>).</w:t>
      </w:r>
      <w:r w:rsidR="009A7753">
        <w:rPr>
          <w:rFonts w:ascii="Arial" w:hAnsi="Arial" w:cs="David" w:hint="cs"/>
          <w:sz w:val="24"/>
          <w:szCs w:val="24"/>
          <w:rtl/>
        </w:rPr>
        <w:t xml:space="preserve"> </w:t>
      </w:r>
      <w:r w:rsidR="00577AF5" w:rsidRPr="004D18A3">
        <w:rPr>
          <w:rFonts w:ascii="Arial" w:hAnsi="Arial" w:cs="David" w:hint="cs"/>
          <w:sz w:val="24"/>
          <w:szCs w:val="24"/>
          <w:rtl/>
        </w:rPr>
        <w:t xml:space="preserve">אמון הציבור במשטרה מתבטא בתחושת הביטחון האישי של הפרט. האמון שהמשטרה פועלת למען האינטרס הציבורי, בהתאם לחוק, באפקטיביות וחשופה לביקורת ציבורית, הוא הבסיס לאדם ולקהילה לחיזוק תחושת הביטחון האישי שהרי זה מופקד בידי ארגון שניתן לסמוך עליו. </w:t>
      </w:r>
      <w:r w:rsidR="00820892">
        <w:rPr>
          <w:rFonts w:ascii="Arial" w:hAnsi="Arial" w:cs="David" w:hint="cs"/>
          <w:sz w:val="24"/>
          <w:szCs w:val="24"/>
          <w:rtl/>
        </w:rPr>
        <w:t xml:space="preserve"> </w:t>
      </w:r>
      <w:r w:rsidR="00577AF5" w:rsidRPr="004D18A3">
        <w:rPr>
          <w:rFonts w:ascii="Arial" w:hAnsi="Arial" w:cs="David" w:hint="cs"/>
          <w:sz w:val="24"/>
          <w:szCs w:val="24"/>
          <w:rtl/>
        </w:rPr>
        <w:t>בשנת 2018 פרסמה עמותת "יוזמות קרן אברהם" דו"ח מקיף אודות מדד הביטחון האישי בחברה הערבית בישראל. הדו"ח התייחס לחמישה תחומים הנוגעים לביטחון האישי והאמון במשטרה</w:t>
      </w:r>
      <w:r w:rsidR="00C3028D" w:rsidRPr="004D18A3">
        <w:rPr>
          <w:rFonts w:ascii="Arial" w:hAnsi="Arial" w:cs="David" w:hint="cs"/>
          <w:sz w:val="24"/>
          <w:szCs w:val="24"/>
          <w:rtl/>
        </w:rPr>
        <w:t xml:space="preserve"> ולהלן מקצת מן הממצאים</w:t>
      </w:r>
      <w:r w:rsidR="00577AF5" w:rsidRPr="004D18A3">
        <w:rPr>
          <w:rFonts w:ascii="Arial" w:hAnsi="Arial" w:cs="David" w:hint="cs"/>
          <w:sz w:val="24"/>
          <w:szCs w:val="24"/>
          <w:rtl/>
        </w:rPr>
        <w:t>:</w:t>
      </w:r>
    </w:p>
    <w:p w:rsidR="00577AF5" w:rsidRPr="004D18A3" w:rsidRDefault="00577AF5" w:rsidP="00577AF5">
      <w:pPr>
        <w:pStyle w:val="a3"/>
        <w:numPr>
          <w:ilvl w:val="0"/>
          <w:numId w:val="13"/>
        </w:numPr>
        <w:bidi/>
        <w:spacing w:line="360" w:lineRule="auto"/>
        <w:jc w:val="both"/>
        <w:rPr>
          <w:rFonts w:ascii="Arial" w:hAnsi="Arial" w:cs="David"/>
          <w:sz w:val="24"/>
          <w:szCs w:val="24"/>
          <w:rtl/>
        </w:rPr>
      </w:pPr>
      <w:r w:rsidRPr="004D18A3">
        <w:rPr>
          <w:rFonts w:ascii="Arial" w:hAnsi="Arial" w:cs="David" w:hint="cs"/>
          <w:b/>
          <w:bCs/>
          <w:sz w:val="24"/>
          <w:szCs w:val="24"/>
          <w:rtl/>
        </w:rPr>
        <w:t>היקף האלימות בחברה הערבית</w:t>
      </w:r>
      <w:r w:rsidR="00C3028D" w:rsidRPr="004D18A3">
        <w:rPr>
          <w:rFonts w:ascii="Arial" w:hAnsi="Arial" w:cs="David" w:hint="cs"/>
          <w:sz w:val="24"/>
          <w:szCs w:val="24"/>
          <w:rtl/>
        </w:rPr>
        <w:t xml:space="preserve"> </w:t>
      </w:r>
      <w:r w:rsidR="00C3028D" w:rsidRPr="004D18A3">
        <w:rPr>
          <w:rFonts w:ascii="Arial" w:hAnsi="Arial" w:cs="David"/>
          <w:sz w:val="24"/>
          <w:szCs w:val="24"/>
          <w:rtl/>
        </w:rPr>
        <w:t>–</w:t>
      </w:r>
      <w:r w:rsidR="00C3028D" w:rsidRPr="004D18A3">
        <w:rPr>
          <w:rFonts w:ascii="Arial" w:hAnsi="Arial" w:cs="David" w:hint="cs"/>
          <w:sz w:val="24"/>
          <w:szCs w:val="24"/>
          <w:rtl/>
        </w:rPr>
        <w:t xml:space="preserve"> 54% מהציבור הערבי חש כי ביישובו קיימת בעיה של אלימות, לעומת 14% בקרב היהודים.</w:t>
      </w:r>
    </w:p>
    <w:p w:rsidR="00577AF5" w:rsidRPr="004D18A3" w:rsidRDefault="00577AF5" w:rsidP="00577AF5">
      <w:pPr>
        <w:pStyle w:val="a3"/>
        <w:numPr>
          <w:ilvl w:val="0"/>
          <w:numId w:val="13"/>
        </w:numPr>
        <w:bidi/>
        <w:spacing w:line="360" w:lineRule="auto"/>
        <w:jc w:val="both"/>
        <w:rPr>
          <w:rFonts w:ascii="Arial" w:hAnsi="Arial" w:cs="David"/>
          <w:sz w:val="24"/>
          <w:szCs w:val="24"/>
        </w:rPr>
      </w:pPr>
      <w:r w:rsidRPr="004D18A3">
        <w:rPr>
          <w:rFonts w:ascii="Arial" w:hAnsi="Arial" w:cs="David" w:hint="cs"/>
          <w:b/>
          <w:bCs/>
          <w:sz w:val="24"/>
          <w:szCs w:val="24"/>
          <w:rtl/>
        </w:rPr>
        <w:t>התחומים שבהם מורגשת האלימות</w:t>
      </w:r>
      <w:r w:rsidR="00C3028D" w:rsidRPr="004D18A3">
        <w:rPr>
          <w:rFonts w:ascii="Arial" w:hAnsi="Arial" w:cs="David" w:hint="cs"/>
          <w:sz w:val="24"/>
          <w:szCs w:val="24"/>
          <w:rtl/>
        </w:rPr>
        <w:t xml:space="preserve"> </w:t>
      </w:r>
      <w:r w:rsidR="00C3028D" w:rsidRPr="004D18A3">
        <w:rPr>
          <w:rFonts w:ascii="Arial" w:hAnsi="Arial" w:cs="David"/>
          <w:sz w:val="24"/>
          <w:szCs w:val="24"/>
          <w:rtl/>
        </w:rPr>
        <w:t>–</w:t>
      </w:r>
      <w:r w:rsidR="00C3028D" w:rsidRPr="004D18A3">
        <w:rPr>
          <w:rFonts w:ascii="Arial" w:hAnsi="Arial" w:cs="David" w:hint="cs"/>
          <w:sz w:val="24"/>
          <w:szCs w:val="24"/>
          <w:rtl/>
        </w:rPr>
        <w:t xml:space="preserve"> 49% מהערבים מעידים כי קיימת ביישובם בעיה של ירי ושימוש בנשק לעומת 7% ביישובים היהודיים.</w:t>
      </w:r>
    </w:p>
    <w:p w:rsidR="00C3028D" w:rsidRPr="004D18A3" w:rsidRDefault="00C3028D" w:rsidP="00C3028D">
      <w:pPr>
        <w:pStyle w:val="a3"/>
        <w:bidi/>
        <w:spacing w:line="360" w:lineRule="auto"/>
        <w:ind w:left="674"/>
        <w:jc w:val="both"/>
        <w:rPr>
          <w:rFonts w:ascii="Arial" w:hAnsi="Arial" w:cs="David"/>
          <w:sz w:val="24"/>
          <w:szCs w:val="24"/>
          <w:rtl/>
        </w:rPr>
      </w:pPr>
      <w:r w:rsidRPr="004D18A3">
        <w:rPr>
          <w:rFonts w:ascii="Arial" w:hAnsi="Arial" w:cs="David" w:hint="cs"/>
          <w:sz w:val="24"/>
          <w:szCs w:val="24"/>
          <w:rtl/>
        </w:rPr>
        <w:t xml:space="preserve">33% מהערבים מעידים כי קיימת ביישובם בעיה של אלימות במשפחה, לעומת 14% ביישובים היהודיים. בנוסף לכך, בולט תחום של עבירות אלימות כתוצאה מעבירות כלכליות כמו הלוואות בשוק האפור, ניכיון צ'קים, חלפני כספים וסחיטת דמי חסות (בערבית </w:t>
      </w:r>
      <w:r w:rsidRPr="004D18A3">
        <w:rPr>
          <w:rFonts w:ascii="Arial" w:hAnsi="Arial" w:cs="David"/>
          <w:sz w:val="24"/>
          <w:szCs w:val="24"/>
          <w:rtl/>
        </w:rPr>
        <w:t>–</w:t>
      </w:r>
      <w:r w:rsidRPr="004D18A3">
        <w:rPr>
          <w:rFonts w:ascii="Arial" w:hAnsi="Arial" w:cs="David" w:hint="cs"/>
          <w:sz w:val="24"/>
          <w:szCs w:val="24"/>
          <w:rtl/>
        </w:rPr>
        <w:t xml:space="preserve"> ח'אווה).</w:t>
      </w:r>
    </w:p>
    <w:p w:rsidR="00577AF5" w:rsidRPr="004D18A3" w:rsidRDefault="00577AF5" w:rsidP="00C3028D">
      <w:pPr>
        <w:pStyle w:val="a3"/>
        <w:numPr>
          <w:ilvl w:val="0"/>
          <w:numId w:val="13"/>
        </w:numPr>
        <w:bidi/>
        <w:spacing w:line="360" w:lineRule="auto"/>
        <w:jc w:val="both"/>
        <w:rPr>
          <w:rFonts w:ascii="Arial" w:hAnsi="Arial" w:cs="David"/>
          <w:sz w:val="24"/>
          <w:szCs w:val="24"/>
          <w:rtl/>
        </w:rPr>
      </w:pPr>
      <w:r w:rsidRPr="004D18A3">
        <w:rPr>
          <w:rFonts w:ascii="Arial" w:hAnsi="Arial" w:cs="David" w:hint="cs"/>
          <w:b/>
          <w:bCs/>
          <w:sz w:val="24"/>
          <w:szCs w:val="24"/>
          <w:rtl/>
        </w:rPr>
        <w:t>תחושת הביטחון האישי והחשיפה לאלימות</w:t>
      </w:r>
      <w:r w:rsidR="00C3028D" w:rsidRPr="004D18A3">
        <w:rPr>
          <w:rFonts w:ascii="Arial" w:hAnsi="Arial" w:cs="David" w:hint="cs"/>
          <w:sz w:val="24"/>
          <w:szCs w:val="24"/>
          <w:rtl/>
        </w:rPr>
        <w:t xml:space="preserve"> </w:t>
      </w:r>
      <w:r w:rsidR="00C3028D" w:rsidRPr="004D18A3">
        <w:rPr>
          <w:rFonts w:ascii="Arial" w:hAnsi="Arial" w:cs="David"/>
          <w:sz w:val="24"/>
          <w:szCs w:val="24"/>
          <w:rtl/>
        </w:rPr>
        <w:t>–</w:t>
      </w:r>
      <w:r w:rsidR="00C3028D" w:rsidRPr="004D18A3">
        <w:rPr>
          <w:rFonts w:ascii="Arial" w:hAnsi="Arial" w:cs="David" w:hint="cs"/>
          <w:sz w:val="24"/>
          <w:szCs w:val="24"/>
          <w:rtl/>
        </w:rPr>
        <w:t xml:space="preserve"> 32% מהערבים חשים שאינם בטוחים ביישובם ו 4% מעידים כי נחשפו באופן אישי לאלימות בשלוש השנים האחרונות. לעומתם, בחברה היהודית, 13% חשים לא בטוחים ביישובם ו 3% נחשפו באופן אישי לאלימות בשלוש השנים האחרונות.</w:t>
      </w:r>
    </w:p>
    <w:p w:rsidR="00577AF5" w:rsidRPr="004D18A3" w:rsidRDefault="00577AF5" w:rsidP="00577AF5">
      <w:pPr>
        <w:pStyle w:val="a3"/>
        <w:numPr>
          <w:ilvl w:val="0"/>
          <w:numId w:val="13"/>
        </w:numPr>
        <w:bidi/>
        <w:spacing w:line="360" w:lineRule="auto"/>
        <w:jc w:val="both"/>
        <w:rPr>
          <w:rFonts w:ascii="Arial" w:hAnsi="Arial" w:cs="David"/>
          <w:sz w:val="24"/>
          <w:szCs w:val="24"/>
          <w:rtl/>
        </w:rPr>
      </w:pPr>
      <w:r w:rsidRPr="004D18A3">
        <w:rPr>
          <w:rFonts w:ascii="Arial" w:hAnsi="Arial" w:cs="David" w:hint="cs"/>
          <w:b/>
          <w:bCs/>
          <w:sz w:val="24"/>
          <w:szCs w:val="24"/>
          <w:rtl/>
        </w:rPr>
        <w:t>מידת הנכונות לשתף פעולה כדי להיאבק באלימות</w:t>
      </w:r>
      <w:r w:rsidR="00C3028D" w:rsidRPr="004D18A3">
        <w:rPr>
          <w:rFonts w:ascii="Arial" w:hAnsi="Arial" w:cs="David" w:hint="cs"/>
          <w:sz w:val="24"/>
          <w:szCs w:val="24"/>
          <w:rtl/>
        </w:rPr>
        <w:t xml:space="preserve"> </w:t>
      </w:r>
      <w:r w:rsidR="00EF790E" w:rsidRPr="004D18A3">
        <w:rPr>
          <w:rFonts w:ascii="Arial" w:hAnsi="Arial" w:cs="David"/>
          <w:sz w:val="24"/>
          <w:szCs w:val="24"/>
          <w:rtl/>
        </w:rPr>
        <w:t>–</w:t>
      </w:r>
      <w:r w:rsidR="00C3028D" w:rsidRPr="004D18A3">
        <w:rPr>
          <w:rFonts w:ascii="Arial" w:hAnsi="Arial" w:cs="David" w:hint="cs"/>
          <w:sz w:val="24"/>
          <w:szCs w:val="24"/>
          <w:rtl/>
        </w:rPr>
        <w:t xml:space="preserve"> </w:t>
      </w:r>
      <w:r w:rsidR="00EF790E" w:rsidRPr="004D18A3">
        <w:rPr>
          <w:rFonts w:ascii="Arial" w:hAnsi="Arial" w:cs="David" w:hint="cs"/>
          <w:sz w:val="24"/>
          <w:szCs w:val="24"/>
          <w:rtl/>
        </w:rPr>
        <w:t>70% מהנשאלים הערבים ציינו כי יהיו מוכנים להשתתף במאבק באלימות ביישובם, לעומת 39% בקרב הנשאלים היהודים.</w:t>
      </w:r>
    </w:p>
    <w:p w:rsidR="00C3028D" w:rsidRPr="004D18A3" w:rsidRDefault="00577AF5" w:rsidP="00F64138">
      <w:pPr>
        <w:pStyle w:val="a3"/>
        <w:numPr>
          <w:ilvl w:val="0"/>
          <w:numId w:val="13"/>
        </w:numPr>
        <w:bidi/>
        <w:spacing w:line="360" w:lineRule="auto"/>
        <w:jc w:val="both"/>
        <w:rPr>
          <w:rFonts w:ascii="Arial" w:hAnsi="Arial" w:cs="David"/>
          <w:sz w:val="24"/>
          <w:szCs w:val="24"/>
        </w:rPr>
      </w:pPr>
      <w:r w:rsidRPr="004D18A3">
        <w:rPr>
          <w:rFonts w:ascii="Arial" w:hAnsi="Arial" w:cs="David" w:hint="cs"/>
          <w:b/>
          <w:bCs/>
          <w:sz w:val="24"/>
          <w:szCs w:val="24"/>
          <w:rtl/>
        </w:rPr>
        <w:lastRenderedPageBreak/>
        <w:t>העמדות כלפי המשטרה</w:t>
      </w:r>
      <w:r w:rsidR="00EF790E" w:rsidRPr="004D18A3">
        <w:rPr>
          <w:rFonts w:ascii="Arial" w:hAnsi="Arial" w:cs="David" w:hint="cs"/>
          <w:sz w:val="24"/>
          <w:szCs w:val="24"/>
          <w:rtl/>
        </w:rPr>
        <w:t xml:space="preserve"> </w:t>
      </w:r>
      <w:r w:rsidR="0064267B" w:rsidRPr="004D18A3">
        <w:rPr>
          <w:rFonts w:ascii="Arial" w:hAnsi="Arial" w:cs="David"/>
          <w:sz w:val="24"/>
          <w:szCs w:val="24"/>
          <w:rtl/>
        </w:rPr>
        <w:t>–</w:t>
      </w:r>
      <w:r w:rsidR="00EF790E" w:rsidRPr="004D18A3">
        <w:rPr>
          <w:rFonts w:ascii="Arial" w:hAnsi="Arial" w:cs="David" w:hint="cs"/>
          <w:sz w:val="24"/>
          <w:szCs w:val="24"/>
          <w:rtl/>
        </w:rPr>
        <w:t xml:space="preserve"> </w:t>
      </w:r>
      <w:r w:rsidR="0064267B" w:rsidRPr="004D18A3">
        <w:rPr>
          <w:rFonts w:ascii="Arial" w:hAnsi="Arial" w:cs="David" w:hint="cs"/>
          <w:sz w:val="24"/>
          <w:szCs w:val="24"/>
          <w:rtl/>
        </w:rPr>
        <w:t>59% מהנשאלים הערבים הצביעו על רמת אמון נמוכה במשטרה לעומת 54% מקרב הנשאלים היהודים. עם זאת, 63% מהציבור הערבי מאמין שנוכחות מוגברת של המשטרה תביא להפחתת האלימות ו 77% תומכים בהקמת תחנת משטרה ביישובם. אחד המדדים המעניינים ביותר הנו כי 48% היו מוכנים שהם או בן משפחתם ישרת במשטרה</w:t>
      </w:r>
      <w:r w:rsidR="00F64138" w:rsidRPr="004D18A3">
        <w:rPr>
          <w:rFonts w:ascii="Arial" w:hAnsi="Arial" w:cs="David" w:hint="cs"/>
          <w:sz w:val="24"/>
          <w:szCs w:val="24"/>
          <w:rtl/>
        </w:rPr>
        <w:t>.</w:t>
      </w:r>
    </w:p>
    <w:p w:rsidR="00D71138" w:rsidRPr="004D18A3" w:rsidRDefault="00440820" w:rsidP="00F30854">
      <w:pPr>
        <w:bidi/>
        <w:spacing w:line="360" w:lineRule="auto"/>
        <w:jc w:val="both"/>
        <w:rPr>
          <w:rFonts w:ascii="Arial" w:hAnsi="Arial" w:cs="David"/>
          <w:sz w:val="24"/>
          <w:szCs w:val="24"/>
          <w:rtl/>
        </w:rPr>
      </w:pPr>
      <w:r w:rsidRPr="004D18A3">
        <w:rPr>
          <w:rFonts w:ascii="Arial" w:hAnsi="Arial" w:cs="David" w:hint="cs"/>
          <w:sz w:val="24"/>
          <w:szCs w:val="24"/>
          <w:rtl/>
        </w:rPr>
        <w:t>עורכי הדו"ח טוענים כי מעמדו של הציבור הערבי מכתיב במידה רבה את עמדותיו כלפי המשטרה כזרוע מבצעת של מערכת אכיפת החוק במדינה ואת מידת הלגיטימיות שהוא מייחס לה. מכאן שהציבור הערבי חש מקופח ו</w:t>
      </w:r>
      <w:r w:rsidR="00486996" w:rsidRPr="004D18A3">
        <w:rPr>
          <w:rFonts w:ascii="Arial" w:hAnsi="Arial" w:cs="David" w:hint="cs"/>
          <w:sz w:val="24"/>
          <w:szCs w:val="24"/>
          <w:rtl/>
        </w:rPr>
        <w:t xml:space="preserve">מופלה לרעה וכי מעמדו נמוך ביחס לציבור היהודי ולכן הוא מבטא חוסר אמון כלפי המוסד הממלכתי שנמצא בחזית. </w:t>
      </w:r>
      <w:r w:rsidR="00D71138" w:rsidRPr="004D18A3">
        <w:rPr>
          <w:rFonts w:ascii="Arial" w:hAnsi="Arial" w:cs="David" w:hint="cs"/>
          <w:sz w:val="24"/>
          <w:szCs w:val="24"/>
          <w:rtl/>
        </w:rPr>
        <w:t xml:space="preserve">אלא, שמן הנתונים, עולה כי הפער בין האוכלוסייה הערבית ליהודית ביחס לאמון במשטרה אינו גדול (59% לעומת 54%) ובקרב הערבים התמיכה של 77% בהקמת תחנת משטרה ביישוב והמוכנות להשתלב בשירות במשטרה מעידים כי המשטרה נתפסת כגורם שיכול להביא לשינוי המבוקש, קרי להפחתת האלימות ולחיזוק תחושת הביטחון. מכאן יכולה המשטרה (וכלל מערכת האכיפה) לשאוב את הלגיטימציה לפעולה כנגד העוברים על החוק. </w:t>
      </w:r>
    </w:p>
    <w:p w:rsidR="00891177" w:rsidRPr="004D18A3" w:rsidRDefault="00B51715" w:rsidP="00820892">
      <w:pPr>
        <w:bidi/>
        <w:spacing w:line="360" w:lineRule="auto"/>
        <w:ind w:left="-46"/>
        <w:jc w:val="both"/>
        <w:rPr>
          <w:rFonts w:ascii="Arial" w:hAnsi="Arial" w:cs="David"/>
          <w:sz w:val="24"/>
          <w:szCs w:val="24"/>
          <w:rtl/>
        </w:rPr>
      </w:pPr>
      <w:r w:rsidRPr="004D18A3">
        <w:rPr>
          <w:rFonts w:ascii="Arial" w:hAnsi="Arial" w:cs="David" w:hint="cs"/>
          <w:sz w:val="24"/>
          <w:szCs w:val="24"/>
          <w:rtl/>
        </w:rPr>
        <w:t>בשנים 2015 ו 2016 ביצעה המשטרה שני סקרים מקיפים הנוגעים לציבור הערבי בישראל ועמדותיו כלפי עבודת המשטרה. בסקר הראשון, שהתבסס על 6,932 מרואיינים ערבים ישראלים, עלה כי הבעיה שנמצאת בעדיפות ראשונה לטיפול היא אירועי הירי במגזר הערבי. כשני שלישים מהמרואיינים שנשאלו אודות יעילות הטיפול של המשטרה בעבירות האלימות והירי, ציינו כי היא "בינונית", "מועטה" או "כלל לא". עוד עלה מן הסקר כי 44% מהנפגעים מעבירות אלימות מקרב החברה הערבית בישראל כלל לא דיווחו על כך למשטרה. הסיבות לאי הדיווח: "לא רציתי להטריח את המשטרה" (23%), "במקרים כאלה המשטרה אינה יכולה לעזור/לטפל" (</w:t>
      </w:r>
      <w:r w:rsidR="00F64138" w:rsidRPr="004D18A3">
        <w:rPr>
          <w:rFonts w:ascii="Arial" w:hAnsi="Arial" w:cs="David" w:hint="cs"/>
          <w:sz w:val="24"/>
          <w:szCs w:val="24"/>
          <w:rtl/>
        </w:rPr>
        <w:t>22%), "במקרים כאלה המשטרה אינה רוצה לעזור/לטפל" (9%). בסקר השני, נמצאו ממצאים דומים שהעידו על חוסר אמון ביכולת ובנכונות של המשטרה להתמודד עם הפשיעה האלימה</w:t>
      </w:r>
      <w:r w:rsidR="00820892">
        <w:rPr>
          <w:rFonts w:ascii="Arial" w:hAnsi="Arial" w:cs="David" w:hint="cs"/>
          <w:sz w:val="24"/>
          <w:szCs w:val="24"/>
          <w:rtl/>
        </w:rPr>
        <w:t>.</w:t>
      </w:r>
      <w:r w:rsidR="00F64138" w:rsidRPr="004D18A3">
        <w:rPr>
          <w:rFonts w:ascii="Arial" w:hAnsi="Arial" w:cs="David" w:hint="cs"/>
          <w:sz w:val="24"/>
          <w:szCs w:val="24"/>
          <w:rtl/>
        </w:rPr>
        <w:t xml:space="preserve"> </w:t>
      </w:r>
      <w:r w:rsidR="007A05D2" w:rsidRPr="004D18A3">
        <w:rPr>
          <w:rFonts w:ascii="Arial" w:hAnsi="Arial" w:cs="David" w:hint="cs"/>
          <w:sz w:val="24"/>
          <w:szCs w:val="24"/>
          <w:rtl/>
        </w:rPr>
        <w:t>בשנת 2017, ערכה המשטרה סקר נוסף לבחינת אמון הציבור</w:t>
      </w:r>
      <w:sdt>
        <w:sdtPr>
          <w:rPr>
            <w:rFonts w:ascii="Arial" w:hAnsi="Arial" w:cs="David" w:hint="cs"/>
            <w:sz w:val="24"/>
            <w:szCs w:val="24"/>
            <w:rtl/>
          </w:rPr>
          <w:id w:val="68392595"/>
          <w:citation/>
        </w:sdtPr>
        <w:sdtContent>
          <w:r w:rsidR="002B306D" w:rsidRPr="004D18A3">
            <w:rPr>
              <w:rFonts w:ascii="Arial" w:hAnsi="Arial" w:cs="David"/>
              <w:sz w:val="24"/>
              <w:szCs w:val="24"/>
              <w:rtl/>
            </w:rPr>
            <w:fldChar w:fldCharType="begin"/>
          </w:r>
          <w:r w:rsidR="0015351C" w:rsidRPr="004D18A3">
            <w:rPr>
              <w:rFonts w:ascii="Arial" w:hAnsi="Arial" w:cs="David"/>
              <w:sz w:val="24"/>
              <w:szCs w:val="24"/>
              <w:rtl/>
            </w:rPr>
            <w:instrText xml:space="preserve"> </w:instrText>
          </w:r>
          <w:r w:rsidR="0015351C" w:rsidRPr="004D18A3">
            <w:rPr>
              <w:rFonts w:ascii="Arial" w:hAnsi="Arial" w:cs="David" w:hint="cs"/>
              <w:sz w:val="24"/>
              <w:szCs w:val="24"/>
            </w:rPr>
            <w:instrText>CITATION</w:instrText>
          </w:r>
          <w:r w:rsidR="0015351C" w:rsidRPr="004D18A3">
            <w:rPr>
              <w:rFonts w:ascii="Arial" w:hAnsi="Arial" w:cs="David" w:hint="cs"/>
              <w:sz w:val="24"/>
              <w:szCs w:val="24"/>
              <w:rtl/>
            </w:rPr>
            <w:instrText xml:space="preserve"> משט18 \</w:instrText>
          </w:r>
          <w:r w:rsidR="0015351C" w:rsidRPr="004D18A3">
            <w:rPr>
              <w:rFonts w:ascii="Arial" w:hAnsi="Arial" w:cs="David" w:hint="cs"/>
              <w:sz w:val="24"/>
              <w:szCs w:val="24"/>
            </w:rPr>
            <w:instrText>l 1037</w:instrText>
          </w:r>
          <w:r w:rsidR="0015351C" w:rsidRPr="004D18A3">
            <w:rPr>
              <w:rFonts w:ascii="Arial" w:hAnsi="Arial" w:cs="David"/>
              <w:sz w:val="24"/>
              <w:szCs w:val="24"/>
              <w:rtl/>
            </w:rPr>
            <w:instrText xml:space="preserve"> </w:instrText>
          </w:r>
          <w:r w:rsidR="002B306D" w:rsidRPr="004D18A3">
            <w:rPr>
              <w:rFonts w:ascii="Arial" w:hAnsi="Arial" w:cs="David"/>
              <w:sz w:val="24"/>
              <w:szCs w:val="24"/>
              <w:rtl/>
            </w:rPr>
            <w:fldChar w:fldCharType="separate"/>
          </w:r>
          <w:r w:rsidR="0015351C" w:rsidRPr="004D18A3">
            <w:rPr>
              <w:rFonts w:ascii="Arial" w:hAnsi="Arial" w:cs="David"/>
              <w:noProof/>
              <w:sz w:val="24"/>
              <w:szCs w:val="24"/>
              <w:rtl/>
            </w:rPr>
            <w:t xml:space="preserve"> </w:t>
          </w:r>
          <w:r w:rsidR="0015351C" w:rsidRPr="004D18A3">
            <w:rPr>
              <w:rFonts w:ascii="Arial" w:hAnsi="Arial" w:cs="David" w:hint="cs"/>
              <w:noProof/>
              <w:sz w:val="24"/>
              <w:szCs w:val="24"/>
              <w:rtl/>
            </w:rPr>
            <w:t>(משטרת ישראל, 2018)</w:t>
          </w:r>
          <w:r w:rsidR="002B306D" w:rsidRPr="004D18A3">
            <w:rPr>
              <w:rFonts w:ascii="Arial" w:hAnsi="Arial" w:cs="David"/>
              <w:sz w:val="24"/>
              <w:szCs w:val="24"/>
              <w:rtl/>
            </w:rPr>
            <w:fldChar w:fldCharType="end"/>
          </w:r>
        </w:sdtContent>
      </w:sdt>
      <w:r w:rsidR="007A05D2" w:rsidRPr="004D18A3">
        <w:rPr>
          <w:rFonts w:ascii="Arial" w:hAnsi="Arial" w:cs="David" w:hint="cs"/>
          <w:sz w:val="24"/>
          <w:szCs w:val="24"/>
          <w:rtl/>
        </w:rPr>
        <w:t xml:space="preserve">, </w:t>
      </w:r>
      <w:r w:rsidR="00B34030" w:rsidRPr="004D18A3">
        <w:rPr>
          <w:rFonts w:ascii="Arial" w:hAnsi="Arial" w:cs="David" w:hint="cs"/>
          <w:sz w:val="24"/>
          <w:szCs w:val="24"/>
          <w:rtl/>
        </w:rPr>
        <w:t>שבדק</w:t>
      </w:r>
      <w:r w:rsidR="007A05D2" w:rsidRPr="004D18A3">
        <w:rPr>
          <w:rFonts w:ascii="Arial" w:hAnsi="Arial" w:cs="David" w:hint="cs"/>
          <w:sz w:val="24"/>
          <w:szCs w:val="24"/>
          <w:rtl/>
        </w:rPr>
        <w:t xml:space="preserve"> באופן מעמיק יותר את</w:t>
      </w:r>
      <w:r w:rsidR="00B34030" w:rsidRPr="004D18A3">
        <w:rPr>
          <w:rFonts w:ascii="Arial" w:hAnsi="Arial" w:cs="David" w:hint="cs"/>
          <w:sz w:val="24"/>
          <w:szCs w:val="24"/>
          <w:rtl/>
        </w:rPr>
        <w:t xml:space="preserve"> הפערים שבין</w:t>
      </w:r>
      <w:r w:rsidR="007A05D2" w:rsidRPr="004D18A3">
        <w:rPr>
          <w:rFonts w:ascii="Arial" w:hAnsi="Arial" w:cs="David" w:hint="cs"/>
          <w:sz w:val="24"/>
          <w:szCs w:val="24"/>
          <w:rtl/>
        </w:rPr>
        <w:t xml:space="preserve"> החברה הערבית לחברה היהודית</w:t>
      </w:r>
      <w:r w:rsidR="00B34030" w:rsidRPr="004D18A3">
        <w:rPr>
          <w:rFonts w:ascii="Arial" w:hAnsi="Arial" w:cs="David" w:hint="cs"/>
          <w:sz w:val="24"/>
          <w:szCs w:val="24"/>
          <w:rtl/>
        </w:rPr>
        <w:t xml:space="preserve"> ביחסם למשטרה</w:t>
      </w:r>
      <w:r w:rsidR="007A05D2" w:rsidRPr="004D18A3">
        <w:rPr>
          <w:rFonts w:ascii="Arial" w:hAnsi="Arial" w:cs="David" w:hint="cs"/>
          <w:sz w:val="24"/>
          <w:szCs w:val="24"/>
          <w:rtl/>
        </w:rPr>
        <w:t xml:space="preserve">. </w:t>
      </w:r>
      <w:r w:rsidR="006108DB">
        <w:rPr>
          <w:rFonts w:ascii="Arial" w:hAnsi="Arial" w:cs="David" w:hint="cs"/>
          <w:sz w:val="24"/>
          <w:szCs w:val="24"/>
          <w:rtl/>
        </w:rPr>
        <w:t xml:space="preserve">גם בסקר זה </w:t>
      </w:r>
      <w:r w:rsidR="00B34030" w:rsidRPr="004D18A3">
        <w:rPr>
          <w:rFonts w:ascii="Arial" w:hAnsi="Arial" w:cs="David" w:hint="cs"/>
          <w:sz w:val="24"/>
          <w:szCs w:val="24"/>
          <w:rtl/>
        </w:rPr>
        <w:t xml:space="preserve">הממצאים הצביעו על פערים גדולים בשביעות הרצון בין שתי הקבוצות ביחס להיקף הנוכחות המשטרתית ואיכות </w:t>
      </w:r>
      <w:r w:rsidR="006108DB">
        <w:rPr>
          <w:rFonts w:ascii="Arial" w:hAnsi="Arial" w:cs="David" w:hint="cs"/>
          <w:sz w:val="24"/>
          <w:szCs w:val="24"/>
          <w:rtl/>
        </w:rPr>
        <w:t>תפקודה של המשטרה בסביבת המגורים.</w:t>
      </w:r>
    </w:p>
    <w:p w:rsidR="00D918D9" w:rsidRPr="009A7753" w:rsidRDefault="00D71138" w:rsidP="007657FF">
      <w:pPr>
        <w:bidi/>
        <w:spacing w:line="360" w:lineRule="auto"/>
        <w:jc w:val="both"/>
        <w:rPr>
          <w:rFonts w:ascii="Arial" w:hAnsi="Arial" w:cs="David"/>
          <w:sz w:val="24"/>
          <w:szCs w:val="24"/>
          <w:rtl/>
        </w:rPr>
      </w:pPr>
      <w:r w:rsidRPr="009A7753">
        <w:rPr>
          <w:rFonts w:ascii="Arial" w:hAnsi="Arial" w:cs="David" w:hint="cs"/>
          <w:sz w:val="24"/>
          <w:szCs w:val="24"/>
          <w:rtl/>
        </w:rPr>
        <w:t>במחקר שנערך על ידי פרופ' אריה רטנר ועמיתיו</w:t>
      </w:r>
      <w:sdt>
        <w:sdtPr>
          <w:rPr>
            <w:rFonts w:ascii="Arial" w:hAnsi="Arial" w:cs="David" w:hint="cs"/>
            <w:sz w:val="24"/>
            <w:szCs w:val="24"/>
            <w:rtl/>
          </w:rPr>
          <w:id w:val="668340987"/>
          <w:citation/>
        </w:sdtPr>
        <w:sdtContent>
          <w:r w:rsidR="002B306D" w:rsidRPr="009A7753">
            <w:rPr>
              <w:rFonts w:ascii="Arial" w:hAnsi="Arial" w:cs="David"/>
              <w:sz w:val="24"/>
              <w:szCs w:val="24"/>
              <w:rtl/>
            </w:rPr>
            <w:fldChar w:fldCharType="begin"/>
          </w:r>
          <w:r w:rsidRPr="009A7753">
            <w:rPr>
              <w:rFonts w:ascii="Arial" w:hAnsi="Arial" w:cs="David"/>
              <w:sz w:val="24"/>
              <w:szCs w:val="24"/>
              <w:rtl/>
            </w:rPr>
            <w:instrText xml:space="preserve"> </w:instrText>
          </w:r>
          <w:r w:rsidRPr="009A7753">
            <w:rPr>
              <w:rFonts w:ascii="Arial" w:hAnsi="Arial" w:cs="David" w:hint="cs"/>
              <w:sz w:val="24"/>
              <w:szCs w:val="24"/>
            </w:rPr>
            <w:instrText>CITATION</w:instrText>
          </w:r>
          <w:r w:rsidRPr="009A7753">
            <w:rPr>
              <w:rFonts w:ascii="Arial" w:hAnsi="Arial" w:cs="David" w:hint="cs"/>
              <w:sz w:val="24"/>
              <w:szCs w:val="24"/>
              <w:rtl/>
            </w:rPr>
            <w:instrText xml:space="preserve"> </w:instrText>
          </w:r>
          <w:r w:rsidRPr="009A7753">
            <w:rPr>
              <w:rFonts w:ascii="Arial" w:hAnsi="Arial" w:cs="David" w:hint="cs"/>
              <w:sz w:val="24"/>
              <w:szCs w:val="24"/>
            </w:rPr>
            <w:instrText>ARa01 \l 1037</w:instrText>
          </w:r>
          <w:r w:rsidRPr="009A7753">
            <w:rPr>
              <w:rFonts w:ascii="Arial" w:hAnsi="Arial" w:cs="David"/>
              <w:sz w:val="24"/>
              <w:szCs w:val="24"/>
              <w:rtl/>
            </w:rPr>
            <w:instrText xml:space="preserve"> </w:instrText>
          </w:r>
          <w:r w:rsidR="002B306D" w:rsidRPr="009A7753">
            <w:rPr>
              <w:rFonts w:ascii="Arial" w:hAnsi="Arial" w:cs="David"/>
              <w:sz w:val="24"/>
              <w:szCs w:val="24"/>
              <w:rtl/>
            </w:rPr>
            <w:fldChar w:fldCharType="separate"/>
          </w:r>
          <w:r w:rsidRPr="009A7753">
            <w:rPr>
              <w:rFonts w:ascii="Arial" w:hAnsi="Arial" w:cs="David"/>
              <w:noProof/>
              <w:sz w:val="24"/>
              <w:szCs w:val="24"/>
              <w:rtl/>
            </w:rPr>
            <w:t xml:space="preserve"> </w:t>
          </w:r>
          <w:r w:rsidRPr="009A7753">
            <w:rPr>
              <w:rFonts w:ascii="Arial" w:hAnsi="Arial" w:cs="David" w:hint="cs"/>
              <w:noProof/>
              <w:sz w:val="24"/>
              <w:szCs w:val="24"/>
              <w:rtl/>
            </w:rPr>
            <w:t>(</w:t>
          </w:r>
          <w:r w:rsidRPr="009A7753">
            <w:rPr>
              <w:rFonts w:ascii="Arial" w:hAnsi="Arial" w:cs="David" w:hint="cs"/>
              <w:noProof/>
              <w:sz w:val="24"/>
              <w:szCs w:val="24"/>
            </w:rPr>
            <w:t>A.Ratthner, 2001</w:t>
          </w:r>
          <w:r w:rsidRPr="009A7753">
            <w:rPr>
              <w:rFonts w:ascii="Arial" w:hAnsi="Arial" w:cs="David" w:hint="cs"/>
              <w:noProof/>
              <w:sz w:val="24"/>
              <w:szCs w:val="24"/>
              <w:rtl/>
            </w:rPr>
            <w:t>)</w:t>
          </w:r>
          <w:r w:rsidR="002B306D" w:rsidRPr="009A7753">
            <w:rPr>
              <w:rFonts w:ascii="Arial" w:hAnsi="Arial" w:cs="David"/>
              <w:sz w:val="24"/>
              <w:szCs w:val="24"/>
              <w:rtl/>
            </w:rPr>
            <w:fldChar w:fldCharType="end"/>
          </w:r>
        </w:sdtContent>
      </w:sdt>
      <w:r w:rsidR="00A54AE0" w:rsidRPr="009A7753">
        <w:rPr>
          <w:rFonts w:ascii="Arial" w:hAnsi="Arial" w:cs="David" w:hint="cs"/>
          <w:sz w:val="24"/>
          <w:szCs w:val="24"/>
          <w:rtl/>
        </w:rPr>
        <w:t xml:space="preserve"> בנוגע ליחסם של </w:t>
      </w:r>
      <w:r w:rsidR="000C2A43" w:rsidRPr="009A7753">
        <w:rPr>
          <w:rFonts w:ascii="Arial" w:hAnsi="Arial" w:cs="David" w:hint="cs"/>
          <w:sz w:val="24"/>
          <w:szCs w:val="24"/>
          <w:rtl/>
        </w:rPr>
        <w:t>שלוש קבוצות ב</w:t>
      </w:r>
      <w:r w:rsidR="00A54AE0" w:rsidRPr="009A7753">
        <w:rPr>
          <w:rFonts w:ascii="Arial" w:hAnsi="Arial" w:cs="David" w:hint="cs"/>
          <w:sz w:val="24"/>
          <w:szCs w:val="24"/>
          <w:rtl/>
        </w:rPr>
        <w:t>ישראל</w:t>
      </w:r>
      <w:r w:rsidR="000C2A43" w:rsidRPr="009A7753">
        <w:rPr>
          <w:rFonts w:ascii="Arial" w:hAnsi="Arial" w:cs="David" w:hint="cs"/>
          <w:sz w:val="24"/>
          <w:szCs w:val="24"/>
          <w:rtl/>
        </w:rPr>
        <w:t xml:space="preserve"> </w:t>
      </w:r>
      <w:r w:rsidR="00A54AE0" w:rsidRPr="009A7753">
        <w:rPr>
          <w:rFonts w:ascii="Arial" w:hAnsi="Arial" w:cs="David" w:hint="cs"/>
          <w:sz w:val="24"/>
          <w:szCs w:val="24"/>
          <w:rtl/>
        </w:rPr>
        <w:t>ל</w:t>
      </w:r>
      <w:r w:rsidR="000C2A43" w:rsidRPr="009A7753">
        <w:rPr>
          <w:rFonts w:ascii="Arial" w:hAnsi="Arial" w:cs="David" w:hint="cs"/>
          <w:sz w:val="24"/>
          <w:szCs w:val="24"/>
          <w:rtl/>
        </w:rPr>
        <w:t>ציות ל</w:t>
      </w:r>
      <w:r w:rsidR="00A54AE0" w:rsidRPr="009A7753">
        <w:rPr>
          <w:rFonts w:ascii="Arial" w:hAnsi="Arial" w:cs="David" w:hint="cs"/>
          <w:sz w:val="24"/>
          <w:szCs w:val="24"/>
          <w:rtl/>
        </w:rPr>
        <w:t xml:space="preserve">חוק </w:t>
      </w:r>
      <w:r w:rsidR="000C2A43" w:rsidRPr="009A7753">
        <w:rPr>
          <w:rFonts w:ascii="Arial" w:hAnsi="Arial" w:cs="David" w:hint="cs"/>
          <w:sz w:val="24"/>
          <w:szCs w:val="24"/>
          <w:rtl/>
        </w:rPr>
        <w:t>(יהודים מכלל האוכלוסייה, ערבים וחרדים) עלה שכאשר הנורמה המשפטית של המדינה דורשת התנהגות המנוגדת לזו המתבקשת על ידי נורמה חלופית (למשל נורמה דתית). פוחתת המחויבות לחוקי המדינה ובה בעת מצטמצמת הרגשת השייכות למדינה וההזדהות איתה.</w:t>
      </w:r>
    </w:p>
    <w:p w:rsidR="00D918D9" w:rsidRPr="009A7753" w:rsidRDefault="00D918D9" w:rsidP="00D918D9">
      <w:pPr>
        <w:spacing w:line="360" w:lineRule="auto"/>
        <w:ind w:left="-45"/>
        <w:jc w:val="both"/>
        <w:rPr>
          <w:rFonts w:ascii="Arial" w:hAnsi="Arial" w:cs="David"/>
          <w:b/>
          <w:bCs/>
          <w:i/>
          <w:iCs/>
          <w:sz w:val="24"/>
          <w:szCs w:val="24"/>
        </w:rPr>
      </w:pPr>
      <w:r w:rsidRPr="009A7753">
        <w:rPr>
          <w:rFonts w:ascii="Arial" w:hAnsi="Arial" w:cs="David"/>
          <w:b/>
          <w:bCs/>
          <w:i/>
          <w:iCs/>
          <w:sz w:val="24"/>
          <w:szCs w:val="24"/>
        </w:rPr>
        <w:t>"Close inspection of the results shows that belief in the supremacy of other laws is strongest among the yeshiva students but it is also stronger in the Arab population than in the general Jewish population."</w:t>
      </w:r>
      <w:sdt>
        <w:sdtPr>
          <w:rPr>
            <w:rFonts w:ascii="Arial" w:hAnsi="Arial" w:cs="David"/>
            <w:b/>
            <w:bCs/>
            <w:i/>
            <w:iCs/>
            <w:sz w:val="24"/>
            <w:szCs w:val="24"/>
          </w:rPr>
          <w:id w:val="668341009"/>
          <w:citation/>
        </w:sdtPr>
        <w:sdtContent>
          <w:r w:rsidR="002B306D" w:rsidRPr="009A7753">
            <w:rPr>
              <w:rFonts w:ascii="Arial" w:hAnsi="Arial" w:cs="David"/>
              <w:b/>
              <w:bCs/>
              <w:i/>
              <w:iCs/>
              <w:sz w:val="24"/>
              <w:szCs w:val="24"/>
            </w:rPr>
            <w:fldChar w:fldCharType="begin"/>
          </w:r>
          <w:r w:rsidRPr="009A7753">
            <w:rPr>
              <w:rFonts w:ascii="Arial" w:hAnsi="Arial" w:cs="David"/>
              <w:b/>
              <w:bCs/>
              <w:i/>
              <w:iCs/>
              <w:sz w:val="24"/>
              <w:szCs w:val="24"/>
            </w:rPr>
            <w:instrText xml:space="preserve"> CITATION ARa01 \l 1033 </w:instrText>
          </w:r>
          <w:r w:rsidR="002B306D" w:rsidRPr="009A7753">
            <w:rPr>
              <w:rFonts w:ascii="Arial" w:hAnsi="Arial" w:cs="David"/>
              <w:b/>
              <w:bCs/>
              <w:i/>
              <w:iCs/>
              <w:sz w:val="24"/>
              <w:szCs w:val="24"/>
            </w:rPr>
            <w:fldChar w:fldCharType="separate"/>
          </w:r>
          <w:r w:rsidRPr="009A7753">
            <w:rPr>
              <w:rFonts w:ascii="Arial" w:hAnsi="Arial" w:cs="David"/>
              <w:b/>
              <w:bCs/>
              <w:i/>
              <w:iCs/>
              <w:noProof/>
              <w:sz w:val="24"/>
              <w:szCs w:val="24"/>
            </w:rPr>
            <w:t xml:space="preserve"> </w:t>
          </w:r>
          <w:r w:rsidRPr="009A7753">
            <w:rPr>
              <w:rFonts w:ascii="Arial" w:hAnsi="Arial" w:cs="David"/>
              <w:noProof/>
              <w:sz w:val="24"/>
              <w:szCs w:val="24"/>
            </w:rPr>
            <w:t>(A.Ratthner, 2001)</w:t>
          </w:r>
          <w:r w:rsidR="002B306D" w:rsidRPr="009A7753">
            <w:rPr>
              <w:rFonts w:ascii="Arial" w:hAnsi="Arial" w:cs="David"/>
              <w:b/>
              <w:bCs/>
              <w:i/>
              <w:iCs/>
              <w:sz w:val="24"/>
              <w:szCs w:val="24"/>
            </w:rPr>
            <w:fldChar w:fldCharType="end"/>
          </w:r>
        </w:sdtContent>
      </w:sdt>
      <w:r w:rsidRPr="009A7753">
        <w:rPr>
          <w:rFonts w:ascii="Arial" w:hAnsi="Arial" w:cs="David"/>
          <w:b/>
          <w:bCs/>
          <w:i/>
          <w:iCs/>
          <w:sz w:val="24"/>
          <w:szCs w:val="24"/>
        </w:rPr>
        <w:t xml:space="preserve"> </w:t>
      </w:r>
    </w:p>
    <w:p w:rsidR="00440820" w:rsidRPr="009A7753" w:rsidRDefault="000C2A43" w:rsidP="00F9779E">
      <w:pPr>
        <w:bidi/>
        <w:spacing w:line="360" w:lineRule="auto"/>
        <w:ind w:left="-46"/>
        <w:jc w:val="both"/>
        <w:rPr>
          <w:rFonts w:ascii="Arial" w:hAnsi="Arial" w:cs="David"/>
          <w:sz w:val="24"/>
          <w:szCs w:val="24"/>
          <w:rtl/>
        </w:rPr>
      </w:pPr>
      <w:r w:rsidRPr="009A7753">
        <w:rPr>
          <w:rFonts w:ascii="Arial" w:hAnsi="Arial" w:cs="David" w:hint="cs"/>
          <w:sz w:val="24"/>
          <w:szCs w:val="24"/>
          <w:rtl/>
        </w:rPr>
        <w:t xml:space="preserve">מצב זה מוביל </w:t>
      </w:r>
      <w:r w:rsidR="00BC5747" w:rsidRPr="009A7753">
        <w:rPr>
          <w:rFonts w:ascii="Arial" w:hAnsi="Arial" w:cs="David" w:hint="cs"/>
          <w:sz w:val="24"/>
          <w:szCs w:val="24"/>
          <w:rtl/>
        </w:rPr>
        <w:t xml:space="preserve">לשתי תופעות שבלטו במיוחד </w:t>
      </w:r>
      <w:r w:rsidR="00F9779E" w:rsidRPr="009A7753">
        <w:rPr>
          <w:rFonts w:ascii="Arial" w:hAnsi="Arial" w:cs="David" w:hint="cs"/>
          <w:sz w:val="24"/>
          <w:szCs w:val="24"/>
          <w:rtl/>
        </w:rPr>
        <w:t>אצל</w:t>
      </w:r>
      <w:r w:rsidR="00BC5747" w:rsidRPr="009A7753">
        <w:rPr>
          <w:rFonts w:ascii="Arial" w:hAnsi="Arial" w:cs="David" w:hint="cs"/>
          <w:sz w:val="24"/>
          <w:szCs w:val="24"/>
          <w:rtl/>
        </w:rPr>
        <w:t xml:space="preserve"> הערבים, האחת המוכנות לקחת את החוק לידיים והשנייה, העדר מחויבות נורמטיבית לחוק. </w:t>
      </w:r>
      <w:r w:rsidR="00422F43" w:rsidRPr="009A7753">
        <w:rPr>
          <w:rFonts w:ascii="Arial" w:hAnsi="Arial" w:cs="David" w:hint="cs"/>
          <w:sz w:val="24"/>
          <w:szCs w:val="24"/>
          <w:rtl/>
        </w:rPr>
        <w:t xml:space="preserve">מחקר זה מדגים את הפער המובנה בתפיסת עליונותו של החוק ובתפקידן של המשטרה ושל רשויות האכיפה האחרות בין האוכלוסייה הערבית ליהודית. </w:t>
      </w:r>
    </w:p>
    <w:p w:rsidR="00714CE6" w:rsidRDefault="00714CE6" w:rsidP="00820892">
      <w:pPr>
        <w:pStyle w:val="2"/>
        <w:bidi/>
        <w:rPr>
          <w:rFonts w:ascii="David" w:hAnsi="David" w:cs="David" w:hint="cs"/>
          <w:sz w:val="28"/>
          <w:szCs w:val="28"/>
          <w:rtl/>
        </w:rPr>
      </w:pPr>
      <w:bookmarkStart w:id="25" w:name="_Toc4948724"/>
      <w:bookmarkStart w:id="26" w:name="_Toc4950578"/>
    </w:p>
    <w:p w:rsidR="007B7940" w:rsidRPr="00714CE6" w:rsidRDefault="0055538A" w:rsidP="00714CE6">
      <w:pPr>
        <w:pStyle w:val="1"/>
        <w:bidi/>
        <w:rPr>
          <w:rFonts w:ascii="David" w:hAnsi="David" w:cs="David"/>
          <w:rtl/>
        </w:rPr>
      </w:pPr>
      <w:bookmarkStart w:id="27" w:name="_Toc5984342"/>
      <w:r w:rsidRPr="00714CE6">
        <w:rPr>
          <w:rFonts w:ascii="David" w:hAnsi="David" w:cs="David"/>
          <w:rtl/>
        </w:rPr>
        <w:lastRenderedPageBreak/>
        <w:t>ארגוני הפשיעה</w:t>
      </w:r>
      <w:bookmarkEnd w:id="25"/>
      <w:bookmarkEnd w:id="26"/>
      <w:r w:rsidR="00F30854" w:rsidRPr="00714CE6">
        <w:rPr>
          <w:rFonts w:ascii="David" w:hAnsi="David" w:cs="David"/>
          <w:rtl/>
        </w:rPr>
        <w:t xml:space="preserve"> הערביים</w:t>
      </w:r>
      <w:bookmarkEnd w:id="27"/>
    </w:p>
    <w:p w:rsidR="007B7940" w:rsidRPr="009A7753" w:rsidRDefault="00C00759" w:rsidP="007B7940">
      <w:pPr>
        <w:bidi/>
        <w:spacing w:line="360" w:lineRule="auto"/>
        <w:ind w:left="-46"/>
        <w:jc w:val="both"/>
        <w:rPr>
          <w:rFonts w:ascii="David" w:hAnsi="David" w:cs="David"/>
          <w:sz w:val="24"/>
          <w:szCs w:val="24"/>
          <w:rtl/>
        </w:rPr>
      </w:pPr>
      <w:r w:rsidRPr="009A7753">
        <w:rPr>
          <w:rFonts w:ascii="David" w:hAnsi="David" w:cs="David"/>
          <w:sz w:val="24"/>
          <w:szCs w:val="24"/>
          <w:rtl/>
        </w:rPr>
        <w:t>ארגון פשיעה הוא חבר בני אדם , מאוגד או בלתי מאוגד, שפועל בתבנית מאורגנת</w:t>
      </w:r>
      <w:r w:rsidRPr="009A7753">
        <w:rPr>
          <w:rFonts w:ascii="David" w:hAnsi="David" w:cs="David"/>
          <w:sz w:val="24"/>
          <w:szCs w:val="24"/>
        </w:rPr>
        <w:t xml:space="preserve">, </w:t>
      </w:r>
      <w:r w:rsidRPr="009A7753">
        <w:rPr>
          <w:rFonts w:ascii="David" w:hAnsi="David" w:cs="David"/>
          <w:sz w:val="24"/>
          <w:szCs w:val="24"/>
          <w:rtl/>
        </w:rPr>
        <w:t>שיטתית ומתמשכת לביצוע עברות מסוג פשע בתחומי המדינה ומחוצה לה. ארגוני הפשיעה עוסקים בתחומי עבריינות מגוונים וכן בתחומי פעילות חוקית, ומטרתם השגת רווח כספי גדול</w:t>
      </w:r>
      <w:r w:rsidRPr="009A7753">
        <w:rPr>
          <w:rFonts w:ascii="David" w:hAnsi="David" w:cs="David"/>
          <w:sz w:val="24"/>
          <w:szCs w:val="24"/>
        </w:rPr>
        <w:t>.</w:t>
      </w:r>
      <w:r w:rsidR="007E3F64" w:rsidRPr="009A7753">
        <w:rPr>
          <w:rFonts w:ascii="David" w:hAnsi="David" w:cs="David" w:hint="cs"/>
          <w:sz w:val="24"/>
          <w:szCs w:val="24"/>
          <w:rtl/>
        </w:rPr>
        <w:t xml:space="preserve"> </w:t>
      </w:r>
    </w:p>
    <w:p w:rsidR="007E3F64" w:rsidRPr="009A7753" w:rsidRDefault="007E3F64" w:rsidP="007E3F64">
      <w:pPr>
        <w:bidi/>
        <w:spacing w:line="360" w:lineRule="auto"/>
        <w:ind w:left="-46"/>
        <w:jc w:val="both"/>
        <w:rPr>
          <w:rFonts w:ascii="David" w:hAnsi="David" w:cs="David"/>
          <w:sz w:val="24"/>
          <w:szCs w:val="24"/>
          <w:rtl/>
        </w:rPr>
      </w:pPr>
      <w:r w:rsidRPr="009A7753">
        <w:rPr>
          <w:rFonts w:ascii="David" w:hAnsi="David" w:cs="David" w:hint="cs"/>
          <w:sz w:val="24"/>
          <w:szCs w:val="24"/>
          <w:rtl/>
        </w:rPr>
        <w:t xml:space="preserve">בראשית שנות ה 2000, בעקבות התגברות האלימות של ארגוני הפשיעה ברחבי הארץ, בסדרת אירועי ירי וחיסולים באמצעות מטעני חבלה (שכונו לימים "פיגועים פליליים") החליטה הממשלה על שורת צעדים לבלימת התעצמותם של הארגונים תוך הובלת שיתוף פעולה מערכתי של כל גופי האכיפה לשם כך. החלטות ממשלה התקבלו ב 2003 ומאוחר יותר ב 2006 והובילו להשקעת משאבים תוך יצירת מנגנוני תיאום ושיתוף פעולה בין זרועות האכיפה בהובלת משטרת ישראל וביחד עם פרקליטות המדינה, רשות המיסים והרשות להלבנת הון. בין היתר, חוקק חוק המאבק בארגוני פשיעה, הורחבו סמכויות לחילוט רכוש שהושג בפשע, הוכבדה הענישה ואף הוקמה הרשות להגנה על עדים </w:t>
      </w:r>
      <w:sdt>
        <w:sdtPr>
          <w:rPr>
            <w:rFonts w:ascii="David" w:hAnsi="David" w:cs="David"/>
            <w:sz w:val="24"/>
            <w:szCs w:val="24"/>
            <w:rtl/>
          </w:rPr>
          <w:id w:val="668340979"/>
          <w:citation/>
        </w:sdtPr>
        <w:sdtContent>
          <w:r w:rsidR="002B306D" w:rsidRPr="009A7753">
            <w:rPr>
              <w:rFonts w:ascii="David" w:hAnsi="David" w:cs="David"/>
              <w:sz w:val="24"/>
              <w:szCs w:val="24"/>
              <w:rtl/>
            </w:rPr>
            <w:fldChar w:fldCharType="begin"/>
          </w:r>
          <w:r w:rsidRPr="009A7753">
            <w:rPr>
              <w:rFonts w:ascii="David" w:hAnsi="David" w:cs="David"/>
              <w:sz w:val="24"/>
              <w:szCs w:val="24"/>
              <w:rtl/>
            </w:rPr>
            <w:instrText xml:space="preserve"> </w:instrText>
          </w:r>
          <w:r w:rsidRPr="009A7753">
            <w:rPr>
              <w:rFonts w:ascii="David" w:hAnsi="David" w:cs="David" w:hint="cs"/>
              <w:sz w:val="24"/>
              <w:szCs w:val="24"/>
            </w:rPr>
            <w:instrText>CITATION</w:instrText>
          </w:r>
          <w:r w:rsidRPr="009A7753">
            <w:rPr>
              <w:rFonts w:ascii="David" w:hAnsi="David" w:cs="David" w:hint="cs"/>
              <w:sz w:val="24"/>
              <w:szCs w:val="24"/>
              <w:rtl/>
            </w:rPr>
            <w:instrText xml:space="preserve"> מבק08 \</w:instrText>
          </w:r>
          <w:r w:rsidRPr="009A7753">
            <w:rPr>
              <w:rFonts w:ascii="David" w:hAnsi="David" w:cs="David" w:hint="cs"/>
              <w:sz w:val="24"/>
              <w:szCs w:val="24"/>
            </w:rPr>
            <w:instrText>l 1037</w:instrText>
          </w:r>
          <w:r w:rsidRPr="009A7753">
            <w:rPr>
              <w:rFonts w:ascii="David" w:hAnsi="David" w:cs="David"/>
              <w:sz w:val="24"/>
              <w:szCs w:val="24"/>
              <w:rtl/>
            </w:rPr>
            <w:instrText xml:space="preserve"> </w:instrText>
          </w:r>
          <w:r w:rsidR="002B306D" w:rsidRPr="009A7753">
            <w:rPr>
              <w:rFonts w:ascii="David" w:hAnsi="David" w:cs="David"/>
              <w:sz w:val="24"/>
              <w:szCs w:val="24"/>
              <w:rtl/>
            </w:rPr>
            <w:fldChar w:fldCharType="separate"/>
          </w:r>
          <w:r w:rsidRPr="009A7753">
            <w:rPr>
              <w:rFonts w:ascii="David" w:hAnsi="David" w:cs="David" w:hint="cs"/>
              <w:noProof/>
              <w:sz w:val="24"/>
              <w:szCs w:val="24"/>
              <w:rtl/>
            </w:rPr>
            <w:t>(מבקר המדינה, 2008)</w:t>
          </w:r>
          <w:r w:rsidR="002B306D" w:rsidRPr="009A7753">
            <w:rPr>
              <w:rFonts w:ascii="David" w:hAnsi="David" w:cs="David"/>
              <w:sz w:val="24"/>
              <w:szCs w:val="24"/>
              <w:rtl/>
            </w:rPr>
            <w:fldChar w:fldCharType="end"/>
          </w:r>
        </w:sdtContent>
      </w:sdt>
      <w:r w:rsidR="001204E8" w:rsidRPr="009A7753">
        <w:rPr>
          <w:rFonts w:ascii="David" w:hAnsi="David" w:cs="David" w:hint="cs"/>
          <w:sz w:val="24"/>
          <w:szCs w:val="24"/>
          <w:rtl/>
        </w:rPr>
        <w:t>.</w:t>
      </w:r>
    </w:p>
    <w:p w:rsidR="001204E8" w:rsidRPr="009A7753" w:rsidRDefault="001204E8" w:rsidP="001204E8">
      <w:pPr>
        <w:bidi/>
        <w:spacing w:line="360" w:lineRule="auto"/>
        <w:ind w:left="-46"/>
        <w:jc w:val="both"/>
        <w:rPr>
          <w:rFonts w:ascii="David" w:hAnsi="David" w:cs="David"/>
          <w:sz w:val="24"/>
          <w:szCs w:val="24"/>
          <w:rtl/>
        </w:rPr>
      </w:pPr>
      <w:r w:rsidRPr="009A7753">
        <w:rPr>
          <w:rFonts w:ascii="David" w:hAnsi="David" w:cs="David" w:hint="cs"/>
          <w:sz w:val="24"/>
          <w:szCs w:val="24"/>
          <w:rtl/>
        </w:rPr>
        <w:t xml:space="preserve">מאז, הובילה המשטרה מאבק בלתי מתפשר נגד ארגוני הפשיעה, תוך השקעת מיטב יחידותיה במשימה. פרשייה אחר פרשייה, החלו הארגונים לקרוס. המשטרה הצליחה להחדיר סוכנים סמויים לתוך הארגונים, לגייס עדי מדינה ולהפעיל כלים טכנולוגיים מתקדמים לאיסוף ראיות. ראשי הארגונים שהטילו מורא על עולם הפשע הישראלי ומשפחות כמו </w:t>
      </w:r>
      <w:r w:rsidRPr="009A7753">
        <w:rPr>
          <w:rFonts w:ascii="David" w:hAnsi="David" w:cs="David"/>
          <w:sz w:val="24"/>
          <w:szCs w:val="24"/>
          <w:rtl/>
        </w:rPr>
        <w:t>–</w:t>
      </w:r>
      <w:r w:rsidRPr="009A7753">
        <w:rPr>
          <w:rFonts w:ascii="David" w:hAnsi="David" w:cs="David" w:hint="cs"/>
          <w:sz w:val="24"/>
          <w:szCs w:val="24"/>
          <w:rtl/>
        </w:rPr>
        <w:t xml:space="preserve"> רוזנשטיין, אבוטבול, אלפרון, אברג'יל ואחרים החלו להיעלם ממפת הפשע.</w:t>
      </w:r>
      <w:r w:rsidR="00885814" w:rsidRPr="009A7753">
        <w:rPr>
          <w:rFonts w:ascii="David" w:hAnsi="David" w:cs="David" w:hint="cs"/>
          <w:sz w:val="24"/>
          <w:szCs w:val="24"/>
          <w:rtl/>
        </w:rPr>
        <w:t xml:space="preserve"> אלא, שהפעילות המבורכת והמוצלחת של משטרת ישראל גרמה לתוצאה בלתי צפויה והיא התעצמות מהירה של ארגוני פשיעה אלימים וחסרי עכבות עוד יותר, מהמגזר הערבי. </w:t>
      </w:r>
    </w:p>
    <w:p w:rsidR="00885814" w:rsidRPr="009A7753" w:rsidRDefault="00885814" w:rsidP="00885814">
      <w:pPr>
        <w:bidi/>
        <w:spacing w:line="360" w:lineRule="auto"/>
        <w:ind w:left="-46"/>
        <w:jc w:val="both"/>
        <w:rPr>
          <w:rFonts w:ascii="David" w:hAnsi="David" w:cs="David"/>
          <w:sz w:val="24"/>
          <w:szCs w:val="24"/>
          <w:rtl/>
        </w:rPr>
      </w:pPr>
      <w:r w:rsidRPr="009A7753">
        <w:rPr>
          <w:rFonts w:ascii="David" w:hAnsi="David" w:cs="David" w:hint="cs"/>
          <w:sz w:val="24"/>
          <w:szCs w:val="24"/>
          <w:rtl/>
        </w:rPr>
        <w:t xml:space="preserve">תוצאה בלתי צפויה היא תופעה המתארת התממשות תהליכים בהפתעה או באופן שונה מהמתוכנן ו/או המצופה מהם. תופעה זו ידועה גם בשמות נוספים כמו </w:t>
      </w:r>
      <w:r w:rsidRPr="009A7753">
        <w:rPr>
          <w:rFonts w:ascii="David" w:hAnsi="David" w:cs="David"/>
          <w:sz w:val="24"/>
          <w:szCs w:val="24"/>
          <w:rtl/>
        </w:rPr>
        <w:t>–</w:t>
      </w:r>
      <w:r w:rsidRPr="009A7753">
        <w:rPr>
          <w:rFonts w:ascii="David" w:hAnsi="David" w:cs="David" w:hint="cs"/>
          <w:sz w:val="24"/>
          <w:szCs w:val="24"/>
          <w:rtl/>
        </w:rPr>
        <w:t xml:space="preserve"> "תוצאות אקראיות", או "הפתעה" או "ברבור שחור" </w:t>
      </w:r>
      <w:sdt>
        <w:sdtPr>
          <w:rPr>
            <w:rFonts w:ascii="David" w:hAnsi="David" w:cs="David" w:hint="cs"/>
            <w:sz w:val="24"/>
            <w:szCs w:val="24"/>
            <w:rtl/>
          </w:rPr>
          <w:id w:val="668340980"/>
          <w:citation/>
        </w:sdtPr>
        <w:sdtContent>
          <w:r w:rsidR="002B306D" w:rsidRPr="009A7753">
            <w:rPr>
              <w:rFonts w:ascii="David" w:hAnsi="David" w:cs="David"/>
              <w:sz w:val="24"/>
              <w:szCs w:val="24"/>
              <w:rtl/>
            </w:rPr>
            <w:fldChar w:fldCharType="begin"/>
          </w:r>
          <w:r w:rsidRPr="009A7753">
            <w:rPr>
              <w:rFonts w:ascii="David" w:hAnsi="David" w:cs="David"/>
              <w:sz w:val="24"/>
              <w:szCs w:val="24"/>
              <w:rtl/>
            </w:rPr>
            <w:instrText xml:space="preserve"> </w:instrText>
          </w:r>
          <w:r w:rsidRPr="009A7753">
            <w:rPr>
              <w:rFonts w:ascii="David" w:hAnsi="David" w:cs="David" w:hint="cs"/>
              <w:sz w:val="24"/>
              <w:szCs w:val="24"/>
            </w:rPr>
            <w:instrText>CITATION</w:instrText>
          </w:r>
          <w:r w:rsidRPr="009A7753">
            <w:rPr>
              <w:rFonts w:ascii="David" w:hAnsi="David" w:cs="David" w:hint="cs"/>
              <w:sz w:val="24"/>
              <w:szCs w:val="24"/>
              <w:rtl/>
            </w:rPr>
            <w:instrText xml:space="preserve"> פינ141 \</w:instrText>
          </w:r>
          <w:r w:rsidRPr="009A7753">
            <w:rPr>
              <w:rFonts w:ascii="David" w:hAnsi="David" w:cs="David" w:hint="cs"/>
              <w:sz w:val="24"/>
              <w:szCs w:val="24"/>
            </w:rPr>
            <w:instrText>l 1037</w:instrText>
          </w:r>
          <w:r w:rsidRPr="009A7753">
            <w:rPr>
              <w:rFonts w:ascii="David" w:hAnsi="David" w:cs="David"/>
              <w:sz w:val="24"/>
              <w:szCs w:val="24"/>
              <w:rtl/>
            </w:rPr>
            <w:instrText xml:space="preserve"> </w:instrText>
          </w:r>
          <w:r w:rsidR="002B306D" w:rsidRPr="009A7753">
            <w:rPr>
              <w:rFonts w:ascii="David" w:hAnsi="David" w:cs="David"/>
              <w:sz w:val="24"/>
              <w:szCs w:val="24"/>
              <w:rtl/>
            </w:rPr>
            <w:fldChar w:fldCharType="separate"/>
          </w:r>
          <w:r w:rsidRPr="009A7753">
            <w:rPr>
              <w:rFonts w:ascii="David" w:hAnsi="David" w:cs="David" w:hint="cs"/>
              <w:noProof/>
              <w:sz w:val="24"/>
              <w:szCs w:val="24"/>
              <w:rtl/>
            </w:rPr>
            <w:t>(יחזקאלי, התוצאות הבלתי צפויות, 2014)</w:t>
          </w:r>
          <w:r w:rsidR="002B306D" w:rsidRPr="009A7753">
            <w:rPr>
              <w:rFonts w:ascii="David" w:hAnsi="David" w:cs="David"/>
              <w:sz w:val="24"/>
              <w:szCs w:val="24"/>
              <w:rtl/>
            </w:rPr>
            <w:fldChar w:fldCharType="end"/>
          </w:r>
        </w:sdtContent>
      </w:sdt>
      <w:r w:rsidRPr="009A7753">
        <w:rPr>
          <w:rFonts w:ascii="David" w:hAnsi="David" w:cs="David" w:hint="cs"/>
          <w:sz w:val="24"/>
          <w:szCs w:val="24"/>
          <w:rtl/>
        </w:rPr>
        <w:t>.</w:t>
      </w:r>
    </w:p>
    <w:p w:rsidR="00243116" w:rsidRPr="009A7753" w:rsidRDefault="00885814" w:rsidP="00885814">
      <w:pPr>
        <w:bidi/>
        <w:spacing w:line="360" w:lineRule="auto"/>
        <w:ind w:left="-46"/>
        <w:jc w:val="both"/>
        <w:rPr>
          <w:rFonts w:ascii="David" w:hAnsi="David" w:cs="David"/>
          <w:sz w:val="24"/>
          <w:szCs w:val="24"/>
          <w:rtl/>
        </w:rPr>
      </w:pPr>
      <w:r w:rsidRPr="009A7753">
        <w:rPr>
          <w:rFonts w:ascii="David" w:hAnsi="David" w:cs="David" w:hint="cs"/>
          <w:sz w:val="24"/>
          <w:szCs w:val="24"/>
          <w:rtl/>
        </w:rPr>
        <w:t>במקרה זה, ציפתה המשטרה כמו גם רשויות האכיפה השותפות, לקבל תוצאה חיובית בעקבות הטיפול בארגוני הפשיעה שנתפסו אז כמאיימים ועוצמתיים, אולם, ההצלחה יצרה וואקום שהתמלא מהר מאוד על ידי ארגוני הפשיעה הערביים</w:t>
      </w:r>
      <w:sdt>
        <w:sdtPr>
          <w:rPr>
            <w:rFonts w:ascii="David" w:hAnsi="David" w:cs="David" w:hint="cs"/>
            <w:sz w:val="24"/>
            <w:szCs w:val="24"/>
            <w:rtl/>
          </w:rPr>
          <w:id w:val="668340981"/>
          <w:citation/>
        </w:sdtPr>
        <w:sdtContent>
          <w:r w:rsidR="002B306D" w:rsidRPr="009A7753">
            <w:rPr>
              <w:rFonts w:ascii="David" w:hAnsi="David" w:cs="David"/>
              <w:sz w:val="24"/>
              <w:szCs w:val="24"/>
              <w:rtl/>
            </w:rPr>
            <w:fldChar w:fldCharType="begin"/>
          </w:r>
          <w:r w:rsidRPr="009A7753">
            <w:rPr>
              <w:rFonts w:ascii="David" w:hAnsi="David" w:cs="David"/>
              <w:sz w:val="24"/>
              <w:szCs w:val="24"/>
              <w:rtl/>
            </w:rPr>
            <w:instrText xml:space="preserve"> </w:instrText>
          </w:r>
          <w:r w:rsidRPr="009A7753">
            <w:rPr>
              <w:rFonts w:ascii="David" w:hAnsi="David" w:cs="David" w:hint="cs"/>
              <w:sz w:val="24"/>
              <w:szCs w:val="24"/>
            </w:rPr>
            <w:instrText>CITATION</w:instrText>
          </w:r>
          <w:r w:rsidRPr="009A7753">
            <w:rPr>
              <w:rFonts w:ascii="David" w:hAnsi="David" w:cs="David" w:hint="cs"/>
              <w:sz w:val="24"/>
              <w:szCs w:val="24"/>
              <w:rtl/>
            </w:rPr>
            <w:instrText xml:space="preserve"> פינ18 \</w:instrText>
          </w:r>
          <w:r w:rsidRPr="009A7753">
            <w:rPr>
              <w:rFonts w:ascii="David" w:hAnsi="David" w:cs="David" w:hint="cs"/>
              <w:sz w:val="24"/>
              <w:szCs w:val="24"/>
            </w:rPr>
            <w:instrText>l 1037</w:instrText>
          </w:r>
          <w:r w:rsidRPr="009A7753">
            <w:rPr>
              <w:rFonts w:ascii="David" w:hAnsi="David" w:cs="David"/>
              <w:sz w:val="24"/>
              <w:szCs w:val="24"/>
              <w:rtl/>
            </w:rPr>
            <w:instrText xml:space="preserve"> </w:instrText>
          </w:r>
          <w:r w:rsidR="002B306D" w:rsidRPr="009A7753">
            <w:rPr>
              <w:rFonts w:ascii="David" w:hAnsi="David" w:cs="David"/>
              <w:sz w:val="24"/>
              <w:szCs w:val="24"/>
              <w:rtl/>
            </w:rPr>
            <w:fldChar w:fldCharType="separate"/>
          </w:r>
          <w:r w:rsidRPr="009A7753">
            <w:rPr>
              <w:rFonts w:ascii="David" w:hAnsi="David" w:cs="David"/>
              <w:noProof/>
              <w:sz w:val="24"/>
              <w:szCs w:val="24"/>
              <w:rtl/>
            </w:rPr>
            <w:t xml:space="preserve"> </w:t>
          </w:r>
          <w:r w:rsidRPr="009A7753">
            <w:rPr>
              <w:rFonts w:ascii="David" w:hAnsi="David" w:cs="David" w:hint="cs"/>
              <w:noProof/>
              <w:sz w:val="24"/>
              <w:szCs w:val="24"/>
              <w:rtl/>
            </w:rPr>
            <w:t>(יחזקאלי, ארגוני הפשע הערביים: המרחק הדק בין פשיעה לטרור, 2018)</w:t>
          </w:r>
          <w:r w:rsidR="002B306D" w:rsidRPr="009A7753">
            <w:rPr>
              <w:rFonts w:ascii="David" w:hAnsi="David" w:cs="David"/>
              <w:sz w:val="24"/>
              <w:szCs w:val="24"/>
              <w:rtl/>
            </w:rPr>
            <w:fldChar w:fldCharType="end"/>
          </w:r>
        </w:sdtContent>
      </w:sdt>
      <w:r w:rsidRPr="009A7753">
        <w:rPr>
          <w:rFonts w:ascii="David" w:hAnsi="David" w:cs="David" w:hint="cs"/>
          <w:sz w:val="24"/>
          <w:szCs w:val="24"/>
          <w:rtl/>
        </w:rPr>
        <w:t xml:space="preserve">. אותם ארגונים פעלו </w:t>
      </w:r>
      <w:r w:rsidR="00243116" w:rsidRPr="009A7753">
        <w:rPr>
          <w:rFonts w:ascii="David" w:hAnsi="David" w:cs="David" w:hint="cs"/>
          <w:sz w:val="24"/>
          <w:szCs w:val="24"/>
          <w:rtl/>
        </w:rPr>
        <w:t xml:space="preserve">קודם לכן בשיתוף פעולה מלא עם ראשי הארגונים היהודיים ושימשו בעבורם כזרוע מבצעת או סוג של "קבלני משנה". ההרמוניה הזו הביאה לתועלת הדדית ונשמרה כל עוד הארגונים היהודיים שמרו על כוחם. מרגע שראשי הארגונים פינו את הזירה, היו הערבים כבר בעלי ניסיון, ידע ומהלכים בעולם הפשע והם פעלו תוך ניצול העובדה שהמשטרה מתקשה יותר לפעול ביישובי המגזר הערבי. לארגונים הערביים יש יתרונות יחסיים אשר עדיין מקשים מאוד על המשטרה להתמודד עמם. מדובר בארגונים סגורים ומגובשים סביב חמולות וקרבת משפחה ונאמנות גדולה בין השותפים. עובדה זו מקשה על החדרת סוכנים ועל ביצוע פעילות מבצעית בתוך כפרים שבהם נחשפת המשטרה בקלות. </w:t>
      </w:r>
    </w:p>
    <w:p w:rsidR="00A26C1B" w:rsidRPr="009A7753" w:rsidRDefault="00243116" w:rsidP="00243116">
      <w:pPr>
        <w:bidi/>
        <w:spacing w:line="360" w:lineRule="auto"/>
        <w:ind w:left="-46"/>
        <w:jc w:val="both"/>
        <w:rPr>
          <w:rFonts w:ascii="David" w:hAnsi="David" w:cs="David"/>
          <w:sz w:val="24"/>
          <w:szCs w:val="24"/>
          <w:rtl/>
        </w:rPr>
      </w:pPr>
      <w:r w:rsidRPr="009A7753">
        <w:rPr>
          <w:rFonts w:ascii="David" w:hAnsi="David" w:cs="David" w:hint="cs"/>
          <w:sz w:val="24"/>
          <w:szCs w:val="24"/>
          <w:rtl/>
        </w:rPr>
        <w:t>ארגוני הפשע הערביים צברו בשנים האחרונות עוצמה רבה הנובעת מאופיין האלים וחסר המעצורים וכן מצביר</w:t>
      </w:r>
      <w:r w:rsidR="001A4276" w:rsidRPr="009A7753">
        <w:rPr>
          <w:rFonts w:ascii="David" w:hAnsi="David" w:cs="David" w:hint="cs"/>
          <w:sz w:val="24"/>
          <w:szCs w:val="24"/>
          <w:rtl/>
        </w:rPr>
        <w:t>ת</w:t>
      </w:r>
      <w:r w:rsidRPr="009A7753">
        <w:rPr>
          <w:rFonts w:ascii="David" w:hAnsi="David" w:cs="David" w:hint="cs"/>
          <w:sz w:val="24"/>
          <w:szCs w:val="24"/>
          <w:rtl/>
        </w:rPr>
        <w:t xml:space="preserve"> הון רב שהושג בפעילות פלילית, כמו </w:t>
      </w:r>
      <w:r w:rsidRPr="009A7753">
        <w:rPr>
          <w:rFonts w:ascii="David" w:hAnsi="David" w:cs="David"/>
          <w:sz w:val="24"/>
          <w:szCs w:val="24"/>
          <w:rtl/>
        </w:rPr>
        <w:t>–</w:t>
      </w:r>
      <w:r w:rsidRPr="009A7753">
        <w:rPr>
          <w:rFonts w:ascii="David" w:hAnsi="David" w:cs="David" w:hint="cs"/>
          <w:sz w:val="24"/>
          <w:szCs w:val="24"/>
          <w:rtl/>
        </w:rPr>
        <w:t xml:space="preserve"> סחר בסמים, סחר באמצעי לחימה, גביית דמי חסות, הלוואות בשוק האפור והשתלטות על עסקים.</w:t>
      </w:r>
      <w:r w:rsidR="00E357DD" w:rsidRPr="009A7753">
        <w:rPr>
          <w:rFonts w:ascii="David" w:hAnsi="David" w:cs="David" w:hint="cs"/>
          <w:sz w:val="24"/>
          <w:szCs w:val="24"/>
          <w:rtl/>
        </w:rPr>
        <w:t xml:space="preserve"> אחת הדוגמאות הבולטות לאופי של ארגון פשיעה אלים מהמגזר הערבי, הנה הארגון של קוטייר עודה. </w:t>
      </w:r>
    </w:p>
    <w:p w:rsidR="00A26C1B" w:rsidRPr="009A7753" w:rsidRDefault="00A26C1B" w:rsidP="00F30854">
      <w:pPr>
        <w:bidi/>
        <w:spacing w:line="360" w:lineRule="auto"/>
        <w:ind w:left="-46"/>
        <w:jc w:val="both"/>
        <w:rPr>
          <w:rFonts w:ascii="David" w:hAnsi="David" w:cs="David"/>
          <w:sz w:val="24"/>
          <w:szCs w:val="24"/>
          <w:rtl/>
        </w:rPr>
      </w:pPr>
      <w:r w:rsidRPr="009A7753">
        <w:rPr>
          <w:rFonts w:ascii="David" w:hAnsi="David" w:cs="David" w:hint="cs"/>
          <w:sz w:val="24"/>
          <w:szCs w:val="24"/>
          <w:rtl/>
        </w:rPr>
        <w:t xml:space="preserve">עודה הוא ראש משפחת פשע שיצאה בשנים האחרונות לדרך עצמאית ומפעילה עשרות 'חיילים' ושולטת באזור המשולש. עיקר עיסוקה הוא סחר בסמים, סחיטת דמי חסות ומתן הלוואות בשוק האפור. משפחת עודה פעלה בשיתוף פעולה בעבר עם ארגוני פשיעה מוכרים כמו הארגונים של איתן חייא, יוסי מוסלי </w:t>
      </w:r>
      <w:r w:rsidRPr="009A7753">
        <w:rPr>
          <w:rFonts w:ascii="David" w:hAnsi="David" w:cs="David" w:hint="cs"/>
          <w:sz w:val="24"/>
          <w:szCs w:val="24"/>
          <w:rtl/>
        </w:rPr>
        <w:lastRenderedPageBreak/>
        <w:t>ואיציק בר מוחא. בספטמבר 2017, נכלא עודה קוטייר לאחר שהמשטרה הצליחה לאסוף נגדו ראיות בשורה של מעשי רצח, אלימות חמורה, סחיטה וסחר בסמים ובנשק. אלא, שגם בהיותו כלוא, המשיך עודה להפעיל את אנשיו כנגד שירות בתי הסוהר במטרה להקל את תנאי כליאתו. אנשי הארגון הפעילו מטען חבלה ברכבה של קצינת שב"ס בנתניה (אוקטובר 2018), ירו על בית מעצר הדרים שבשרון מרכב חולף (נובמבר 2018) וירו על מגדל השמירה של כלא גבעון ברמלה (נובמבר 2018)</w:t>
      </w:r>
      <w:sdt>
        <w:sdtPr>
          <w:rPr>
            <w:rFonts w:ascii="David" w:hAnsi="David" w:cs="David" w:hint="cs"/>
            <w:sz w:val="24"/>
            <w:szCs w:val="24"/>
            <w:rtl/>
          </w:rPr>
          <w:id w:val="668340982"/>
          <w:citation/>
        </w:sdtPr>
        <w:sdtContent>
          <w:r w:rsidR="002B306D" w:rsidRPr="009A7753">
            <w:rPr>
              <w:rFonts w:ascii="David" w:hAnsi="David" w:cs="David"/>
              <w:sz w:val="24"/>
              <w:szCs w:val="24"/>
              <w:rtl/>
            </w:rPr>
            <w:fldChar w:fldCharType="begin"/>
          </w:r>
          <w:r w:rsidRPr="009A7753">
            <w:rPr>
              <w:rFonts w:ascii="David" w:hAnsi="David" w:cs="David"/>
              <w:sz w:val="24"/>
              <w:szCs w:val="24"/>
              <w:rtl/>
            </w:rPr>
            <w:instrText xml:space="preserve"> </w:instrText>
          </w:r>
          <w:r w:rsidRPr="009A7753">
            <w:rPr>
              <w:rFonts w:ascii="David" w:hAnsi="David" w:cs="David" w:hint="cs"/>
              <w:sz w:val="24"/>
              <w:szCs w:val="24"/>
            </w:rPr>
            <w:instrText>CITATION</w:instrText>
          </w:r>
          <w:r w:rsidRPr="009A7753">
            <w:rPr>
              <w:rFonts w:ascii="David" w:hAnsi="David" w:cs="David" w:hint="cs"/>
              <w:sz w:val="24"/>
              <w:szCs w:val="24"/>
              <w:rtl/>
            </w:rPr>
            <w:instrText xml:space="preserve"> פינ181 \</w:instrText>
          </w:r>
          <w:r w:rsidRPr="009A7753">
            <w:rPr>
              <w:rFonts w:ascii="David" w:hAnsi="David" w:cs="David" w:hint="cs"/>
              <w:sz w:val="24"/>
              <w:szCs w:val="24"/>
            </w:rPr>
            <w:instrText>l 1037</w:instrText>
          </w:r>
          <w:r w:rsidRPr="009A7753">
            <w:rPr>
              <w:rFonts w:ascii="David" w:hAnsi="David" w:cs="David"/>
              <w:sz w:val="24"/>
              <w:szCs w:val="24"/>
              <w:rtl/>
            </w:rPr>
            <w:instrText xml:space="preserve"> </w:instrText>
          </w:r>
          <w:r w:rsidR="002B306D" w:rsidRPr="009A7753">
            <w:rPr>
              <w:rFonts w:ascii="David" w:hAnsi="David" w:cs="David"/>
              <w:sz w:val="24"/>
              <w:szCs w:val="24"/>
              <w:rtl/>
            </w:rPr>
            <w:fldChar w:fldCharType="separate"/>
          </w:r>
          <w:r w:rsidRPr="009A7753">
            <w:rPr>
              <w:rFonts w:ascii="David" w:hAnsi="David" w:cs="David"/>
              <w:noProof/>
              <w:sz w:val="24"/>
              <w:szCs w:val="24"/>
              <w:rtl/>
            </w:rPr>
            <w:t xml:space="preserve"> </w:t>
          </w:r>
          <w:r w:rsidRPr="009A7753">
            <w:rPr>
              <w:rFonts w:ascii="David" w:hAnsi="David" w:cs="David" w:hint="cs"/>
              <w:noProof/>
              <w:sz w:val="24"/>
              <w:szCs w:val="24"/>
              <w:rtl/>
            </w:rPr>
            <w:t>(יחזקאלי, קוטייר עודה: אין קווים אדומים!, 2018)</w:t>
          </w:r>
          <w:r w:rsidR="002B306D" w:rsidRPr="009A7753">
            <w:rPr>
              <w:rFonts w:ascii="David" w:hAnsi="David" w:cs="David"/>
              <w:sz w:val="24"/>
              <w:szCs w:val="24"/>
              <w:rtl/>
            </w:rPr>
            <w:fldChar w:fldCharType="end"/>
          </w:r>
        </w:sdtContent>
      </w:sdt>
      <w:r w:rsidRPr="009A7753">
        <w:rPr>
          <w:rFonts w:ascii="David" w:hAnsi="David" w:cs="David" w:hint="cs"/>
          <w:sz w:val="24"/>
          <w:szCs w:val="24"/>
          <w:rtl/>
        </w:rPr>
        <w:t>. באירועים אלה, באורך נס לא היו נפגעים בנפש אך ניתן ללמוד מהם מהי רמת התעוזה של ארגון הפשיעה וכי אינו מורתע כלל מרשויות האכיפה.</w:t>
      </w:r>
    </w:p>
    <w:p w:rsidR="00730D9F" w:rsidRPr="00714CE6" w:rsidRDefault="00730D9F" w:rsidP="00714CE6">
      <w:pPr>
        <w:pStyle w:val="1"/>
        <w:bidi/>
        <w:rPr>
          <w:rFonts w:ascii="David" w:hAnsi="David" w:cs="David"/>
          <w:rtl/>
        </w:rPr>
      </w:pPr>
      <w:bookmarkStart w:id="28" w:name="_Toc4948725"/>
      <w:bookmarkStart w:id="29" w:name="_Toc4950579"/>
      <w:bookmarkStart w:id="30" w:name="_Toc5984343"/>
      <w:r w:rsidRPr="00714CE6">
        <w:rPr>
          <w:rFonts w:ascii="David" w:hAnsi="David" w:cs="David"/>
          <w:rtl/>
        </w:rPr>
        <w:t>עבריינות כלכלית כמנוע מרכזי לפשיעה חמורה בחברה הערבית</w:t>
      </w:r>
      <w:bookmarkEnd w:id="28"/>
      <w:bookmarkEnd w:id="29"/>
      <w:bookmarkEnd w:id="30"/>
    </w:p>
    <w:p w:rsidR="00730D9F" w:rsidRPr="009A7753" w:rsidRDefault="00730D9F" w:rsidP="00730D9F">
      <w:pPr>
        <w:bidi/>
        <w:spacing w:line="360" w:lineRule="auto"/>
        <w:ind w:left="-46"/>
        <w:jc w:val="both"/>
        <w:rPr>
          <w:rFonts w:ascii="Arial" w:hAnsi="Arial" w:cs="David"/>
          <w:sz w:val="24"/>
          <w:szCs w:val="24"/>
          <w:rtl/>
        </w:rPr>
      </w:pPr>
      <w:r w:rsidRPr="009A7753">
        <w:rPr>
          <w:rFonts w:ascii="Arial" w:hAnsi="Arial" w:cs="David" w:hint="cs"/>
          <w:sz w:val="24"/>
          <w:szCs w:val="24"/>
          <w:rtl/>
        </w:rPr>
        <w:t xml:space="preserve">במהלך הראיונות שנערכו במסגרת כתיבת עבודה זו, עלה שוב ושוב נושא מרכזי אחד כרקע מסביר של חלק גדול מתופעות הפשיעה בחברה הערבית </w:t>
      </w:r>
      <w:r w:rsidRPr="009A7753">
        <w:rPr>
          <w:rFonts w:ascii="Arial" w:hAnsi="Arial" w:cs="David"/>
          <w:sz w:val="24"/>
          <w:szCs w:val="24"/>
          <w:rtl/>
        </w:rPr>
        <w:t>–</w:t>
      </w:r>
      <w:r w:rsidRPr="009A7753">
        <w:rPr>
          <w:rFonts w:ascii="Arial" w:hAnsi="Arial" w:cs="David" w:hint="cs"/>
          <w:sz w:val="24"/>
          <w:szCs w:val="24"/>
          <w:rtl/>
        </w:rPr>
        <w:t xml:space="preserve"> תחום העבריינות הכלכלית.</w:t>
      </w:r>
    </w:p>
    <w:p w:rsidR="00E9729B" w:rsidRPr="009A7753" w:rsidRDefault="00E9729B" w:rsidP="00730D9F">
      <w:pPr>
        <w:bidi/>
        <w:spacing w:line="360" w:lineRule="auto"/>
        <w:ind w:left="-46"/>
        <w:jc w:val="both"/>
        <w:rPr>
          <w:rFonts w:ascii="Arial" w:hAnsi="Arial" w:cs="David"/>
          <w:sz w:val="24"/>
          <w:szCs w:val="24"/>
          <w:rtl/>
        </w:rPr>
      </w:pPr>
      <w:r w:rsidRPr="009A7753">
        <w:rPr>
          <w:rFonts w:ascii="Arial" w:hAnsi="Arial" w:cs="David" w:hint="cs"/>
          <w:sz w:val="24"/>
          <w:szCs w:val="24"/>
          <w:rtl/>
        </w:rPr>
        <w:t xml:space="preserve">סוג זה של פשיעה מבוסס על פעילות פלילית על בסיס כלכלי שמטרתה לצבור כסף ונכסים ולהלבין כספים שהושגו בפשיעה כבסיס לצבירת עוצמה תוך שילוב עם השקעות ועסקים חוקיים או חוקיים למחצה. </w:t>
      </w:r>
    </w:p>
    <w:p w:rsidR="00945D41" w:rsidRPr="009A7753" w:rsidRDefault="00902C5F" w:rsidP="00902C5F">
      <w:pPr>
        <w:bidi/>
        <w:spacing w:line="360" w:lineRule="auto"/>
        <w:ind w:left="-46"/>
        <w:jc w:val="both"/>
        <w:rPr>
          <w:rFonts w:ascii="David" w:hAnsi="David" w:cs="David"/>
          <w:sz w:val="24"/>
          <w:szCs w:val="24"/>
          <w:rtl/>
        </w:rPr>
      </w:pPr>
      <w:r w:rsidRPr="009A7753">
        <w:rPr>
          <w:rFonts w:ascii="Arial" w:hAnsi="Arial" w:cs="David" w:hint="cs"/>
          <w:b/>
          <w:bCs/>
          <w:sz w:val="24"/>
          <w:szCs w:val="24"/>
          <w:rtl/>
        </w:rPr>
        <w:t xml:space="preserve">הלוואות בשוק </w:t>
      </w:r>
      <w:r w:rsidRPr="009A7753">
        <w:rPr>
          <w:rFonts w:ascii="David" w:hAnsi="David" w:cs="David"/>
          <w:b/>
          <w:bCs/>
          <w:sz w:val="24"/>
          <w:szCs w:val="24"/>
          <w:rtl/>
        </w:rPr>
        <w:t>האפור</w:t>
      </w:r>
      <w:r w:rsidRPr="009A7753">
        <w:rPr>
          <w:rFonts w:ascii="Arial" w:hAnsi="Arial" w:cs="David" w:hint="cs"/>
          <w:sz w:val="24"/>
          <w:szCs w:val="24"/>
          <w:rtl/>
        </w:rPr>
        <w:t xml:space="preserve"> - </w:t>
      </w:r>
      <w:r w:rsidR="00E9729B" w:rsidRPr="009A7753">
        <w:rPr>
          <w:rFonts w:ascii="Arial" w:hAnsi="Arial" w:cs="David" w:hint="cs"/>
          <w:sz w:val="24"/>
          <w:szCs w:val="24"/>
          <w:rtl/>
        </w:rPr>
        <w:t>כל ארגון פשיעה משמעותי במגזר הערבי עוסק כיום, בין יתר עיסוקיו, במתן</w:t>
      </w:r>
      <w:r w:rsidRPr="009A7753">
        <w:rPr>
          <w:rFonts w:ascii="Arial" w:hAnsi="Arial" w:cs="David" w:hint="cs"/>
          <w:sz w:val="24"/>
          <w:szCs w:val="24"/>
          <w:rtl/>
        </w:rPr>
        <w:t xml:space="preserve"> הלוואות</w:t>
      </w:r>
      <w:r w:rsidR="00E9729B" w:rsidRPr="009A7753">
        <w:rPr>
          <w:rFonts w:ascii="David" w:hAnsi="David" w:cs="David"/>
          <w:sz w:val="24"/>
          <w:szCs w:val="24"/>
          <w:rtl/>
        </w:rPr>
        <w:t xml:space="preserve">. </w:t>
      </w:r>
      <w:r w:rsidR="00481B0F" w:rsidRPr="009A7753">
        <w:rPr>
          <w:rFonts w:ascii="David" w:hAnsi="David" w:cs="David"/>
          <w:sz w:val="24"/>
          <w:szCs w:val="24"/>
          <w:rtl/>
        </w:rPr>
        <w:t>השוק האפור הוא</w:t>
      </w:r>
      <w:r w:rsidR="00E9729B" w:rsidRPr="009A7753">
        <w:rPr>
          <w:rFonts w:ascii="David" w:hAnsi="David" w:cs="David"/>
          <w:sz w:val="24"/>
          <w:szCs w:val="24"/>
          <w:rtl/>
        </w:rPr>
        <w:t xml:space="preserve"> </w:t>
      </w:r>
      <w:r w:rsidR="00481B0F" w:rsidRPr="009A7753">
        <w:rPr>
          <w:rFonts w:ascii="David" w:hAnsi="David" w:cs="David"/>
          <w:sz w:val="24"/>
          <w:szCs w:val="24"/>
          <w:shd w:val="clear" w:color="auto" w:fill="FFFFFF"/>
          <w:rtl/>
        </w:rPr>
        <w:t>כינוי למערכת מימון הפועלת מחוץ למערכת הפיננסית הממוסדת</w:t>
      </w:r>
      <w:r w:rsidR="00481B0F" w:rsidRPr="009A7753">
        <w:rPr>
          <w:rFonts w:ascii="David" w:hAnsi="David" w:cs="David" w:hint="cs"/>
          <w:sz w:val="24"/>
          <w:szCs w:val="24"/>
          <w:rtl/>
        </w:rPr>
        <w:t xml:space="preserve">. </w:t>
      </w:r>
      <w:r w:rsidR="00481B0F" w:rsidRPr="009A7753">
        <w:rPr>
          <w:rFonts w:ascii="David" w:hAnsi="David" w:cs="David"/>
          <w:sz w:val="24"/>
          <w:szCs w:val="24"/>
          <w:shd w:val="clear" w:color="auto" w:fill="FFFFFF"/>
          <w:rtl/>
        </w:rPr>
        <w:t>המשברים הכלכלים הביאו למצוקת אשראי קשה. במקביל, אזרחים רבים נזקקים באופן דחוף ומיידי לאשראי, וכאשר אין הם מוצאים פתרון במערכת הבנקאית הם פונים אל המלווים ב</w:t>
      </w:r>
      <w:hyperlink r:id="rId14" w:tgtFrame="_blank" w:history="1">
        <w:r w:rsidR="00481B0F" w:rsidRPr="009A7753">
          <w:rPr>
            <w:rStyle w:val="Hyperlink"/>
            <w:rFonts w:ascii="David" w:hAnsi="David" w:cs="David"/>
            <w:color w:val="auto"/>
            <w:sz w:val="24"/>
            <w:szCs w:val="24"/>
            <w:u w:val="none"/>
            <w:bdr w:val="none" w:sz="0" w:space="0" w:color="auto" w:frame="1"/>
            <w:shd w:val="clear" w:color="auto" w:fill="FFFFFF"/>
            <w:rtl/>
          </w:rPr>
          <w:t>שוק האפור</w:t>
        </w:r>
      </w:hyperlink>
      <w:r w:rsidR="00481B0F" w:rsidRPr="009A7753">
        <w:rPr>
          <w:rFonts w:ascii="David" w:hAnsi="David" w:cs="David"/>
          <w:sz w:val="24"/>
          <w:szCs w:val="24"/>
          <w:shd w:val="clear" w:color="auto" w:fill="FFFFFF"/>
        </w:rPr>
        <w:t xml:space="preserve">. </w:t>
      </w:r>
      <w:r w:rsidR="00481B0F" w:rsidRPr="009A7753">
        <w:rPr>
          <w:rFonts w:ascii="David" w:hAnsi="David" w:cs="David"/>
          <w:sz w:val="24"/>
          <w:szCs w:val="24"/>
          <w:shd w:val="clear" w:color="auto" w:fill="FFFFFF"/>
          <w:rtl/>
        </w:rPr>
        <w:t>וכאשר יש ביקוש לאשראי מיידי בריביות אסטרונומיות, יש מי שנכנסים ל-"וואקום</w:t>
      </w:r>
      <w:r w:rsidR="00481B0F" w:rsidRPr="009A7753">
        <w:rPr>
          <w:rFonts w:ascii="David" w:hAnsi="David" w:cs="David"/>
          <w:sz w:val="24"/>
          <w:szCs w:val="24"/>
          <w:shd w:val="clear" w:color="auto" w:fill="FFFFFF"/>
        </w:rPr>
        <w:t>".</w:t>
      </w:r>
      <w:r w:rsidR="00730D9F" w:rsidRPr="009A7753">
        <w:rPr>
          <w:rFonts w:ascii="David" w:hAnsi="David" w:cs="David"/>
          <w:sz w:val="24"/>
          <w:szCs w:val="24"/>
          <w:rtl/>
        </w:rPr>
        <w:t xml:space="preserve"> </w:t>
      </w:r>
      <w:sdt>
        <w:sdtPr>
          <w:rPr>
            <w:rFonts w:ascii="David" w:hAnsi="David" w:cs="David"/>
            <w:sz w:val="24"/>
            <w:szCs w:val="24"/>
            <w:rtl/>
          </w:rPr>
          <w:id w:val="1258525818"/>
          <w:citation/>
        </w:sdtPr>
        <w:sdtContent>
          <w:r w:rsidR="002B306D" w:rsidRPr="009A7753">
            <w:rPr>
              <w:rFonts w:ascii="David" w:hAnsi="David" w:cs="David"/>
              <w:sz w:val="24"/>
              <w:szCs w:val="24"/>
              <w:rtl/>
            </w:rPr>
            <w:fldChar w:fldCharType="begin"/>
          </w:r>
          <w:r w:rsidR="00481B0F" w:rsidRPr="009A7753">
            <w:rPr>
              <w:rFonts w:ascii="David" w:hAnsi="David" w:cs="David"/>
              <w:sz w:val="24"/>
              <w:szCs w:val="24"/>
              <w:rtl/>
            </w:rPr>
            <w:instrText xml:space="preserve"> </w:instrText>
          </w:r>
          <w:r w:rsidR="00481B0F" w:rsidRPr="009A7753">
            <w:rPr>
              <w:rFonts w:ascii="David" w:hAnsi="David" w:cs="David" w:hint="cs"/>
              <w:sz w:val="24"/>
              <w:szCs w:val="24"/>
            </w:rPr>
            <w:instrText>CITATION</w:instrText>
          </w:r>
          <w:r w:rsidR="00481B0F" w:rsidRPr="009A7753">
            <w:rPr>
              <w:rFonts w:ascii="David" w:hAnsi="David" w:cs="David" w:hint="cs"/>
              <w:sz w:val="24"/>
              <w:szCs w:val="24"/>
              <w:rtl/>
            </w:rPr>
            <w:instrText xml:space="preserve"> עוד16 \</w:instrText>
          </w:r>
          <w:r w:rsidR="00481B0F" w:rsidRPr="009A7753">
            <w:rPr>
              <w:rFonts w:ascii="David" w:hAnsi="David" w:cs="David" w:hint="cs"/>
              <w:sz w:val="24"/>
              <w:szCs w:val="24"/>
            </w:rPr>
            <w:instrText>l 1037</w:instrText>
          </w:r>
          <w:r w:rsidR="00481B0F" w:rsidRPr="009A7753">
            <w:rPr>
              <w:rFonts w:ascii="David" w:hAnsi="David" w:cs="David"/>
              <w:sz w:val="24"/>
              <w:szCs w:val="24"/>
              <w:rtl/>
            </w:rPr>
            <w:instrText xml:space="preserve"> </w:instrText>
          </w:r>
          <w:r w:rsidR="002B306D" w:rsidRPr="009A7753">
            <w:rPr>
              <w:rFonts w:ascii="David" w:hAnsi="David" w:cs="David"/>
              <w:sz w:val="24"/>
              <w:szCs w:val="24"/>
              <w:rtl/>
            </w:rPr>
            <w:fldChar w:fldCharType="separate"/>
          </w:r>
          <w:r w:rsidR="00481B0F" w:rsidRPr="009A7753">
            <w:rPr>
              <w:rFonts w:ascii="David" w:hAnsi="David" w:cs="David" w:hint="cs"/>
              <w:noProof/>
              <w:sz w:val="24"/>
              <w:szCs w:val="24"/>
              <w:rtl/>
            </w:rPr>
            <w:t>(רגב, 2016)</w:t>
          </w:r>
          <w:r w:rsidR="002B306D" w:rsidRPr="009A7753">
            <w:rPr>
              <w:rFonts w:ascii="David" w:hAnsi="David" w:cs="David"/>
              <w:sz w:val="24"/>
              <w:szCs w:val="24"/>
              <w:rtl/>
            </w:rPr>
            <w:fldChar w:fldCharType="end"/>
          </w:r>
        </w:sdtContent>
      </w:sdt>
      <w:r w:rsidR="00481B0F" w:rsidRPr="009A7753">
        <w:rPr>
          <w:rFonts w:ascii="David" w:hAnsi="David" w:cs="David" w:hint="cs"/>
          <w:sz w:val="24"/>
          <w:szCs w:val="24"/>
          <w:rtl/>
        </w:rPr>
        <w:t>. השוק האפור פופולארי במיוחד בחברה הערבית משתי סיבות:</w:t>
      </w:r>
    </w:p>
    <w:p w:rsidR="00481B0F" w:rsidRPr="009A7753" w:rsidRDefault="00481B0F" w:rsidP="00481B0F">
      <w:pPr>
        <w:pStyle w:val="a3"/>
        <w:numPr>
          <w:ilvl w:val="0"/>
          <w:numId w:val="14"/>
        </w:numPr>
        <w:bidi/>
        <w:spacing w:line="360" w:lineRule="auto"/>
        <w:jc w:val="both"/>
        <w:rPr>
          <w:rFonts w:ascii="David" w:hAnsi="David" w:cs="David"/>
          <w:sz w:val="24"/>
          <w:szCs w:val="24"/>
        </w:rPr>
      </w:pPr>
      <w:r w:rsidRPr="009A7753">
        <w:rPr>
          <w:rFonts w:ascii="David" w:hAnsi="David" w:cs="David" w:hint="cs"/>
          <w:sz w:val="24"/>
          <w:szCs w:val="24"/>
          <w:rtl/>
        </w:rPr>
        <w:t xml:space="preserve">חלק גדול מהעסקים עובדים ללא רישום הכנסות מסודר ("בשחור") ולכן הם לא יכולים להציג לבנק את הכנסותיהם מהעסק ולקבל הלוואה מסודרת. כאשר בעל עסק כזה נקלע לבעיה המצריכה כסף נזיל או כאשר הוא רוצה להרחיב את העסק </w:t>
      </w:r>
      <w:r w:rsidR="005D43AD" w:rsidRPr="009A7753">
        <w:rPr>
          <w:rFonts w:ascii="David" w:hAnsi="David" w:cs="David" w:hint="cs"/>
          <w:sz w:val="24"/>
          <w:szCs w:val="24"/>
          <w:rtl/>
        </w:rPr>
        <w:t>הוא פונה לקבל הלוואה בשוק האפור</w:t>
      </w:r>
      <w:sdt>
        <w:sdtPr>
          <w:rPr>
            <w:rFonts w:ascii="David" w:hAnsi="David" w:cs="David" w:hint="cs"/>
            <w:sz w:val="24"/>
            <w:szCs w:val="24"/>
            <w:rtl/>
          </w:rPr>
          <w:id w:val="1258525819"/>
          <w:citation/>
        </w:sdtPr>
        <w:sdtContent>
          <w:r w:rsidR="002B306D" w:rsidRPr="009A7753">
            <w:rPr>
              <w:rFonts w:ascii="David" w:hAnsi="David" w:cs="David"/>
              <w:sz w:val="24"/>
              <w:szCs w:val="24"/>
              <w:rtl/>
            </w:rPr>
            <w:fldChar w:fldCharType="begin"/>
          </w:r>
          <w:r w:rsidR="005D43AD" w:rsidRPr="009A7753">
            <w:rPr>
              <w:rFonts w:ascii="David" w:hAnsi="David" w:cs="David"/>
              <w:sz w:val="24"/>
              <w:szCs w:val="24"/>
              <w:rtl/>
            </w:rPr>
            <w:instrText xml:space="preserve"> </w:instrText>
          </w:r>
          <w:r w:rsidR="005D43AD" w:rsidRPr="009A7753">
            <w:rPr>
              <w:rFonts w:ascii="David" w:hAnsi="David" w:cs="David" w:hint="cs"/>
              <w:sz w:val="24"/>
              <w:szCs w:val="24"/>
            </w:rPr>
            <w:instrText>CITATION</w:instrText>
          </w:r>
          <w:r w:rsidR="005D43AD" w:rsidRPr="009A7753">
            <w:rPr>
              <w:rFonts w:ascii="David" w:hAnsi="David" w:cs="David" w:hint="cs"/>
              <w:sz w:val="24"/>
              <w:szCs w:val="24"/>
              <w:rtl/>
            </w:rPr>
            <w:instrText xml:space="preserve"> סלי18 \</w:instrText>
          </w:r>
          <w:r w:rsidR="005D43AD" w:rsidRPr="009A7753">
            <w:rPr>
              <w:rFonts w:ascii="David" w:hAnsi="David" w:cs="David" w:hint="cs"/>
              <w:sz w:val="24"/>
              <w:szCs w:val="24"/>
            </w:rPr>
            <w:instrText>l 1037</w:instrText>
          </w:r>
          <w:r w:rsidR="005D43AD" w:rsidRPr="009A7753">
            <w:rPr>
              <w:rFonts w:ascii="David" w:hAnsi="David" w:cs="David"/>
              <w:sz w:val="24"/>
              <w:szCs w:val="24"/>
              <w:rtl/>
            </w:rPr>
            <w:instrText xml:space="preserve"> </w:instrText>
          </w:r>
          <w:r w:rsidR="002B306D" w:rsidRPr="009A7753">
            <w:rPr>
              <w:rFonts w:ascii="David" w:hAnsi="David" w:cs="David"/>
              <w:sz w:val="24"/>
              <w:szCs w:val="24"/>
              <w:rtl/>
            </w:rPr>
            <w:fldChar w:fldCharType="separate"/>
          </w:r>
          <w:r w:rsidR="005D43AD" w:rsidRPr="009A7753">
            <w:rPr>
              <w:rFonts w:ascii="David" w:hAnsi="David" w:cs="David"/>
              <w:noProof/>
              <w:sz w:val="24"/>
              <w:szCs w:val="24"/>
              <w:rtl/>
            </w:rPr>
            <w:t xml:space="preserve"> </w:t>
          </w:r>
          <w:r w:rsidR="005D43AD" w:rsidRPr="009A7753">
            <w:rPr>
              <w:rFonts w:ascii="David" w:hAnsi="David" w:cs="David" w:hint="cs"/>
              <w:noProof/>
              <w:sz w:val="24"/>
              <w:szCs w:val="24"/>
              <w:rtl/>
            </w:rPr>
            <w:t>(סלים גומד, 2018)</w:t>
          </w:r>
          <w:r w:rsidR="002B306D" w:rsidRPr="009A7753">
            <w:rPr>
              <w:rFonts w:ascii="David" w:hAnsi="David" w:cs="David"/>
              <w:sz w:val="24"/>
              <w:szCs w:val="24"/>
              <w:rtl/>
            </w:rPr>
            <w:fldChar w:fldCharType="end"/>
          </w:r>
        </w:sdtContent>
      </w:sdt>
      <w:r w:rsidR="005D43AD" w:rsidRPr="009A7753">
        <w:rPr>
          <w:rFonts w:ascii="David" w:hAnsi="David" w:cs="David" w:hint="cs"/>
          <w:sz w:val="24"/>
          <w:szCs w:val="24"/>
          <w:rtl/>
        </w:rPr>
        <w:t>.</w:t>
      </w:r>
    </w:p>
    <w:p w:rsidR="005D43AD" w:rsidRPr="009A7753" w:rsidRDefault="005D43AD" w:rsidP="005D43AD">
      <w:pPr>
        <w:pStyle w:val="a3"/>
        <w:numPr>
          <w:ilvl w:val="0"/>
          <w:numId w:val="14"/>
        </w:numPr>
        <w:bidi/>
        <w:spacing w:line="360" w:lineRule="auto"/>
        <w:jc w:val="both"/>
        <w:rPr>
          <w:rFonts w:ascii="David" w:hAnsi="David" w:cs="David"/>
          <w:sz w:val="24"/>
          <w:szCs w:val="24"/>
        </w:rPr>
      </w:pPr>
      <w:r w:rsidRPr="009A7753">
        <w:rPr>
          <w:rFonts w:ascii="David" w:hAnsi="David" w:cs="David" w:hint="cs"/>
          <w:sz w:val="24"/>
          <w:szCs w:val="24"/>
          <w:rtl/>
        </w:rPr>
        <w:t xml:space="preserve">בחברה הערבית יש חוסר מודעות וחוסר אמון בבנקים כגורם ממסדי ולכן יש רתיעה מלקיחת משכנתה או הלוואה בבנק. בדרך כלל אדם שצריך כסף יעדיף לפנות לאנשים שהוא מכיר ששייכים לחברה הערבית והוא לא מודע לסיכונים שנלווים לשוק האפור </w:t>
      </w:r>
      <w:sdt>
        <w:sdtPr>
          <w:rPr>
            <w:rFonts w:ascii="David" w:hAnsi="David" w:cs="David" w:hint="cs"/>
            <w:sz w:val="24"/>
            <w:szCs w:val="24"/>
            <w:rtl/>
          </w:rPr>
          <w:id w:val="1258525820"/>
          <w:citation/>
        </w:sdtPr>
        <w:sdtContent>
          <w:r w:rsidR="002B306D" w:rsidRPr="009A7753">
            <w:rPr>
              <w:rFonts w:ascii="David" w:hAnsi="David" w:cs="David"/>
              <w:sz w:val="24"/>
              <w:szCs w:val="24"/>
              <w:rtl/>
            </w:rPr>
            <w:fldChar w:fldCharType="begin"/>
          </w:r>
          <w:r w:rsidRPr="009A7753">
            <w:rPr>
              <w:rFonts w:ascii="David" w:hAnsi="David" w:cs="David"/>
              <w:sz w:val="24"/>
              <w:szCs w:val="24"/>
              <w:rtl/>
            </w:rPr>
            <w:instrText xml:space="preserve"> </w:instrText>
          </w:r>
          <w:r w:rsidRPr="009A7753">
            <w:rPr>
              <w:rFonts w:ascii="David" w:hAnsi="David" w:cs="David" w:hint="cs"/>
              <w:sz w:val="24"/>
              <w:szCs w:val="24"/>
            </w:rPr>
            <w:instrText>CITATION</w:instrText>
          </w:r>
          <w:r w:rsidRPr="009A7753">
            <w:rPr>
              <w:rFonts w:ascii="David" w:hAnsi="David" w:cs="David" w:hint="cs"/>
              <w:sz w:val="24"/>
              <w:szCs w:val="24"/>
              <w:rtl/>
            </w:rPr>
            <w:instrText xml:space="preserve"> רסו18 \</w:instrText>
          </w:r>
          <w:r w:rsidRPr="009A7753">
            <w:rPr>
              <w:rFonts w:ascii="David" w:hAnsi="David" w:cs="David" w:hint="cs"/>
              <w:sz w:val="24"/>
              <w:szCs w:val="24"/>
            </w:rPr>
            <w:instrText>l 1037</w:instrText>
          </w:r>
          <w:r w:rsidRPr="009A7753">
            <w:rPr>
              <w:rFonts w:ascii="David" w:hAnsi="David" w:cs="David"/>
              <w:sz w:val="24"/>
              <w:szCs w:val="24"/>
              <w:rtl/>
            </w:rPr>
            <w:instrText xml:space="preserve"> </w:instrText>
          </w:r>
          <w:r w:rsidR="002B306D" w:rsidRPr="009A7753">
            <w:rPr>
              <w:rFonts w:ascii="David" w:hAnsi="David" w:cs="David"/>
              <w:sz w:val="24"/>
              <w:szCs w:val="24"/>
              <w:rtl/>
            </w:rPr>
            <w:fldChar w:fldCharType="separate"/>
          </w:r>
          <w:r w:rsidRPr="009A7753">
            <w:rPr>
              <w:rFonts w:ascii="David" w:hAnsi="David" w:cs="David" w:hint="cs"/>
              <w:noProof/>
              <w:sz w:val="24"/>
              <w:szCs w:val="24"/>
              <w:rtl/>
            </w:rPr>
            <w:t>(לוין, 2018)</w:t>
          </w:r>
          <w:r w:rsidR="002B306D" w:rsidRPr="009A7753">
            <w:rPr>
              <w:rFonts w:ascii="David" w:hAnsi="David" w:cs="David"/>
              <w:sz w:val="24"/>
              <w:szCs w:val="24"/>
              <w:rtl/>
            </w:rPr>
            <w:fldChar w:fldCharType="end"/>
          </w:r>
        </w:sdtContent>
      </w:sdt>
      <w:r w:rsidRPr="009A7753">
        <w:rPr>
          <w:rFonts w:ascii="David" w:hAnsi="David" w:cs="David" w:hint="cs"/>
          <w:sz w:val="24"/>
          <w:szCs w:val="24"/>
          <w:rtl/>
        </w:rPr>
        <w:t>.</w:t>
      </w:r>
    </w:p>
    <w:p w:rsidR="00F70E18" w:rsidRPr="009A7753" w:rsidRDefault="00F70E18" w:rsidP="007C7F5E">
      <w:pPr>
        <w:bidi/>
        <w:spacing w:line="360" w:lineRule="auto"/>
        <w:ind w:left="-46"/>
        <w:jc w:val="both"/>
        <w:rPr>
          <w:rFonts w:ascii="David" w:hAnsi="David" w:cs="David"/>
          <w:sz w:val="24"/>
          <w:szCs w:val="24"/>
          <w:shd w:val="clear" w:color="auto" w:fill="FFFFFF"/>
          <w:rtl/>
        </w:rPr>
      </w:pPr>
      <w:r w:rsidRPr="009A7753">
        <w:rPr>
          <w:rFonts w:ascii="David" w:hAnsi="David" w:cs="David" w:hint="cs"/>
          <w:sz w:val="24"/>
          <w:szCs w:val="24"/>
          <w:shd w:val="clear" w:color="auto" w:fill="FFFFFF"/>
          <w:rtl/>
        </w:rPr>
        <w:t>כדי ל</w:t>
      </w:r>
      <w:r w:rsidR="007C7F5E" w:rsidRPr="009A7753">
        <w:rPr>
          <w:rFonts w:ascii="David" w:hAnsi="David" w:cs="David" w:hint="cs"/>
          <w:sz w:val="24"/>
          <w:szCs w:val="24"/>
          <w:shd w:val="clear" w:color="auto" w:fill="FFFFFF"/>
          <w:rtl/>
        </w:rPr>
        <w:t>ה</w:t>
      </w:r>
      <w:r w:rsidRPr="009A7753">
        <w:rPr>
          <w:rFonts w:ascii="David" w:hAnsi="David" w:cs="David" w:hint="cs"/>
          <w:sz w:val="24"/>
          <w:szCs w:val="24"/>
          <w:shd w:val="clear" w:color="auto" w:fill="FFFFFF"/>
          <w:rtl/>
        </w:rPr>
        <w:t xml:space="preserve">חזיק ולנהל כמות גדולה של </w:t>
      </w:r>
      <w:r w:rsidR="007C7F5E" w:rsidRPr="009A7753">
        <w:rPr>
          <w:rFonts w:ascii="David" w:hAnsi="David" w:cs="David" w:hint="cs"/>
          <w:sz w:val="24"/>
          <w:szCs w:val="24"/>
          <w:shd w:val="clear" w:color="auto" w:fill="FFFFFF"/>
          <w:rtl/>
        </w:rPr>
        <w:t xml:space="preserve">כסף מזומן, ישנם אנשים שמנהלים "בנקים" פרטיים ובדרך כלל אינם עוסקים בפשיעה ונמצאים "מתחת לרדאר". אותם "בנקים" נותנים שירות לארגון הפשיעה שבדרך כלל חבריו אינם מחזיקים סכומים גדולים בעצמם מחשש שזה ייתפס על ידי המשטרה ועלול להיות מחולט. </w:t>
      </w:r>
      <w:r w:rsidRPr="009A7753">
        <w:rPr>
          <w:rFonts w:ascii="David" w:hAnsi="David" w:cs="David" w:hint="cs"/>
          <w:sz w:val="24"/>
          <w:szCs w:val="24"/>
          <w:shd w:val="clear" w:color="auto" w:fill="FFFFFF"/>
          <w:rtl/>
        </w:rPr>
        <w:t xml:space="preserve"> </w:t>
      </w:r>
    </w:p>
    <w:p w:rsidR="00DC1AE9" w:rsidRPr="009A7753" w:rsidRDefault="005D43AD" w:rsidP="00F70E18">
      <w:pPr>
        <w:bidi/>
        <w:spacing w:line="360" w:lineRule="auto"/>
        <w:ind w:left="-46"/>
        <w:jc w:val="both"/>
        <w:rPr>
          <w:rFonts w:ascii="David" w:hAnsi="David" w:cs="David"/>
          <w:sz w:val="24"/>
          <w:szCs w:val="24"/>
          <w:shd w:val="clear" w:color="auto" w:fill="FFFFFF"/>
          <w:rtl/>
        </w:rPr>
      </w:pPr>
      <w:r w:rsidRPr="009A7753">
        <w:rPr>
          <w:rFonts w:ascii="David" w:hAnsi="David" w:cs="David" w:hint="cs"/>
          <w:sz w:val="24"/>
          <w:szCs w:val="24"/>
          <w:shd w:val="clear" w:color="auto" w:fill="FFFFFF"/>
          <w:rtl/>
        </w:rPr>
        <w:t>הקשר בין ארגוני הפשיעה למלווים בשוק האפור מבוסס על כך שהדרך היחידה להבטיח את החזר ההלוואות הוא באמצעות הרתעה מפני פגיעה בלווה, או בבני משפחתו. כדי ליצור הרתעה שכזו, נוהגים הארגונים באגרסיביות רבה בגביית החובות תוך שימוש בירי לעבר הבית או הרכב של הלווה כהתראה ראשונה ואף בפגיעה בלווה עצמו.</w:t>
      </w:r>
      <w:r w:rsidR="00DC1AE9" w:rsidRPr="009A7753">
        <w:rPr>
          <w:rFonts w:ascii="David" w:hAnsi="David" w:cs="David" w:hint="cs"/>
          <w:sz w:val="24"/>
          <w:szCs w:val="24"/>
          <w:shd w:val="clear" w:color="auto" w:fill="FFFFFF"/>
          <w:rtl/>
        </w:rPr>
        <w:t xml:space="preserve"> כל איחור בהחזר ההלוואה גורר "קנסות גבוהים" ואף החרמת רכוש של הלווה על ידי הארגון, כמו העברת בעלות על רכב עקב איומים ועוד. תחום ההלוואות מהווה סיבת שורש לאירועי אלימות רבים וגם כמניע לצבירת נשק ואמצעי לחימה.</w:t>
      </w:r>
    </w:p>
    <w:p w:rsidR="00DC1AE9" w:rsidRPr="009A7753" w:rsidRDefault="00DC1AE9" w:rsidP="00DC1AE9">
      <w:pPr>
        <w:bidi/>
        <w:spacing w:line="360" w:lineRule="auto"/>
        <w:ind w:left="-46"/>
        <w:jc w:val="both"/>
        <w:rPr>
          <w:rFonts w:ascii="David" w:hAnsi="David" w:cs="David"/>
          <w:sz w:val="24"/>
          <w:szCs w:val="24"/>
          <w:shd w:val="clear" w:color="auto" w:fill="FFFFFF"/>
          <w:rtl/>
        </w:rPr>
      </w:pPr>
      <w:r w:rsidRPr="009A7753">
        <w:rPr>
          <w:rFonts w:ascii="David" w:hAnsi="David" w:cs="David" w:hint="cs"/>
          <w:b/>
          <w:bCs/>
          <w:sz w:val="24"/>
          <w:szCs w:val="24"/>
          <w:shd w:val="clear" w:color="auto" w:fill="FFFFFF"/>
          <w:rtl/>
        </w:rPr>
        <w:t>גביית חובות</w:t>
      </w:r>
      <w:r w:rsidR="00FB1BCA" w:rsidRPr="009A7753">
        <w:rPr>
          <w:rFonts w:ascii="David" w:hAnsi="David" w:cs="David" w:hint="cs"/>
          <w:sz w:val="24"/>
          <w:szCs w:val="24"/>
          <w:shd w:val="clear" w:color="auto" w:fill="FFFFFF"/>
          <w:rtl/>
        </w:rPr>
        <w:t xml:space="preserve"> </w:t>
      </w:r>
      <w:r w:rsidR="00FB1BCA" w:rsidRPr="009A7753">
        <w:rPr>
          <w:rFonts w:ascii="David" w:hAnsi="David" w:cs="David"/>
          <w:sz w:val="24"/>
          <w:szCs w:val="24"/>
          <w:shd w:val="clear" w:color="auto" w:fill="FFFFFF"/>
          <w:rtl/>
        </w:rPr>
        <w:t>–</w:t>
      </w:r>
      <w:r w:rsidR="00FB1BCA" w:rsidRPr="009A7753">
        <w:rPr>
          <w:rFonts w:ascii="David" w:hAnsi="David" w:cs="David" w:hint="cs"/>
          <w:sz w:val="24"/>
          <w:szCs w:val="24"/>
          <w:shd w:val="clear" w:color="auto" w:fill="FFFFFF"/>
          <w:rtl/>
        </w:rPr>
        <w:t xml:space="preserve"> ארגוני פשיעה וחמולות כוחניות נכנסו לוואקום שנוצר כתוצאה מהעדר משילות ובעצם מציעים שירות לבעל חוב שאינו מצליח לגבות את החוב בעצמו. שכרם של הגובים בדרך כלל כפול, הם </w:t>
      </w:r>
      <w:r w:rsidR="00FB1BCA" w:rsidRPr="009A7753">
        <w:rPr>
          <w:rFonts w:ascii="David" w:hAnsi="David" w:cs="David" w:hint="cs"/>
          <w:sz w:val="24"/>
          <w:szCs w:val="24"/>
          <w:shd w:val="clear" w:color="auto" w:fill="FFFFFF"/>
          <w:rtl/>
        </w:rPr>
        <w:lastRenderedPageBreak/>
        <w:t xml:space="preserve">גובים ממבקש השירות חלק המתבטא באחוזים מהחוב שאותו גבו אך גם מהחייב שבעצם הופך להיות לארגון. הבסיס לגבייה דומה מאוד לגביית החובות בשוק האפור ומסתמך על אלימות קשה ועל ביצוע ירי או הצתה של רכב או רכוש אחר ועד לפגיעה בחייב או בבני משפחתו. במקרים רבים, פעולות הגבייה גררו להתפתחות סכסוכים בין חמולות שהביאו לפגיעות חמורות ואף לרצח. </w:t>
      </w:r>
    </w:p>
    <w:p w:rsidR="00DC1AE9" w:rsidRPr="009A7753" w:rsidRDefault="00902C5F" w:rsidP="00820892">
      <w:pPr>
        <w:bidi/>
        <w:spacing w:line="360" w:lineRule="auto"/>
        <w:ind w:left="-46"/>
        <w:jc w:val="both"/>
        <w:rPr>
          <w:rFonts w:ascii="David" w:hAnsi="David" w:cs="David"/>
          <w:sz w:val="24"/>
          <w:szCs w:val="24"/>
          <w:shd w:val="clear" w:color="auto" w:fill="FFFFFF"/>
          <w:rtl/>
        </w:rPr>
      </w:pPr>
      <w:r w:rsidRPr="009A7753">
        <w:rPr>
          <w:rFonts w:ascii="David" w:hAnsi="David" w:cs="David" w:hint="cs"/>
          <w:b/>
          <w:bCs/>
          <w:sz w:val="24"/>
          <w:szCs w:val="24"/>
          <w:shd w:val="clear" w:color="auto" w:fill="FFFFFF"/>
          <w:rtl/>
        </w:rPr>
        <w:t>הלבנת הון</w:t>
      </w:r>
      <w:r w:rsidRPr="009A7753">
        <w:rPr>
          <w:rFonts w:ascii="David" w:hAnsi="David" w:cs="David" w:hint="cs"/>
          <w:sz w:val="24"/>
          <w:szCs w:val="24"/>
          <w:shd w:val="clear" w:color="auto" w:fill="FFFFFF"/>
          <w:rtl/>
        </w:rPr>
        <w:t xml:space="preserve"> (</w:t>
      </w:r>
      <w:r w:rsidRPr="009A7753">
        <w:rPr>
          <w:rFonts w:ascii="David" w:hAnsi="David" w:cs="David"/>
          <w:sz w:val="24"/>
          <w:szCs w:val="24"/>
          <w:shd w:val="clear" w:color="auto" w:fill="FFFFFF"/>
        </w:rPr>
        <w:t>Money laundering</w:t>
      </w:r>
      <w:r w:rsidRPr="009A7753">
        <w:rPr>
          <w:rFonts w:ascii="David" w:hAnsi="David" w:cs="David" w:hint="cs"/>
          <w:sz w:val="24"/>
          <w:szCs w:val="24"/>
          <w:shd w:val="clear" w:color="auto" w:fill="FFFFFF"/>
          <w:rtl/>
        </w:rPr>
        <w:t xml:space="preserve"> ) הנה תהליך של הטמעת רכוש שמקורו בפשיעה אל תוך המערכת הפיננסית הלגיטימית כדי שניתן יהיה להשתמש בו ללא חשש מרשויות האכיפה. בספרות מקובל לראות בהלבנת הון תהליך תלת שלבי הכולל את השלבים הבאים: שלב ההשמה (</w:t>
      </w:r>
      <w:r w:rsidRPr="009A7753">
        <w:rPr>
          <w:rFonts w:ascii="David" w:hAnsi="David" w:cs="David"/>
          <w:sz w:val="24"/>
          <w:szCs w:val="24"/>
          <w:shd w:val="clear" w:color="auto" w:fill="FFFFFF"/>
        </w:rPr>
        <w:t>Placement</w:t>
      </w:r>
      <w:r w:rsidRPr="009A7753">
        <w:rPr>
          <w:rFonts w:ascii="David" w:hAnsi="David" w:cs="David" w:hint="cs"/>
          <w:sz w:val="24"/>
          <w:szCs w:val="24"/>
          <w:shd w:val="clear" w:color="auto" w:fill="FFFFFF"/>
          <w:rtl/>
        </w:rPr>
        <w:t xml:space="preserve"> ), שבו מוחדר הכסף שמקורו בפשיעה אל תוך המערכת הפיננסית: שלב הריבוד (</w:t>
      </w:r>
      <w:r w:rsidRPr="009A7753">
        <w:rPr>
          <w:rFonts w:ascii="David" w:hAnsi="David" w:cs="David"/>
          <w:sz w:val="24"/>
          <w:szCs w:val="24"/>
          <w:shd w:val="clear" w:color="auto" w:fill="FFFFFF"/>
        </w:rPr>
        <w:t>Layering</w:t>
      </w:r>
      <w:r w:rsidRPr="009A7753">
        <w:rPr>
          <w:rFonts w:ascii="David" w:hAnsi="David" w:cs="David" w:hint="cs"/>
          <w:sz w:val="24"/>
          <w:szCs w:val="24"/>
          <w:shd w:val="clear" w:color="auto" w:fill="FFFFFF"/>
          <w:rtl/>
        </w:rPr>
        <w:t xml:space="preserve"> ) שבו נעשות הפעולות לטשטוש מקורו של הכסף: ושלב ההטמעה (</w:t>
      </w:r>
      <w:r w:rsidRPr="009A7753">
        <w:rPr>
          <w:rFonts w:ascii="David" w:hAnsi="David" w:cs="David"/>
          <w:sz w:val="24"/>
          <w:szCs w:val="24"/>
          <w:shd w:val="clear" w:color="auto" w:fill="FFFFFF"/>
        </w:rPr>
        <w:t>Integration</w:t>
      </w:r>
      <w:r w:rsidRPr="009A7753">
        <w:rPr>
          <w:rFonts w:ascii="David" w:hAnsi="David" w:cs="David" w:hint="cs"/>
          <w:sz w:val="24"/>
          <w:szCs w:val="24"/>
          <w:shd w:val="clear" w:color="auto" w:fill="FFFFFF"/>
          <w:rtl/>
        </w:rPr>
        <w:t xml:space="preserve"> ) שבו נמשך הכסף בצורתו החדשה ה"מולבנת" כדי לשמש את העבריין לניהול אורח חייו</w:t>
      </w:r>
      <w:sdt>
        <w:sdtPr>
          <w:rPr>
            <w:rFonts w:ascii="David" w:hAnsi="David" w:cs="David" w:hint="cs"/>
            <w:sz w:val="24"/>
            <w:szCs w:val="24"/>
            <w:shd w:val="clear" w:color="auto" w:fill="FFFFFF"/>
            <w:rtl/>
          </w:rPr>
          <w:id w:val="1258525821"/>
          <w:citation/>
        </w:sdtPr>
        <w:sdtContent>
          <w:r w:rsidR="002B306D" w:rsidRPr="009A7753">
            <w:rPr>
              <w:rFonts w:ascii="David" w:hAnsi="David" w:cs="David"/>
              <w:sz w:val="24"/>
              <w:szCs w:val="24"/>
              <w:shd w:val="clear" w:color="auto" w:fill="FFFFFF"/>
              <w:rtl/>
            </w:rPr>
            <w:fldChar w:fldCharType="begin"/>
          </w:r>
          <w:r w:rsidRPr="009A7753">
            <w:rPr>
              <w:rFonts w:ascii="David" w:hAnsi="David" w:cs="David"/>
              <w:sz w:val="24"/>
              <w:szCs w:val="24"/>
              <w:shd w:val="clear" w:color="auto" w:fill="FFFFFF"/>
              <w:rtl/>
            </w:rPr>
            <w:instrText xml:space="preserve"> </w:instrText>
          </w:r>
          <w:r w:rsidRPr="009A7753">
            <w:rPr>
              <w:rFonts w:ascii="David" w:hAnsi="David" w:cs="David" w:hint="cs"/>
              <w:sz w:val="24"/>
              <w:szCs w:val="24"/>
              <w:shd w:val="clear" w:color="auto" w:fill="FFFFFF"/>
            </w:rPr>
            <w:instrText>CITATION</w:instrText>
          </w:r>
          <w:r w:rsidRPr="009A7753">
            <w:rPr>
              <w:rFonts w:ascii="David" w:hAnsi="David" w:cs="David" w:hint="cs"/>
              <w:sz w:val="24"/>
              <w:szCs w:val="24"/>
              <w:shd w:val="clear" w:color="auto" w:fill="FFFFFF"/>
              <w:rtl/>
            </w:rPr>
            <w:instrText xml:space="preserve"> עוד07 \</w:instrText>
          </w:r>
          <w:r w:rsidRPr="009A7753">
            <w:rPr>
              <w:rFonts w:ascii="David" w:hAnsi="David" w:cs="David" w:hint="cs"/>
              <w:sz w:val="24"/>
              <w:szCs w:val="24"/>
              <w:shd w:val="clear" w:color="auto" w:fill="FFFFFF"/>
            </w:rPr>
            <w:instrText>l 1037</w:instrText>
          </w:r>
          <w:r w:rsidRPr="009A7753">
            <w:rPr>
              <w:rFonts w:ascii="David" w:hAnsi="David" w:cs="David"/>
              <w:sz w:val="24"/>
              <w:szCs w:val="24"/>
              <w:shd w:val="clear" w:color="auto" w:fill="FFFFFF"/>
              <w:rtl/>
            </w:rPr>
            <w:instrText xml:space="preserve"> </w:instrText>
          </w:r>
          <w:r w:rsidR="002B306D" w:rsidRPr="009A7753">
            <w:rPr>
              <w:rFonts w:ascii="David" w:hAnsi="David" w:cs="David"/>
              <w:sz w:val="24"/>
              <w:szCs w:val="24"/>
              <w:shd w:val="clear" w:color="auto" w:fill="FFFFFF"/>
              <w:rtl/>
            </w:rPr>
            <w:fldChar w:fldCharType="separate"/>
          </w:r>
          <w:r w:rsidRPr="009A7753">
            <w:rPr>
              <w:rFonts w:ascii="David" w:hAnsi="David" w:cs="David"/>
              <w:noProof/>
              <w:sz w:val="24"/>
              <w:szCs w:val="24"/>
              <w:shd w:val="clear" w:color="auto" w:fill="FFFFFF"/>
              <w:rtl/>
            </w:rPr>
            <w:t xml:space="preserve"> </w:t>
          </w:r>
          <w:r w:rsidRPr="009A7753">
            <w:rPr>
              <w:rFonts w:ascii="David" w:hAnsi="David" w:cs="David" w:hint="cs"/>
              <w:noProof/>
              <w:sz w:val="24"/>
              <w:szCs w:val="24"/>
              <w:shd w:val="clear" w:color="auto" w:fill="FFFFFF"/>
              <w:rtl/>
            </w:rPr>
            <w:t>(שפר, 2007)</w:t>
          </w:r>
          <w:r w:rsidR="002B306D" w:rsidRPr="009A7753">
            <w:rPr>
              <w:rFonts w:ascii="David" w:hAnsi="David" w:cs="David"/>
              <w:sz w:val="24"/>
              <w:szCs w:val="24"/>
              <w:shd w:val="clear" w:color="auto" w:fill="FFFFFF"/>
              <w:rtl/>
            </w:rPr>
            <w:fldChar w:fldCharType="end"/>
          </w:r>
        </w:sdtContent>
      </w:sdt>
      <w:r w:rsidRPr="009A7753">
        <w:rPr>
          <w:rFonts w:ascii="David" w:hAnsi="David" w:cs="David" w:hint="cs"/>
          <w:sz w:val="24"/>
          <w:szCs w:val="24"/>
          <w:shd w:val="clear" w:color="auto" w:fill="FFFFFF"/>
          <w:rtl/>
        </w:rPr>
        <w:t xml:space="preserve">. </w:t>
      </w:r>
      <w:r w:rsidR="00696821" w:rsidRPr="009A7753">
        <w:rPr>
          <w:rFonts w:ascii="David" w:hAnsi="David" w:cs="David" w:hint="cs"/>
          <w:sz w:val="24"/>
          <w:szCs w:val="24"/>
          <w:shd w:val="clear" w:color="auto" w:fill="FFFFFF"/>
          <w:rtl/>
        </w:rPr>
        <w:t xml:space="preserve">החוק לאיסור הלבנת הון קובע את העבירה המרכזית של "הלבנת הון" כפעולה ברכוש אסור שמקורו בעבירת מקור. החוק כולל רשימה של עבירות שיכולות להוות כעבירות מקור להלבנת הון וביניהן עבירות המאפיינות ארגוני פשיעה במגזר הערבי כמו סחר בסמים, סחיטת דמי חסות, סחר באמצעי לחימה ועוד. </w:t>
      </w:r>
      <w:r w:rsidR="00F70E18" w:rsidRPr="009A7753">
        <w:rPr>
          <w:rFonts w:ascii="David" w:hAnsi="David" w:cs="David" w:hint="cs"/>
          <w:sz w:val="24"/>
          <w:szCs w:val="24"/>
          <w:shd w:val="clear" w:color="auto" w:fill="FFFFFF"/>
          <w:rtl/>
        </w:rPr>
        <w:t xml:space="preserve">לכן, נוהגים אותם ארגונים להשתלט על ענפים שלמים שבהם קל יותר להסוות את היקף הפעילות העסקית ולייצר פעילות פיקטיבית של עסקאות לכאורה. </w:t>
      </w:r>
    </w:p>
    <w:p w:rsidR="00FB1BCA" w:rsidRPr="009A7753" w:rsidRDefault="00FB1BCA" w:rsidP="00F30854">
      <w:pPr>
        <w:bidi/>
        <w:spacing w:line="360" w:lineRule="auto"/>
        <w:jc w:val="both"/>
        <w:rPr>
          <w:rFonts w:ascii="David" w:hAnsi="David" w:cs="David"/>
          <w:sz w:val="24"/>
          <w:szCs w:val="24"/>
          <w:shd w:val="clear" w:color="auto" w:fill="FFFFFF"/>
          <w:rtl/>
        </w:rPr>
      </w:pPr>
      <w:r w:rsidRPr="009A7753">
        <w:rPr>
          <w:rFonts w:ascii="David" w:hAnsi="David" w:cs="David" w:hint="cs"/>
          <w:b/>
          <w:bCs/>
          <w:sz w:val="24"/>
          <w:szCs w:val="24"/>
          <w:shd w:val="clear" w:color="auto" w:fill="FFFFFF"/>
          <w:rtl/>
        </w:rPr>
        <w:t>שחיתות ציבורית</w:t>
      </w:r>
      <w:r w:rsidR="007C7F5E" w:rsidRPr="009A7753">
        <w:rPr>
          <w:rFonts w:ascii="David" w:hAnsi="David" w:cs="David" w:hint="cs"/>
          <w:sz w:val="24"/>
          <w:szCs w:val="24"/>
          <w:shd w:val="clear" w:color="auto" w:fill="FFFFFF"/>
          <w:rtl/>
        </w:rPr>
        <w:t xml:space="preserve"> </w:t>
      </w:r>
      <w:r w:rsidR="007C7F5E" w:rsidRPr="009A7753">
        <w:rPr>
          <w:rFonts w:ascii="David" w:hAnsi="David" w:cs="David"/>
          <w:sz w:val="24"/>
          <w:szCs w:val="24"/>
          <w:shd w:val="clear" w:color="auto" w:fill="FFFFFF"/>
          <w:rtl/>
        </w:rPr>
        <w:t>–</w:t>
      </w:r>
      <w:r w:rsidR="007C7F5E" w:rsidRPr="009A7753">
        <w:rPr>
          <w:rFonts w:ascii="David" w:hAnsi="David" w:cs="David" w:hint="cs"/>
          <w:sz w:val="24"/>
          <w:szCs w:val="24"/>
          <w:shd w:val="clear" w:color="auto" w:fill="FFFFFF"/>
          <w:rtl/>
        </w:rPr>
        <w:t xml:space="preserve"> ארגוני הפשיעה מצאו בשלטון המקומי במגזר הערבי קרקע נוחה לבסס את השפעתם. תופעה של העברת מעטפות מזומנים לפעילים פוליטיים ובעלי תפקידי מפתח כ"תרומה" וכתמיכה פוליטית </w:t>
      </w:r>
      <w:r w:rsidR="005711FA" w:rsidRPr="009A7753">
        <w:rPr>
          <w:rFonts w:ascii="David" w:hAnsi="David" w:cs="David" w:hint="cs"/>
          <w:sz w:val="24"/>
          <w:szCs w:val="24"/>
          <w:shd w:val="clear" w:color="auto" w:fill="FFFFFF"/>
          <w:rtl/>
        </w:rPr>
        <w:t>ה</w:t>
      </w:r>
      <w:r w:rsidR="007C7F5E" w:rsidRPr="009A7753">
        <w:rPr>
          <w:rFonts w:ascii="David" w:hAnsi="David" w:cs="David" w:hint="cs"/>
          <w:sz w:val="24"/>
          <w:szCs w:val="24"/>
          <w:shd w:val="clear" w:color="auto" w:fill="FFFFFF"/>
          <w:rtl/>
        </w:rPr>
        <w:t>יוצרת מחויבות כלפיי אותם ארגונים</w:t>
      </w:r>
      <w:r w:rsidR="005711FA" w:rsidRPr="009A7753">
        <w:rPr>
          <w:rFonts w:ascii="David" w:hAnsi="David" w:cs="David" w:hint="cs"/>
          <w:sz w:val="24"/>
          <w:szCs w:val="24"/>
          <w:shd w:val="clear" w:color="auto" w:fill="FFFFFF"/>
          <w:rtl/>
        </w:rPr>
        <w:t>, אינה מראה נדיר במסדרונות הרשויות הערביות</w:t>
      </w:r>
      <w:r w:rsidR="00795F89" w:rsidRPr="009A7753">
        <w:rPr>
          <w:rFonts w:ascii="David" w:hAnsi="David" w:cs="David" w:hint="cs"/>
          <w:sz w:val="24"/>
          <w:szCs w:val="24"/>
          <w:shd w:val="clear" w:color="auto" w:fill="FFFFFF"/>
          <w:rtl/>
        </w:rPr>
        <w:t xml:space="preserve">. מחויבות זו ממומשת </w:t>
      </w:r>
      <w:r w:rsidR="005711FA" w:rsidRPr="009A7753">
        <w:rPr>
          <w:rFonts w:ascii="David" w:hAnsi="David" w:cs="David" w:hint="cs"/>
          <w:sz w:val="24"/>
          <w:szCs w:val="24"/>
          <w:shd w:val="clear" w:color="auto" w:fill="FFFFFF"/>
          <w:rtl/>
        </w:rPr>
        <w:t xml:space="preserve">בזכיית ארגון הפשיעה במכרזים ציבוריים ובשילוב אנשיהם בתפקידים שאינם כוללים תוכן ממשי. </w:t>
      </w:r>
      <w:r w:rsidR="00795F89" w:rsidRPr="009A7753">
        <w:rPr>
          <w:rFonts w:ascii="David" w:hAnsi="David" w:cs="David" w:hint="cs"/>
          <w:sz w:val="24"/>
          <w:szCs w:val="24"/>
          <w:shd w:val="clear" w:color="auto" w:fill="FFFFFF"/>
          <w:rtl/>
        </w:rPr>
        <w:t xml:space="preserve"> </w:t>
      </w:r>
      <w:r w:rsidR="005711FA" w:rsidRPr="009A7753">
        <w:rPr>
          <w:rFonts w:ascii="David" w:hAnsi="David" w:cs="David" w:hint="cs"/>
          <w:sz w:val="24"/>
          <w:szCs w:val="24"/>
          <w:shd w:val="clear" w:color="auto" w:fill="FFFFFF"/>
          <w:rtl/>
        </w:rPr>
        <w:t>החיבור שבין ארגוני פשע לרשויות המקומיות נתפס על ידי החמולות והעבריינים כמשמעותי ביותר ולכן כל אחד מן "השחקנים בזירה" פעל כדי שמועמד המתאים לו ייבחר</w:t>
      </w:r>
      <w:r w:rsidR="000257A6" w:rsidRPr="009A7753">
        <w:rPr>
          <w:rFonts w:ascii="David" w:hAnsi="David" w:cs="David" w:hint="cs"/>
          <w:sz w:val="24"/>
          <w:szCs w:val="24"/>
          <w:shd w:val="clear" w:color="auto" w:fill="FFFFFF"/>
          <w:rtl/>
        </w:rPr>
        <w:t xml:space="preserve"> לראשות המועצה או העיר. פעולה זו של החמולות והארגונים הייתה בין הגורמים שהביאו להסלמה קשה באירועי הבחירות בצפון למשל. מאבקים אלה התפתחו לקרבות של ממש וכללו מקרים רבים של ירי, הפעלת מטעני חבלה והצתות. </w:t>
      </w:r>
      <w:r w:rsidR="00795F89" w:rsidRPr="009A7753">
        <w:rPr>
          <w:rFonts w:ascii="David" w:hAnsi="David" w:cs="David" w:hint="cs"/>
          <w:sz w:val="24"/>
          <w:szCs w:val="24"/>
          <w:shd w:val="clear" w:color="auto" w:fill="FFFFFF"/>
          <w:rtl/>
        </w:rPr>
        <w:t xml:space="preserve"> </w:t>
      </w:r>
      <w:r w:rsidR="003413EF" w:rsidRPr="009A7753">
        <w:rPr>
          <w:rFonts w:ascii="David" w:hAnsi="David" w:cs="David" w:hint="cs"/>
          <w:sz w:val="24"/>
          <w:szCs w:val="24"/>
          <w:shd w:val="clear" w:color="auto" w:fill="FFFFFF"/>
          <w:rtl/>
        </w:rPr>
        <w:t>גם כאן, התחרות בין החמולות וארגוני הפשיעה על השליטה ברשות המקומית גרמה להתפרצויות אלימות חריגות בהיקפן.</w:t>
      </w:r>
      <w:r w:rsidR="004C7DF3" w:rsidRPr="009A7753">
        <w:rPr>
          <w:rFonts w:ascii="David" w:hAnsi="David" w:cs="David" w:hint="cs"/>
          <w:sz w:val="24"/>
          <w:szCs w:val="24"/>
          <w:shd w:val="clear" w:color="auto" w:fill="FFFFFF"/>
          <w:rtl/>
        </w:rPr>
        <w:t xml:space="preserve"> </w:t>
      </w:r>
    </w:p>
    <w:p w:rsidR="00FD1788" w:rsidRPr="009A7753" w:rsidRDefault="00DC1AE9" w:rsidP="00721DA0">
      <w:pPr>
        <w:bidi/>
        <w:spacing w:line="360" w:lineRule="auto"/>
        <w:ind w:left="-46"/>
        <w:jc w:val="both"/>
        <w:rPr>
          <w:rFonts w:ascii="David" w:hAnsi="David" w:cs="David"/>
          <w:sz w:val="24"/>
          <w:szCs w:val="24"/>
          <w:shd w:val="clear" w:color="auto" w:fill="FFFFFF"/>
          <w:rtl/>
        </w:rPr>
      </w:pPr>
      <w:r w:rsidRPr="009A7753">
        <w:rPr>
          <w:rFonts w:ascii="David" w:hAnsi="David" w:cs="David" w:hint="cs"/>
          <w:b/>
          <w:bCs/>
          <w:sz w:val="24"/>
          <w:szCs w:val="24"/>
          <w:shd w:val="clear" w:color="auto" w:fill="FFFFFF"/>
          <w:rtl/>
        </w:rPr>
        <w:t>סחיטת דמי חסות</w:t>
      </w:r>
      <w:r w:rsidR="003413EF" w:rsidRPr="009A7753">
        <w:rPr>
          <w:rFonts w:ascii="David" w:hAnsi="David" w:cs="David" w:hint="cs"/>
          <w:sz w:val="24"/>
          <w:szCs w:val="24"/>
          <w:shd w:val="clear" w:color="auto" w:fill="FFFFFF"/>
          <w:rtl/>
        </w:rPr>
        <w:t xml:space="preserve"> </w:t>
      </w:r>
      <w:r w:rsidR="003413EF" w:rsidRPr="009A7753">
        <w:rPr>
          <w:rFonts w:ascii="David" w:hAnsi="David" w:cs="David"/>
          <w:sz w:val="24"/>
          <w:szCs w:val="24"/>
          <w:shd w:val="clear" w:color="auto" w:fill="FFFFFF"/>
          <w:rtl/>
        </w:rPr>
        <w:t>–</w:t>
      </w:r>
      <w:r w:rsidR="003413EF" w:rsidRPr="009A7753">
        <w:rPr>
          <w:rFonts w:ascii="David" w:hAnsi="David" w:cs="David" w:hint="cs"/>
          <w:sz w:val="24"/>
          <w:szCs w:val="24"/>
          <w:shd w:val="clear" w:color="auto" w:fill="FFFFFF"/>
          <w:rtl/>
        </w:rPr>
        <w:t xml:space="preserve"> תופעת סחיטת דמי החסות מכונה בערבית "ח</w:t>
      </w:r>
      <w:r w:rsidR="00B44332" w:rsidRPr="009A7753">
        <w:rPr>
          <w:rFonts w:ascii="David" w:hAnsi="David" w:cs="David" w:hint="cs"/>
          <w:sz w:val="24"/>
          <w:szCs w:val="24"/>
          <w:shd w:val="clear" w:color="auto" w:fill="FFFFFF"/>
          <w:rtl/>
        </w:rPr>
        <w:t>'</w:t>
      </w:r>
      <w:r w:rsidR="003413EF" w:rsidRPr="009A7753">
        <w:rPr>
          <w:rFonts w:ascii="David" w:hAnsi="David" w:cs="David" w:hint="cs"/>
          <w:sz w:val="24"/>
          <w:szCs w:val="24"/>
          <w:shd w:val="clear" w:color="auto" w:fill="FFFFFF"/>
          <w:rtl/>
        </w:rPr>
        <w:t>וואה". יש הטוענים שהתופעה החלה לפני מאות שנים, כאשר הבדואים גבו דמי מעבר משיירות סוחרים</w:t>
      </w:r>
      <w:r w:rsidR="00B44332" w:rsidRPr="009A7753">
        <w:rPr>
          <w:rFonts w:ascii="David" w:hAnsi="David" w:cs="David" w:hint="cs"/>
          <w:sz w:val="24"/>
          <w:szCs w:val="24"/>
          <w:shd w:val="clear" w:color="auto" w:fill="FFFFFF"/>
          <w:rtl/>
        </w:rPr>
        <w:t xml:space="preserve"> שעברו בשטחם בנגב ובסיני בתמורה להבטחה שלא יפגעו. </w:t>
      </w:r>
      <w:r w:rsidR="00721DA0" w:rsidRPr="009A7753">
        <w:rPr>
          <w:rFonts w:ascii="David" w:hAnsi="David" w:cs="David" w:hint="cs"/>
          <w:sz w:val="24"/>
          <w:szCs w:val="24"/>
          <w:shd w:val="clear" w:color="auto" w:fill="FFFFFF"/>
          <w:rtl/>
        </w:rPr>
        <w:t xml:space="preserve">ה"שירות" של אבטחה תמורת תשלום דמי מעבר התבסס אז על שליטת הבדואים על נתיבי השיירות והיותם הכוח החזק במדבר. </w:t>
      </w:r>
      <w:r w:rsidR="00B44332" w:rsidRPr="009A7753">
        <w:rPr>
          <w:rFonts w:ascii="David" w:hAnsi="David" w:cs="David" w:hint="cs"/>
          <w:sz w:val="24"/>
          <w:szCs w:val="24"/>
          <w:shd w:val="clear" w:color="auto" w:fill="FFFFFF"/>
          <w:rtl/>
        </w:rPr>
        <w:t>במרוצת השנים התפתחה השיטה</w:t>
      </w:r>
      <w:r w:rsidR="00721DA0" w:rsidRPr="009A7753">
        <w:rPr>
          <w:rFonts w:ascii="David" w:hAnsi="David" w:cs="David" w:hint="cs"/>
          <w:sz w:val="24"/>
          <w:szCs w:val="24"/>
          <w:shd w:val="clear" w:color="auto" w:fill="FFFFFF"/>
          <w:rtl/>
        </w:rPr>
        <w:t>, והבדואים שהפכו משבטים נודדים למתיישבים בכפרים, החלו לגבות תשלום עבור שירותי שמירה מעסקים או חקלאים שעבדו בסביבתם וכדי לתמרץ את בעל העסק, הם ג</w:t>
      </w:r>
      <w:r w:rsidR="00300F41" w:rsidRPr="009A7753">
        <w:rPr>
          <w:rFonts w:ascii="David" w:hAnsi="David" w:cs="David" w:hint="cs"/>
          <w:sz w:val="24"/>
          <w:szCs w:val="24"/>
          <w:shd w:val="clear" w:color="auto" w:fill="FFFFFF"/>
          <w:rtl/>
        </w:rPr>
        <w:t>ם דאגו לגרום בעצמם</w:t>
      </w:r>
      <w:r w:rsidR="00721DA0" w:rsidRPr="009A7753">
        <w:rPr>
          <w:rFonts w:ascii="David" w:hAnsi="David" w:cs="David" w:hint="cs"/>
          <w:sz w:val="24"/>
          <w:szCs w:val="24"/>
          <w:shd w:val="clear" w:color="auto" w:fill="FFFFFF"/>
          <w:rtl/>
        </w:rPr>
        <w:t xml:space="preserve"> נזקים כבדים לאלה שלא שילמו. תופעה זו המכונה "סחיטת דמי חסות" הפכה </w:t>
      </w:r>
      <w:r w:rsidR="00B44332" w:rsidRPr="009A7753">
        <w:rPr>
          <w:rFonts w:ascii="David" w:hAnsi="David" w:cs="David" w:hint="cs"/>
          <w:sz w:val="24"/>
          <w:szCs w:val="24"/>
          <w:shd w:val="clear" w:color="auto" w:fill="FFFFFF"/>
          <w:rtl/>
        </w:rPr>
        <w:t xml:space="preserve"> לאחת העבירות הפליליות החמורות שנפוצות בקרב החברה הערבית בישראל, </w:t>
      </w:r>
      <w:r w:rsidR="00721DA0" w:rsidRPr="009A7753">
        <w:rPr>
          <w:rFonts w:ascii="David" w:hAnsi="David" w:cs="David" w:hint="cs"/>
          <w:sz w:val="24"/>
          <w:szCs w:val="24"/>
          <w:shd w:val="clear" w:color="auto" w:fill="FFFFFF"/>
          <w:rtl/>
        </w:rPr>
        <w:t>ובמיוחד בקרב הבדואים</w:t>
      </w:r>
      <w:r w:rsidR="00B44332" w:rsidRPr="009A7753">
        <w:rPr>
          <w:rFonts w:ascii="David" w:hAnsi="David" w:cs="David" w:hint="cs"/>
          <w:sz w:val="24"/>
          <w:szCs w:val="24"/>
          <w:shd w:val="clear" w:color="auto" w:fill="FFFFFF"/>
          <w:rtl/>
        </w:rPr>
        <w:t xml:space="preserve">. </w:t>
      </w:r>
      <w:r w:rsidR="003E22AB" w:rsidRPr="009A7753">
        <w:rPr>
          <w:rFonts w:ascii="David" w:hAnsi="David" w:cs="David" w:hint="cs"/>
          <w:sz w:val="24"/>
          <w:szCs w:val="24"/>
          <w:shd w:val="clear" w:color="auto" w:fill="FFFFFF"/>
          <w:rtl/>
        </w:rPr>
        <w:t>בראשית שנת 2017, חשפה המשטרה ארגון פשיעה המבוסס על חמולה בדואית</w:t>
      </w:r>
      <w:r w:rsidR="00721DA0" w:rsidRPr="009A7753">
        <w:rPr>
          <w:rFonts w:ascii="David" w:hAnsi="David" w:cs="David" w:hint="cs"/>
          <w:sz w:val="24"/>
          <w:szCs w:val="24"/>
          <w:shd w:val="clear" w:color="auto" w:fill="FFFFFF"/>
          <w:rtl/>
        </w:rPr>
        <w:t xml:space="preserve"> בשם חמולת "אל-הייב"</w:t>
      </w:r>
      <w:r w:rsidR="003E22AB" w:rsidRPr="009A7753">
        <w:rPr>
          <w:rFonts w:ascii="David" w:hAnsi="David" w:cs="David" w:hint="cs"/>
          <w:sz w:val="24"/>
          <w:szCs w:val="24"/>
          <w:shd w:val="clear" w:color="auto" w:fill="FFFFFF"/>
          <w:rtl/>
        </w:rPr>
        <w:t xml:space="preserve"> מהכפר טובא-זנגריא שעסק בסחיטת דמי חסות בצפון. </w:t>
      </w:r>
      <w:r w:rsidR="00FD1788" w:rsidRPr="009A7753">
        <w:rPr>
          <w:rFonts w:ascii="David" w:hAnsi="David" w:cs="David" w:hint="cs"/>
          <w:sz w:val="24"/>
          <w:szCs w:val="24"/>
          <w:shd w:val="clear" w:color="auto" w:fill="FFFFFF"/>
          <w:rtl/>
        </w:rPr>
        <w:t>במשך שנים רבות עסקה הכנופיה בסחיטה של חקלאים, קבלנים, בעלי מפעלים ובעלי חנויות. מי שסרב לשלם, ספג נזקים כבדים בעקבות הצתות וונדליזם. המשטרה התקשתה מאוד לטפל בתופעה מאחר והנסחטים חששו לשתף פעולה ולמסור עדותם כנגד הארגון. הפחד המשתק נבע מן המוניטין שיצא לכפר ממנו באה הכנופיה, אודות אופי אלים המלווה בשימוש באמצעי לחימה מרובים.</w:t>
      </w:r>
    </w:p>
    <w:p w:rsidR="00923B46" w:rsidRPr="009A7753" w:rsidRDefault="00923B46" w:rsidP="00923B46">
      <w:pPr>
        <w:bidi/>
        <w:spacing w:line="360" w:lineRule="auto"/>
        <w:ind w:left="-46"/>
        <w:jc w:val="both"/>
        <w:rPr>
          <w:rFonts w:ascii="David" w:hAnsi="David" w:cs="David"/>
          <w:sz w:val="24"/>
          <w:szCs w:val="24"/>
          <w:shd w:val="clear" w:color="auto" w:fill="FFFFFF"/>
          <w:rtl/>
        </w:rPr>
      </w:pPr>
      <w:r w:rsidRPr="009A7753">
        <w:rPr>
          <w:rFonts w:ascii="David" w:hAnsi="David" w:cs="David" w:hint="cs"/>
          <w:sz w:val="24"/>
          <w:szCs w:val="24"/>
          <w:shd w:val="clear" w:color="auto" w:fill="FFFFFF"/>
          <w:rtl/>
        </w:rPr>
        <w:lastRenderedPageBreak/>
        <w:t>תופעת דמי החסות אינה "רק" עבירת אלימות שבה הכנופיות מאלצות את הנסחט לשלם באמצעות איומים או פגיעה</w:t>
      </w:r>
      <w:r w:rsidR="008D6726" w:rsidRPr="009A7753">
        <w:rPr>
          <w:rFonts w:ascii="David" w:hAnsi="David" w:cs="David" w:hint="cs"/>
          <w:sz w:val="24"/>
          <w:szCs w:val="24"/>
          <w:shd w:val="clear" w:color="auto" w:fill="FFFFFF"/>
          <w:rtl/>
        </w:rPr>
        <w:t xml:space="preserve">. בחלק גדול מהמקרים, הכנופיות או ה"חברות" שפועלות מטעמן אינן נותנות שום שירות אמיתי בעבור התשלום, למעט העובדה שהם עצמם לא יגרמו נזק או יפגעו בבעלים. גבייה זו דומה יותר למס המוטל על כל מי שעוסק בתחום מסוים או באזור מסוים כדי שיוכל להמשיך לקיים את העסק שלו. אלא, שכאן המס לא משולם לרשויות המדינה, אלא, לארגוני פשיעה שצברו עוצמה וכוח כפועל יוצא מ"צבא" אגרסיבי של "חיילים" חמושים </w:t>
      </w:r>
      <w:r w:rsidR="00396E0E" w:rsidRPr="009A7753">
        <w:rPr>
          <w:rFonts w:ascii="David" w:hAnsi="David" w:cs="David" w:hint="cs"/>
          <w:sz w:val="24"/>
          <w:szCs w:val="24"/>
          <w:shd w:val="clear" w:color="auto" w:fill="FFFFFF"/>
          <w:rtl/>
        </w:rPr>
        <w:t xml:space="preserve">וחסרי מעצורים והון כלכלי רב המאפשר להם להחזיק את ה"חיילים" הללו. </w:t>
      </w:r>
    </w:p>
    <w:p w:rsidR="00431BC4" w:rsidRPr="00714CE6" w:rsidRDefault="006108DB" w:rsidP="00714CE6">
      <w:pPr>
        <w:pStyle w:val="1"/>
        <w:bidi/>
        <w:rPr>
          <w:rFonts w:ascii="David" w:hAnsi="David" w:cs="David"/>
          <w:shd w:val="clear" w:color="auto" w:fill="FFFFFF"/>
          <w:rtl/>
        </w:rPr>
      </w:pPr>
      <w:bookmarkStart w:id="31" w:name="_Toc5984344"/>
      <w:r w:rsidRPr="00714CE6">
        <w:rPr>
          <w:rFonts w:ascii="David" w:hAnsi="David" w:cs="David"/>
          <w:shd w:val="clear" w:color="auto" w:fill="FFFFFF"/>
          <w:rtl/>
        </w:rPr>
        <w:t>סיכום</w:t>
      </w:r>
      <w:bookmarkEnd w:id="31"/>
    </w:p>
    <w:p w:rsidR="00D41305" w:rsidRDefault="006108DB" w:rsidP="00D41305">
      <w:pPr>
        <w:bidi/>
        <w:spacing w:line="360" w:lineRule="auto"/>
        <w:ind w:left="-46"/>
        <w:jc w:val="both"/>
        <w:rPr>
          <w:rFonts w:ascii="David" w:hAnsi="David" w:cs="David" w:hint="cs"/>
          <w:sz w:val="24"/>
          <w:szCs w:val="24"/>
          <w:shd w:val="clear" w:color="auto" w:fill="FFFFFF"/>
          <w:rtl/>
        </w:rPr>
      </w:pPr>
      <w:r w:rsidRPr="006108DB">
        <w:rPr>
          <w:rFonts w:ascii="David" w:hAnsi="David" w:cs="David" w:hint="cs"/>
          <w:sz w:val="24"/>
          <w:szCs w:val="24"/>
          <w:shd w:val="clear" w:color="auto" w:fill="FFFFFF"/>
          <w:rtl/>
        </w:rPr>
        <w:t xml:space="preserve">הפשיעה בחברה הערבית </w:t>
      </w:r>
      <w:r>
        <w:rPr>
          <w:rFonts w:ascii="David" w:hAnsi="David" w:cs="David" w:hint="cs"/>
          <w:sz w:val="24"/>
          <w:szCs w:val="24"/>
          <w:shd w:val="clear" w:color="auto" w:fill="FFFFFF"/>
          <w:rtl/>
        </w:rPr>
        <w:t xml:space="preserve">בישראל היא תופעה חמורה המחייבת התייחסות מערכתית דחופה ברמה הלאומית. מאז תחילתו של העשור הנוכחי, ניכרת מגמה ברורה של עלייה בהיקף התופעה ובחומרתה. הערבים בישראל, מבצעים יותר עבירות (בעיקר עבירות אלימות) </w:t>
      </w:r>
      <w:r w:rsidR="00D41305">
        <w:rPr>
          <w:rFonts w:ascii="David" w:hAnsi="David" w:cs="David" w:hint="cs"/>
          <w:sz w:val="24"/>
          <w:szCs w:val="24"/>
          <w:shd w:val="clear" w:color="auto" w:fill="FFFFFF"/>
          <w:rtl/>
        </w:rPr>
        <w:t xml:space="preserve">והם גם הנפגעים העיקריים מעבירות אלה. כתוצאה מהתגברות התופעה, גדל חוסר האמון של האזרחים הנורמטיביים במשטרה וברשויות האכיפה. חוסר האמון גורם לאזרחים רבים לפעול בעצמם כדי להגן על חייהם ועל משפחתם והם רוכשים נשק בלתי חוקי ומגיבים באלימות כדי לפתור סכסוכים במקום לפנות לרשויות. כתוצאה מכך, מתגברת תופעת האלימות בתהליך מעגלי שמזין את עצמו. </w:t>
      </w:r>
    </w:p>
    <w:p w:rsidR="00D15BCF" w:rsidRDefault="006108DB" w:rsidP="00351779">
      <w:pPr>
        <w:bidi/>
        <w:spacing w:line="360" w:lineRule="auto"/>
        <w:ind w:left="-46"/>
        <w:jc w:val="both"/>
        <w:rPr>
          <w:rFonts w:ascii="David" w:hAnsi="David" w:cs="David" w:hint="cs"/>
          <w:sz w:val="24"/>
          <w:szCs w:val="24"/>
          <w:shd w:val="clear" w:color="auto" w:fill="FFFFFF"/>
          <w:rtl/>
        </w:rPr>
      </w:pPr>
      <w:r>
        <w:rPr>
          <w:rFonts w:ascii="David" w:hAnsi="David" w:cs="David" w:hint="cs"/>
          <w:sz w:val="24"/>
          <w:szCs w:val="24"/>
          <w:shd w:val="clear" w:color="auto" w:fill="FFFFFF"/>
          <w:rtl/>
        </w:rPr>
        <w:t>מדובר בתופעה חברתית מורכבת המושפעת משילוב של גורמים רבים ומגוונים,</w:t>
      </w:r>
      <w:r w:rsidR="00D41305">
        <w:rPr>
          <w:rFonts w:ascii="David" w:hAnsi="David" w:cs="David" w:hint="cs"/>
          <w:sz w:val="24"/>
          <w:szCs w:val="24"/>
          <w:shd w:val="clear" w:color="auto" w:fill="FFFFFF"/>
          <w:rtl/>
        </w:rPr>
        <w:t xml:space="preserve"> החל מן הניכור המתמשך של הציבור הערבי כלפי המדינה ורשויותיה וכלה בנורמות של אלימות וחוסר ציות לחוק. עם זאת ניתן להצביע כמה גורמים אשר נראה כי הם דומיננטיים יותר מאחרים בהשפעתם על החמרת המגמה של השנים האחרונות</w:t>
      </w:r>
      <w:r w:rsidR="004976BC">
        <w:rPr>
          <w:rFonts w:ascii="David" w:hAnsi="David" w:cs="David" w:hint="cs"/>
          <w:sz w:val="24"/>
          <w:szCs w:val="24"/>
          <w:shd w:val="clear" w:color="auto" w:fill="FFFFFF"/>
          <w:rtl/>
        </w:rPr>
        <w:t xml:space="preserve">. בין הגורמים הללו ניתן למצוא את המשילות החלשה של המדינה  מול חולשה גוברת השלטון המקומי. זאת לצד תקופת התעצמות משמעותית מאוד של ארגוני הפשיעה וכנופיות חמולתיות. השילוב שבין הגורמים הללו יוצר מצב שבו אותם העבריינים נתפסים לרוב כגורם החזק בשטח ולא הרשויות והמדינה. ארגוני פשיעה ממלאים את החלל שנוצר מתפקוד ממסדי חלש, כמו בפתרון סכסוכים, גביית חובות, הקצאת קרקעות ועוד ובכך הם מתעצמים ומשרישים נורמות של אלימות וכוחנות. נוסף על כך, התעצמות ארגוני הפשיעה </w:t>
      </w:r>
      <w:r w:rsidR="00351779">
        <w:rPr>
          <w:rFonts w:ascii="David" w:hAnsi="David" w:cs="David" w:hint="cs"/>
          <w:sz w:val="24"/>
          <w:szCs w:val="24"/>
          <w:shd w:val="clear" w:color="auto" w:fill="FFFFFF"/>
          <w:rtl/>
        </w:rPr>
        <w:t>מלווה</w:t>
      </w:r>
      <w:r w:rsidR="004976BC">
        <w:rPr>
          <w:rFonts w:ascii="David" w:hAnsi="David" w:cs="David" w:hint="cs"/>
          <w:sz w:val="24"/>
          <w:szCs w:val="24"/>
          <w:shd w:val="clear" w:color="auto" w:fill="FFFFFF"/>
          <w:rtl/>
        </w:rPr>
        <w:t xml:space="preserve"> בממון רב ולכן צעירים שפועלים בשירותם נוהגים להפגין ראוותנות, נוהגים במכוניות יוקרה ומפזרים כספים לרוב בלי להשקיע בלימודי מקצוע או לטרוח לקום בבוקר לעבודה. אותם צעירים מהווים מודל לחיקוי עבור הדור הבא ואתגר גדול עבור המערכת החינוכית שכאמור אינה מצטיינת. </w:t>
      </w:r>
      <w:r w:rsidR="003812DF">
        <w:rPr>
          <w:rFonts w:ascii="David" w:hAnsi="David" w:cs="David" w:hint="cs"/>
          <w:sz w:val="24"/>
          <w:szCs w:val="24"/>
          <w:shd w:val="clear" w:color="auto" w:fill="FFFFFF"/>
          <w:rtl/>
        </w:rPr>
        <w:t>ארגוני הפשיעה הערבים הם אחד הגורמים המרכזיים והמשפיעים ביותר על תפוצת הנשק הבלתי חוקי בחברה הערבית, החל ממעורבותם בהברחתו מירדן או משטחי הרשות הפלסטינאית וכלה בהפצתו על ידי סוחרי אמל"ח בישראל. הנשק הוא קטליזטור להחמרת האירועים ותפוצתו הנרחבת גורמת לעלייה בשכיחות השימוש המתבטאת בעלייה חדה באירועי הירי.</w:t>
      </w:r>
    </w:p>
    <w:p w:rsidR="00351779" w:rsidRDefault="00351779" w:rsidP="00351779">
      <w:pPr>
        <w:bidi/>
        <w:spacing w:line="360" w:lineRule="auto"/>
        <w:ind w:left="-46"/>
        <w:jc w:val="both"/>
        <w:rPr>
          <w:rFonts w:ascii="David" w:hAnsi="David" w:cs="David" w:hint="cs"/>
          <w:sz w:val="24"/>
          <w:szCs w:val="24"/>
          <w:shd w:val="clear" w:color="auto" w:fill="FFFFFF"/>
          <w:rtl/>
        </w:rPr>
      </w:pPr>
      <w:r>
        <w:rPr>
          <w:rFonts w:ascii="David" w:hAnsi="David" w:cs="David" w:hint="cs"/>
          <w:sz w:val="24"/>
          <w:szCs w:val="24"/>
          <w:shd w:val="clear" w:color="auto" w:fill="FFFFFF"/>
          <w:rtl/>
        </w:rPr>
        <w:t xml:space="preserve">משטרת ישראל פועלת בשנים האחרונות להרחבת פריסתה בחברה הערבית ולשינוי אסטרטגיית הפעולה מגישה אכיפתית </w:t>
      </w:r>
      <w:r w:rsidR="003812DF">
        <w:rPr>
          <w:rFonts w:ascii="David" w:hAnsi="David" w:cs="David" w:hint="cs"/>
          <w:sz w:val="24"/>
          <w:szCs w:val="24"/>
          <w:shd w:val="clear" w:color="auto" w:fill="FFFFFF"/>
          <w:rtl/>
        </w:rPr>
        <w:t>הגורמת לחיכוך לגישה קהילתית יותר שמטרתה לבסס את האמון עם הציבור הערבי. אולם פעולת המשטרה אינה מספיקה, עומקה של התופעה ומורכבותה, מחייבת מאמץ לאומי לטיפול רחב בגורמים שנסקרו בעבודה זו לצד חיזוק המשילות והשלטון המקומי וביעור ארגוני הפשיעה המתעצמים.</w:t>
      </w:r>
    </w:p>
    <w:p w:rsidR="00A262C2" w:rsidRDefault="00A262C2" w:rsidP="00A262C2">
      <w:pPr>
        <w:bidi/>
        <w:spacing w:line="360" w:lineRule="auto"/>
        <w:ind w:left="-46"/>
        <w:jc w:val="both"/>
        <w:rPr>
          <w:rFonts w:ascii="David" w:hAnsi="David" w:cs="David" w:hint="cs"/>
          <w:sz w:val="24"/>
          <w:szCs w:val="24"/>
          <w:shd w:val="clear" w:color="auto" w:fill="FFFFFF"/>
          <w:rtl/>
        </w:rPr>
      </w:pPr>
    </w:p>
    <w:sdt>
      <w:sdtPr>
        <w:rPr>
          <w:lang w:val="he-IL"/>
        </w:rPr>
        <w:id w:val="1704093"/>
        <w:docPartObj>
          <w:docPartGallery w:val="Bibliographies"/>
          <w:docPartUnique/>
        </w:docPartObj>
      </w:sdtPr>
      <w:sdtEndPr>
        <w:rPr>
          <w:rFonts w:asciiTheme="minorHAnsi" w:eastAsiaTheme="minorHAnsi" w:hAnsiTheme="minorHAnsi" w:cstheme="minorBidi"/>
          <w:b w:val="0"/>
          <w:bCs w:val="0"/>
          <w:color w:val="auto"/>
          <w:sz w:val="22"/>
          <w:szCs w:val="22"/>
          <w:lang w:val="en-US"/>
        </w:rPr>
      </w:sdtEndPr>
      <w:sdtContent>
        <w:bookmarkStart w:id="32" w:name="_Toc5984345" w:displacedByCustomXml="prev"/>
        <w:p w:rsidR="00A262C2" w:rsidRPr="00AA6790" w:rsidRDefault="00A262C2" w:rsidP="00A262C2">
          <w:pPr>
            <w:pStyle w:val="1"/>
            <w:jc w:val="right"/>
          </w:pPr>
          <w:r>
            <w:rPr>
              <w:rFonts w:hint="cs"/>
              <w:rtl/>
              <w:lang w:val="he-IL"/>
            </w:rPr>
            <w:t>ביבליוגרפיה</w:t>
          </w:r>
          <w:bookmarkEnd w:id="32"/>
        </w:p>
        <w:p w:rsidR="00A262C2" w:rsidRPr="00A262C2" w:rsidRDefault="00A262C2" w:rsidP="00A262C2">
          <w:pPr>
            <w:rPr>
              <w:lang w:val="he-IL"/>
            </w:rPr>
          </w:pPr>
        </w:p>
        <w:p w:rsidR="00A262C2" w:rsidRDefault="00A262C2" w:rsidP="00AA6790">
          <w:pPr>
            <w:pStyle w:val="ab"/>
            <w:bidi/>
            <w:jc w:val="right"/>
            <w:rPr>
              <w:noProof/>
            </w:rPr>
          </w:pPr>
          <w:r>
            <w:fldChar w:fldCharType="begin"/>
          </w:r>
          <w:r>
            <w:instrText xml:space="preserve"> BIBLIOGRAPHY </w:instrText>
          </w:r>
          <w:r>
            <w:fldChar w:fldCharType="separate"/>
          </w:r>
          <w:r>
            <w:rPr>
              <w:rFonts w:hint="cs"/>
              <w:noProof/>
            </w:rPr>
            <w:t>Badi Hasisi</w:t>
          </w:r>
          <w:r>
            <w:rPr>
              <w:rFonts w:hint="cs"/>
              <w:noProof/>
              <w:rtl/>
            </w:rPr>
            <w:t xml:space="preserve">. (2008). </w:t>
          </w:r>
          <w:r>
            <w:rPr>
              <w:rFonts w:hint="cs"/>
              <w:noProof/>
            </w:rPr>
            <w:t>Police Politics, and Culture in a Deeply Divided Society</w:t>
          </w:r>
          <w:r>
            <w:rPr>
              <w:rFonts w:hint="cs"/>
              <w:noProof/>
              <w:rtl/>
            </w:rPr>
            <w:t xml:space="preserve">. </w:t>
          </w:r>
          <w:r>
            <w:rPr>
              <w:rFonts w:hint="cs"/>
              <w:i/>
              <w:iCs/>
              <w:noProof/>
            </w:rPr>
            <w:t>Journal of Criminal Low and Criminology</w:t>
          </w:r>
          <w:r>
            <w:rPr>
              <w:rFonts w:hint="cs"/>
              <w:noProof/>
              <w:rtl/>
            </w:rPr>
            <w:t xml:space="preserve"> , 1119-1145.</w:t>
          </w:r>
        </w:p>
        <w:p w:rsidR="00A262C2" w:rsidRDefault="00A262C2" w:rsidP="00AA6790">
          <w:pPr>
            <w:pStyle w:val="ab"/>
            <w:bidi/>
            <w:jc w:val="right"/>
            <w:rPr>
              <w:rFonts w:hint="cs"/>
              <w:noProof/>
              <w:rtl/>
            </w:rPr>
          </w:pPr>
          <w:r>
            <w:rPr>
              <w:rFonts w:hint="cs"/>
              <w:noProof/>
            </w:rPr>
            <w:t>D.Yagil</w:t>
          </w:r>
          <w:r>
            <w:rPr>
              <w:rFonts w:hint="cs"/>
              <w:noProof/>
              <w:rtl/>
            </w:rPr>
            <w:t xml:space="preserve">, &amp; </w:t>
          </w:r>
          <w:r>
            <w:rPr>
              <w:rFonts w:hint="cs"/>
              <w:noProof/>
            </w:rPr>
            <w:t>A.Ppedazur A.Ratthner</w:t>
          </w:r>
          <w:r>
            <w:rPr>
              <w:rFonts w:hint="cs"/>
              <w:noProof/>
              <w:rtl/>
            </w:rPr>
            <w:t xml:space="preserve">. (2001). </w:t>
          </w:r>
          <w:r>
            <w:rPr>
              <w:rFonts w:hint="cs"/>
              <w:noProof/>
            </w:rPr>
            <w:t>Not bound by the law: Legal disobedience in Israeli society</w:t>
          </w:r>
          <w:r>
            <w:rPr>
              <w:rFonts w:hint="cs"/>
              <w:noProof/>
              <w:rtl/>
            </w:rPr>
            <w:t xml:space="preserve">. </w:t>
          </w:r>
          <w:r>
            <w:rPr>
              <w:rFonts w:hint="cs"/>
              <w:i/>
              <w:iCs/>
              <w:noProof/>
            </w:rPr>
            <w:t>Behavioral Sciences and the law</w:t>
          </w:r>
          <w:r>
            <w:rPr>
              <w:rFonts w:hint="cs"/>
              <w:noProof/>
              <w:rtl/>
            </w:rPr>
            <w:t xml:space="preserve"> , 265-283.</w:t>
          </w:r>
        </w:p>
        <w:p w:rsidR="00A262C2" w:rsidRDefault="00A262C2" w:rsidP="00AA6790">
          <w:pPr>
            <w:pStyle w:val="ab"/>
            <w:bidi/>
            <w:jc w:val="right"/>
            <w:rPr>
              <w:rFonts w:hint="cs"/>
              <w:noProof/>
              <w:rtl/>
            </w:rPr>
          </w:pPr>
          <w:r>
            <w:rPr>
              <w:rFonts w:hint="cs"/>
              <w:noProof/>
            </w:rPr>
            <w:t>Hasisi</w:t>
          </w:r>
          <w:r>
            <w:rPr>
              <w:rFonts w:hint="cs"/>
              <w:noProof/>
              <w:rtl/>
            </w:rPr>
            <w:t xml:space="preserve"> &amp; </w:t>
          </w:r>
          <w:r>
            <w:rPr>
              <w:rFonts w:hint="cs"/>
              <w:noProof/>
            </w:rPr>
            <w:t>Wettzer</w:t>
          </w:r>
          <w:r>
            <w:rPr>
              <w:rFonts w:hint="cs"/>
              <w:noProof/>
              <w:rtl/>
            </w:rPr>
            <w:t xml:space="preserve">. (2007). </w:t>
          </w:r>
          <w:r>
            <w:rPr>
              <w:rFonts w:hint="cs"/>
              <w:noProof/>
            </w:rPr>
            <w:t>Police relations with arabs and jews in Israel</w:t>
          </w:r>
          <w:r>
            <w:rPr>
              <w:rFonts w:hint="cs"/>
              <w:noProof/>
              <w:rtl/>
            </w:rPr>
            <w:t xml:space="preserve">. </w:t>
          </w:r>
          <w:r>
            <w:rPr>
              <w:rFonts w:hint="cs"/>
              <w:i/>
              <w:iCs/>
              <w:noProof/>
            </w:rPr>
            <w:t>British journal of criminology</w:t>
          </w:r>
          <w:r>
            <w:rPr>
              <w:rFonts w:hint="cs"/>
              <w:noProof/>
              <w:rtl/>
            </w:rPr>
            <w:t xml:space="preserve"> , 728-745.</w:t>
          </w:r>
        </w:p>
        <w:p w:rsidR="00A262C2" w:rsidRDefault="00A262C2" w:rsidP="00AA6790">
          <w:pPr>
            <w:pStyle w:val="ab"/>
            <w:bidi/>
            <w:jc w:val="right"/>
            <w:rPr>
              <w:rFonts w:hint="cs"/>
              <w:noProof/>
              <w:rtl/>
            </w:rPr>
          </w:pPr>
          <w:r>
            <w:rPr>
              <w:rFonts w:hint="cs"/>
              <w:noProof/>
            </w:rPr>
            <w:t>Richard B. Felson and Paul-Philippe Pare</w:t>
          </w:r>
          <w:r>
            <w:rPr>
              <w:rFonts w:hint="cs"/>
              <w:noProof/>
              <w:rtl/>
            </w:rPr>
            <w:t xml:space="preserve">. (2010). </w:t>
          </w:r>
          <w:r>
            <w:rPr>
              <w:rFonts w:hint="cs"/>
              <w:noProof/>
            </w:rPr>
            <w:t>Gun cultures or Honor culturs? Explaining Regional and Race Differences in Weapon Carriyng</w:t>
          </w:r>
          <w:r>
            <w:rPr>
              <w:rFonts w:hint="cs"/>
              <w:noProof/>
              <w:rtl/>
            </w:rPr>
            <w:t xml:space="preserve">. </w:t>
          </w:r>
          <w:r>
            <w:rPr>
              <w:rFonts w:hint="cs"/>
              <w:i/>
              <w:iCs/>
              <w:noProof/>
            </w:rPr>
            <w:t>Social Forces, Vol.88 No. 3 (March 2010</w:t>
          </w:r>
          <w:r>
            <w:rPr>
              <w:rFonts w:hint="cs"/>
              <w:i/>
              <w:iCs/>
              <w:noProof/>
              <w:rtl/>
            </w:rPr>
            <w:t>)</w:t>
          </w:r>
          <w:r>
            <w:rPr>
              <w:rFonts w:hint="cs"/>
              <w:noProof/>
              <w:rtl/>
            </w:rPr>
            <w:t xml:space="preserve"> , </w:t>
          </w:r>
          <w:r>
            <w:rPr>
              <w:rFonts w:hint="cs"/>
              <w:noProof/>
            </w:rPr>
            <w:t>pp. 1357-1378</w:t>
          </w:r>
          <w:r>
            <w:rPr>
              <w:rFonts w:hint="cs"/>
              <w:noProof/>
              <w:rtl/>
            </w:rPr>
            <w:t>.</w:t>
          </w:r>
        </w:p>
        <w:p w:rsidR="00AA6790" w:rsidRDefault="00AA6790" w:rsidP="00A262C2">
          <w:pPr>
            <w:pStyle w:val="ab"/>
            <w:bidi/>
            <w:rPr>
              <w:rFonts w:hint="cs"/>
              <w:noProof/>
              <w:rtl/>
            </w:rPr>
          </w:pPr>
        </w:p>
        <w:p w:rsidR="00A262C2" w:rsidRDefault="00A262C2" w:rsidP="00AA6790">
          <w:pPr>
            <w:pStyle w:val="ab"/>
            <w:bidi/>
            <w:rPr>
              <w:rFonts w:hint="cs"/>
              <w:noProof/>
              <w:rtl/>
            </w:rPr>
          </w:pPr>
          <w:r>
            <w:rPr>
              <w:rFonts w:hint="cs"/>
              <w:noProof/>
              <w:rtl/>
            </w:rPr>
            <w:t xml:space="preserve">אלה לוי -וינרב. (19 פברואר 2017). </w:t>
          </w:r>
          <w:r>
            <w:rPr>
              <w:rFonts w:hint="cs"/>
              <w:i/>
              <w:iCs/>
              <w:noProof/>
              <w:rtl/>
            </w:rPr>
            <w:t>קק"ל שילמה מיליוני שקלים דמי חסות למשפחת פשע בצפון.</w:t>
          </w:r>
          <w:r>
            <w:rPr>
              <w:rFonts w:hint="cs"/>
              <w:noProof/>
              <w:rtl/>
            </w:rPr>
            <w:t xml:space="preserve"> אוחזר ב- 4 פברואר 2019, מתוך גלובס: </w:t>
          </w:r>
          <w:r>
            <w:rPr>
              <w:rFonts w:hint="cs"/>
              <w:noProof/>
            </w:rPr>
            <w:t>https://www.globes.co.il/news/article.aspx?did=1001177493</w:t>
          </w:r>
        </w:p>
        <w:p w:rsidR="00A262C2" w:rsidRDefault="00A262C2" w:rsidP="00A262C2">
          <w:pPr>
            <w:pStyle w:val="ab"/>
            <w:bidi/>
            <w:rPr>
              <w:rFonts w:hint="cs"/>
              <w:noProof/>
              <w:rtl/>
            </w:rPr>
          </w:pPr>
          <w:r>
            <w:rPr>
              <w:rFonts w:hint="cs"/>
              <w:noProof/>
              <w:rtl/>
            </w:rPr>
            <w:t xml:space="preserve">הוועדה לצמצום היקף השימוש במזומן בראשות מנכ"ל משרד ראש הממשלה. (2014). </w:t>
          </w:r>
          <w:r>
            <w:rPr>
              <w:rFonts w:hint="cs"/>
              <w:i/>
              <w:iCs/>
              <w:noProof/>
              <w:rtl/>
            </w:rPr>
            <w:t>הוועדה לבחינת צמצום היקף השימוש במזומן.</w:t>
          </w:r>
          <w:r>
            <w:rPr>
              <w:rFonts w:hint="cs"/>
              <w:noProof/>
              <w:rtl/>
            </w:rPr>
            <w:t xml:space="preserve"> ירושלים: ממשלת ישראל.</w:t>
          </w:r>
        </w:p>
        <w:p w:rsidR="00A262C2" w:rsidRDefault="00A262C2" w:rsidP="00A262C2">
          <w:pPr>
            <w:pStyle w:val="ab"/>
            <w:bidi/>
            <w:rPr>
              <w:rFonts w:hint="cs"/>
              <w:noProof/>
              <w:rtl/>
            </w:rPr>
          </w:pPr>
          <w:r>
            <w:rPr>
              <w:rFonts w:hint="cs"/>
              <w:noProof/>
              <w:rtl/>
            </w:rPr>
            <w:t xml:space="preserve">הכנסת, מרכז המחקר והמידע. (2010). </w:t>
          </w:r>
          <w:r>
            <w:rPr>
              <w:rFonts w:hint="cs"/>
              <w:i/>
              <w:iCs/>
              <w:noProof/>
              <w:rtl/>
            </w:rPr>
            <w:t>נתונים על הפשיעה בחברה הערבית בישראל.</w:t>
          </w:r>
          <w:r>
            <w:rPr>
              <w:rFonts w:hint="cs"/>
              <w:noProof/>
              <w:rtl/>
            </w:rPr>
            <w:t xml:space="preserve"> ירושלים: הכנסת.</w:t>
          </w:r>
        </w:p>
        <w:p w:rsidR="00A262C2" w:rsidRDefault="00A262C2" w:rsidP="00A262C2">
          <w:pPr>
            <w:pStyle w:val="ab"/>
            <w:bidi/>
            <w:rPr>
              <w:rFonts w:hint="cs"/>
              <w:noProof/>
              <w:rtl/>
            </w:rPr>
          </w:pPr>
          <w:r>
            <w:rPr>
              <w:rFonts w:hint="cs"/>
              <w:noProof/>
              <w:rtl/>
            </w:rPr>
            <w:t xml:space="preserve">הלשכה המרכזית לסטטיסטיקה. (2015). </w:t>
          </w:r>
          <w:r>
            <w:rPr>
              <w:rFonts w:hint="cs"/>
              <w:i/>
              <w:iCs/>
              <w:noProof/>
              <w:rtl/>
            </w:rPr>
            <w:t>אוכלוסיית ישראל 2005-2014.</w:t>
          </w:r>
          <w:r>
            <w:rPr>
              <w:rFonts w:hint="cs"/>
              <w:noProof/>
              <w:rtl/>
            </w:rPr>
            <w:t xml:space="preserve"> ירושלים: הלשכה המרכזית לסטטיסטיקה.</w:t>
          </w:r>
        </w:p>
        <w:p w:rsidR="00A262C2" w:rsidRDefault="00A262C2" w:rsidP="00A262C2">
          <w:pPr>
            <w:pStyle w:val="ab"/>
            <w:bidi/>
            <w:rPr>
              <w:rFonts w:hint="cs"/>
              <w:noProof/>
              <w:rtl/>
            </w:rPr>
          </w:pPr>
          <w:r>
            <w:rPr>
              <w:rFonts w:hint="cs"/>
              <w:noProof/>
              <w:rtl/>
            </w:rPr>
            <w:t xml:space="preserve">ועדת חקירה ממלכתית בראשות השופט תיאודור אור. (2003). </w:t>
          </w:r>
          <w:r>
            <w:rPr>
              <w:rFonts w:hint="cs"/>
              <w:i/>
              <w:iCs/>
              <w:noProof/>
              <w:rtl/>
            </w:rPr>
            <w:t>ועדת חקירה ממלכתית לבירור התנגשויות בין כוחות הביטחון לבין אזרחים ישראלים בחודש אוקטובר 2000.</w:t>
          </w:r>
          <w:r>
            <w:rPr>
              <w:rFonts w:hint="cs"/>
              <w:noProof/>
              <w:rtl/>
            </w:rPr>
            <w:t xml:space="preserve"> ירושלים.</w:t>
          </w:r>
        </w:p>
        <w:p w:rsidR="00A262C2" w:rsidRDefault="00A262C2" w:rsidP="00A262C2">
          <w:pPr>
            <w:pStyle w:val="ab"/>
            <w:bidi/>
            <w:rPr>
              <w:rFonts w:hint="cs"/>
              <w:noProof/>
              <w:rtl/>
            </w:rPr>
          </w:pPr>
          <w:r>
            <w:rPr>
              <w:rFonts w:hint="cs"/>
              <w:noProof/>
              <w:rtl/>
            </w:rPr>
            <w:t xml:space="preserve">ועדת שרים לעניין ועדת אור. (2004). </w:t>
          </w:r>
          <w:r>
            <w:rPr>
              <w:rFonts w:hint="cs"/>
              <w:i/>
              <w:iCs/>
              <w:noProof/>
              <w:rtl/>
            </w:rPr>
            <w:t>דו"ח והמלצות ועדת השרים לעניין "ועדת אור".</w:t>
          </w:r>
          <w:r>
            <w:rPr>
              <w:rFonts w:hint="cs"/>
              <w:noProof/>
              <w:rtl/>
            </w:rPr>
            <w:t xml:space="preserve"> ירושלים: מזכירות הממשלה.</w:t>
          </w:r>
        </w:p>
        <w:p w:rsidR="00A262C2" w:rsidRDefault="00A262C2" w:rsidP="00A262C2">
          <w:pPr>
            <w:pStyle w:val="ab"/>
            <w:bidi/>
            <w:rPr>
              <w:rFonts w:hint="cs"/>
              <w:noProof/>
              <w:rtl/>
            </w:rPr>
          </w:pPr>
          <w:r>
            <w:rPr>
              <w:rFonts w:hint="cs"/>
              <w:noProof/>
              <w:rtl/>
            </w:rPr>
            <w:t>חבר הכנסת יוסף ג'בארין. (17 12 2018). נאום בכנסת מתאריך 17.12.2018 במסגרת דיון בחוק המרכז לגביית קנסות (תיקון).</w:t>
          </w:r>
        </w:p>
        <w:p w:rsidR="00A262C2" w:rsidRDefault="00A262C2" w:rsidP="00A262C2">
          <w:pPr>
            <w:pStyle w:val="ab"/>
            <w:bidi/>
            <w:rPr>
              <w:rFonts w:hint="cs"/>
              <w:noProof/>
              <w:rtl/>
            </w:rPr>
          </w:pPr>
          <w:r>
            <w:rPr>
              <w:rFonts w:hint="cs"/>
              <w:noProof/>
              <w:rtl/>
            </w:rPr>
            <w:t xml:space="preserve">חסן שעלאן. (24 פברואר 2019). </w:t>
          </w:r>
          <w:r>
            <w:rPr>
              <w:rFonts w:hint="cs"/>
              <w:i/>
              <w:iCs/>
              <w:noProof/>
              <w:rtl/>
            </w:rPr>
            <w:t>כעס בטירה על שרשרת מעשי הרצח והאלימות: "לטפל בנשק הלא-חוקי"</w:t>
          </w:r>
          <w:r>
            <w:rPr>
              <w:rFonts w:hint="cs"/>
              <w:noProof/>
              <w:rtl/>
            </w:rPr>
            <w:t xml:space="preserve">. אוחזר ב- 27 פברואר 2019, מתוך </w:t>
          </w:r>
          <w:r>
            <w:rPr>
              <w:rFonts w:hint="cs"/>
              <w:noProof/>
            </w:rPr>
            <w:t>y.net: https://www.ynet.co.il/articles/0,7340,L-5469183,00.html</w:t>
          </w:r>
        </w:p>
        <w:p w:rsidR="00A262C2" w:rsidRDefault="00A262C2" w:rsidP="00A262C2">
          <w:pPr>
            <w:pStyle w:val="ab"/>
            <w:bidi/>
            <w:rPr>
              <w:rFonts w:hint="cs"/>
              <w:noProof/>
              <w:rtl/>
            </w:rPr>
          </w:pPr>
          <w:r>
            <w:rPr>
              <w:rFonts w:hint="cs"/>
              <w:noProof/>
              <w:rtl/>
            </w:rPr>
            <w:t xml:space="preserve">יוזמות קרן אברהם. (2018). </w:t>
          </w:r>
          <w:r>
            <w:rPr>
              <w:rFonts w:hint="cs"/>
              <w:i/>
              <w:iCs/>
              <w:noProof/>
              <w:rtl/>
            </w:rPr>
            <w:t>מדד הביטחון האישי - אלימות, פשיעה ושיטור ביישובים ערביים - דו"ח 2017.</w:t>
          </w:r>
          <w:r>
            <w:rPr>
              <w:rFonts w:hint="cs"/>
              <w:noProof/>
              <w:rtl/>
            </w:rPr>
            <w:t xml:space="preserve"> יוזמות קרן אברהם.</w:t>
          </w:r>
        </w:p>
        <w:p w:rsidR="00A262C2" w:rsidRDefault="00A262C2" w:rsidP="00A262C2">
          <w:pPr>
            <w:pStyle w:val="ab"/>
            <w:bidi/>
            <w:rPr>
              <w:rFonts w:hint="cs"/>
              <w:noProof/>
              <w:rtl/>
            </w:rPr>
          </w:pPr>
          <w:r>
            <w:rPr>
              <w:rFonts w:hint="cs"/>
              <w:noProof/>
              <w:rtl/>
            </w:rPr>
            <w:t xml:space="preserve">יונתן וודבריג', סאמי מיעארי נעם זוסמן. (2016). </w:t>
          </w:r>
          <w:r>
            <w:rPr>
              <w:rFonts w:hint="cs"/>
              <w:i/>
              <w:iCs/>
              <w:noProof/>
              <w:rtl/>
            </w:rPr>
            <w:t>ממדי הפשיעה בישראל בשנים 2010-1990 תוך התמקדות בחברה הערבית .</w:t>
          </w:r>
          <w:r>
            <w:rPr>
              <w:rFonts w:hint="cs"/>
              <w:noProof/>
              <w:rtl/>
            </w:rPr>
            <w:t xml:space="preserve"> ירושלים: המכון הישראלי לדמוקרטיה.</w:t>
          </w:r>
        </w:p>
        <w:p w:rsidR="00A262C2" w:rsidRDefault="00A262C2" w:rsidP="00A262C2">
          <w:pPr>
            <w:pStyle w:val="ab"/>
            <w:bidi/>
            <w:rPr>
              <w:rFonts w:hint="cs"/>
              <w:noProof/>
              <w:rtl/>
            </w:rPr>
          </w:pPr>
          <w:r>
            <w:rPr>
              <w:rFonts w:hint="cs"/>
              <w:noProof/>
              <w:rtl/>
            </w:rPr>
            <w:t xml:space="preserve">יוסף ג'בארין ומוהנד מוסטפא. (2011). בין השלטון למקומי: על השלטון המקומי בחברה הפלסטינית בישראל. </w:t>
          </w:r>
          <w:r>
            <w:rPr>
              <w:rFonts w:hint="cs"/>
              <w:i/>
              <w:iCs/>
              <w:noProof/>
              <w:rtl/>
            </w:rPr>
            <w:t>השלטון המקומי בחברה הפלסטינית בישראל</w:t>
          </w:r>
          <w:r>
            <w:rPr>
              <w:rFonts w:hint="cs"/>
              <w:noProof/>
              <w:rtl/>
            </w:rPr>
            <w:t xml:space="preserve"> , 9-11.</w:t>
          </w:r>
        </w:p>
        <w:p w:rsidR="00A262C2" w:rsidRDefault="00A262C2" w:rsidP="00A262C2">
          <w:pPr>
            <w:pStyle w:val="ab"/>
            <w:bidi/>
            <w:rPr>
              <w:rFonts w:hint="cs"/>
              <w:noProof/>
              <w:rtl/>
            </w:rPr>
          </w:pPr>
          <w:r>
            <w:rPr>
              <w:rFonts w:hint="cs"/>
              <w:noProof/>
              <w:rtl/>
            </w:rPr>
            <w:t xml:space="preserve">יעל ליטמנוביץ באדי חסייסי. (2017). </w:t>
          </w:r>
          <w:r>
            <w:rPr>
              <w:rFonts w:hint="cs"/>
              <w:i/>
              <w:iCs/>
              <w:noProof/>
              <w:rtl/>
            </w:rPr>
            <w:t>'חתירה למגע אחר' שיטור החברה הערבית בישראל: נקודת המבט של מפקדי התחנות.</w:t>
          </w:r>
          <w:r>
            <w:rPr>
              <w:rFonts w:hint="cs"/>
              <w:noProof/>
              <w:rtl/>
            </w:rPr>
            <w:t xml:space="preserve"> האוניברסיטה העברית בירושלים ומשטרת ישראל.</w:t>
          </w:r>
        </w:p>
        <w:p w:rsidR="00A262C2" w:rsidRDefault="00A262C2" w:rsidP="00A262C2">
          <w:pPr>
            <w:pStyle w:val="ab"/>
            <w:bidi/>
            <w:rPr>
              <w:rFonts w:hint="cs"/>
              <w:noProof/>
              <w:rtl/>
            </w:rPr>
          </w:pPr>
          <w:r>
            <w:rPr>
              <w:rFonts w:hint="cs"/>
              <w:noProof/>
              <w:rtl/>
            </w:rPr>
            <w:t xml:space="preserve">ליאור שוחט. (2007). </w:t>
          </w:r>
          <w:r>
            <w:rPr>
              <w:rFonts w:hint="cs"/>
              <w:i/>
              <w:iCs/>
              <w:noProof/>
              <w:rtl/>
            </w:rPr>
            <w:t>המשילות והשלכותיה על הביטחון הלאומי.</w:t>
          </w:r>
          <w:r>
            <w:rPr>
              <w:rFonts w:hint="cs"/>
              <w:noProof/>
              <w:rtl/>
            </w:rPr>
            <w:t xml:space="preserve"> הרצליה: המרכז למחקר אסטרטגי ולמדיניות, המכללה לביטחון לאומי, צה"ל.</w:t>
          </w:r>
        </w:p>
        <w:p w:rsidR="00A262C2" w:rsidRDefault="00A262C2" w:rsidP="00A262C2">
          <w:pPr>
            <w:pStyle w:val="ab"/>
            <w:bidi/>
            <w:rPr>
              <w:rFonts w:hint="cs"/>
              <w:noProof/>
              <w:rtl/>
            </w:rPr>
          </w:pPr>
          <w:r>
            <w:rPr>
              <w:rFonts w:hint="cs"/>
              <w:noProof/>
              <w:rtl/>
            </w:rPr>
            <w:t xml:space="preserve">מבקר המדינה. (2018). </w:t>
          </w:r>
          <w:r>
            <w:rPr>
              <w:rFonts w:hint="cs"/>
              <w:i/>
              <w:iCs/>
              <w:noProof/>
              <w:rtl/>
            </w:rPr>
            <w:t>התמודדות משטרת ישראל עם החזקת אמצעי לחימה לא חוקיים ואירועי ירי ביישובי החברה הערבית וביישובים מעורבים.</w:t>
          </w:r>
          <w:r>
            <w:rPr>
              <w:rFonts w:hint="cs"/>
              <w:noProof/>
              <w:rtl/>
            </w:rPr>
            <w:t xml:space="preserve"> ירושלים: מבקר המדינה.</w:t>
          </w:r>
        </w:p>
        <w:p w:rsidR="00A262C2" w:rsidRDefault="00A262C2" w:rsidP="00A262C2">
          <w:pPr>
            <w:pStyle w:val="ab"/>
            <w:bidi/>
            <w:rPr>
              <w:rFonts w:hint="cs"/>
              <w:noProof/>
              <w:rtl/>
            </w:rPr>
          </w:pPr>
          <w:r>
            <w:rPr>
              <w:rFonts w:hint="cs"/>
              <w:noProof/>
              <w:rtl/>
            </w:rPr>
            <w:lastRenderedPageBreak/>
            <w:t xml:space="preserve">מוהנד מוסטפא. (2011). המנהיגות המוניציפאלית ומשבר השלטון המקומי הערבי בישראל. </w:t>
          </w:r>
          <w:r>
            <w:rPr>
              <w:rFonts w:hint="cs"/>
              <w:i/>
              <w:iCs/>
              <w:noProof/>
              <w:rtl/>
            </w:rPr>
            <w:t>השלטון המקומי בחברה הפלסטנית בישראל</w:t>
          </w:r>
          <w:r>
            <w:rPr>
              <w:rFonts w:hint="cs"/>
              <w:noProof/>
              <w:rtl/>
            </w:rPr>
            <w:t xml:space="preserve"> , 235-252.</w:t>
          </w:r>
        </w:p>
        <w:p w:rsidR="00A262C2" w:rsidRDefault="00A262C2" w:rsidP="00A262C2">
          <w:pPr>
            <w:pStyle w:val="ab"/>
            <w:bidi/>
            <w:rPr>
              <w:rFonts w:hint="cs"/>
              <w:noProof/>
              <w:rtl/>
            </w:rPr>
          </w:pPr>
          <w:r>
            <w:rPr>
              <w:rFonts w:hint="cs"/>
              <w:noProof/>
              <w:rtl/>
            </w:rPr>
            <w:t xml:space="preserve">מיכל דיין-בן זקרי, טלי גורן אבי ברוכמן. (2012). שיפור אמון הציבור - האתגר של משטרת ישראל. </w:t>
          </w:r>
          <w:r>
            <w:rPr>
              <w:rFonts w:hint="cs"/>
              <w:i/>
              <w:iCs/>
              <w:noProof/>
              <w:rtl/>
            </w:rPr>
            <w:t>העיקר במחקר / משטרת ישראל</w:t>
          </w:r>
          <w:r>
            <w:rPr>
              <w:rFonts w:hint="cs"/>
              <w:noProof/>
              <w:rtl/>
            </w:rPr>
            <w:t xml:space="preserve"> , 9-23.</w:t>
          </w:r>
        </w:p>
        <w:p w:rsidR="00A262C2" w:rsidRDefault="00A262C2" w:rsidP="00A262C2">
          <w:pPr>
            <w:pStyle w:val="ab"/>
            <w:bidi/>
            <w:rPr>
              <w:rFonts w:hint="cs"/>
              <w:noProof/>
              <w:rtl/>
            </w:rPr>
          </w:pPr>
          <w:r>
            <w:rPr>
              <w:rFonts w:hint="cs"/>
              <w:noProof/>
              <w:rtl/>
            </w:rPr>
            <w:t xml:space="preserve">ממשלת ישראל. (10 אפריל 2016). החלטת ממשלה 1402. </w:t>
          </w:r>
          <w:r>
            <w:rPr>
              <w:rFonts w:hint="cs"/>
              <w:i/>
              <w:iCs/>
              <w:noProof/>
              <w:rtl/>
            </w:rPr>
            <w:t>שיפור רמת הביטחון האישי במגזר הערבי וחיזוק הביטחון בירושלים</w:t>
          </w:r>
          <w:r>
            <w:rPr>
              <w:rFonts w:hint="cs"/>
              <w:noProof/>
              <w:rtl/>
            </w:rPr>
            <w:t xml:space="preserve"> . ירושלים: משרד ראש הממשלה / מזכירות הממשלה.</w:t>
          </w:r>
        </w:p>
        <w:p w:rsidR="00A262C2" w:rsidRDefault="00A262C2" w:rsidP="00A262C2">
          <w:pPr>
            <w:pStyle w:val="ab"/>
            <w:bidi/>
            <w:rPr>
              <w:rFonts w:hint="cs"/>
              <w:noProof/>
              <w:rtl/>
            </w:rPr>
          </w:pPr>
          <w:r>
            <w:rPr>
              <w:rFonts w:hint="cs"/>
              <w:noProof/>
              <w:rtl/>
            </w:rPr>
            <w:t xml:space="preserve">ממשלת ישראל. (30 דצמבר 2015). החלטת ממשלה 922. </w:t>
          </w:r>
          <w:r>
            <w:rPr>
              <w:rFonts w:hint="cs"/>
              <w:i/>
              <w:iCs/>
              <w:noProof/>
              <w:rtl/>
            </w:rPr>
            <w:t>פעילות הממשלה לפיתוח כלכלי באוכלוסיית המיעוטים בשנים 2016-2020</w:t>
          </w:r>
          <w:r>
            <w:rPr>
              <w:rFonts w:hint="cs"/>
              <w:noProof/>
              <w:rtl/>
            </w:rPr>
            <w:t xml:space="preserve"> . ירושלים: משרד ראש הממשלה/ מזכירות הממשלה.</w:t>
          </w:r>
        </w:p>
        <w:p w:rsidR="00A262C2" w:rsidRDefault="00A262C2" w:rsidP="00A262C2">
          <w:pPr>
            <w:pStyle w:val="ab"/>
            <w:bidi/>
            <w:rPr>
              <w:rFonts w:hint="cs"/>
              <w:noProof/>
              <w:rtl/>
            </w:rPr>
          </w:pPr>
          <w:r>
            <w:rPr>
              <w:rFonts w:hint="cs"/>
              <w:noProof/>
              <w:rtl/>
            </w:rPr>
            <w:t xml:space="preserve">מנחם אמיר. (2001). ארגוני טרור וארגוני פשע מאורגן: הדמיון, השוני והקשר ביניהם. </w:t>
          </w:r>
          <w:r>
            <w:rPr>
              <w:rFonts w:hint="cs"/>
              <w:i/>
              <w:iCs/>
              <w:noProof/>
              <w:rtl/>
            </w:rPr>
            <w:t>משטרה וחברה</w:t>
          </w:r>
          <w:r>
            <w:rPr>
              <w:rFonts w:hint="cs"/>
              <w:noProof/>
              <w:rtl/>
            </w:rPr>
            <w:t xml:space="preserve"> , 107-131.</w:t>
          </w:r>
        </w:p>
        <w:p w:rsidR="00A262C2" w:rsidRDefault="00A262C2" w:rsidP="00A262C2">
          <w:pPr>
            <w:pStyle w:val="ab"/>
            <w:bidi/>
            <w:rPr>
              <w:rFonts w:hint="cs"/>
              <w:noProof/>
              <w:rtl/>
            </w:rPr>
          </w:pPr>
          <w:r>
            <w:rPr>
              <w:rFonts w:hint="cs"/>
              <w:noProof/>
              <w:rtl/>
            </w:rPr>
            <w:t xml:space="preserve">משטרת ישראל. (2018). </w:t>
          </w:r>
          <w:r>
            <w:rPr>
              <w:rFonts w:hint="cs"/>
              <w:i/>
              <w:iCs/>
              <w:noProof/>
              <w:rtl/>
            </w:rPr>
            <w:t>שנתון סטטיסטי משטרת ישראל - 2017.</w:t>
          </w:r>
          <w:r>
            <w:rPr>
              <w:rFonts w:hint="cs"/>
              <w:noProof/>
              <w:rtl/>
            </w:rPr>
            <w:t xml:space="preserve"> ירושלים: משטרת ישראל.</w:t>
          </w:r>
        </w:p>
        <w:p w:rsidR="00A262C2" w:rsidRDefault="00A262C2" w:rsidP="00A262C2">
          <w:pPr>
            <w:pStyle w:val="ab"/>
            <w:bidi/>
            <w:rPr>
              <w:rFonts w:hint="cs"/>
              <w:noProof/>
              <w:rtl/>
            </w:rPr>
          </w:pPr>
          <w:r>
            <w:rPr>
              <w:rFonts w:hint="cs"/>
              <w:noProof/>
              <w:rtl/>
            </w:rPr>
            <w:t xml:space="preserve">משרד ראש הממשלה, משרד האוצר, המשרד לשוויון חברתי. (2016). </w:t>
          </w:r>
          <w:r>
            <w:rPr>
              <w:rFonts w:hint="cs"/>
              <w:i/>
              <w:iCs/>
              <w:noProof/>
              <w:rtl/>
            </w:rPr>
            <w:t>תכנית מערכתית לשילוב כלכלי של החברה הערבית.</w:t>
          </w:r>
          <w:r>
            <w:rPr>
              <w:rFonts w:hint="cs"/>
              <w:noProof/>
              <w:rtl/>
            </w:rPr>
            <w:t xml:space="preserve"> ירושלים: ממשלת ישראל.</w:t>
          </w:r>
        </w:p>
        <w:p w:rsidR="00A262C2" w:rsidRDefault="00A262C2" w:rsidP="00A262C2">
          <w:pPr>
            <w:pStyle w:val="ab"/>
            <w:bidi/>
            <w:rPr>
              <w:rFonts w:hint="cs"/>
              <w:noProof/>
              <w:rtl/>
            </w:rPr>
          </w:pPr>
          <w:r>
            <w:rPr>
              <w:rFonts w:hint="cs"/>
              <w:noProof/>
              <w:rtl/>
            </w:rPr>
            <w:t xml:space="preserve">נוהאד עלי. (2014). </w:t>
          </w:r>
          <w:r>
            <w:rPr>
              <w:rFonts w:hint="cs"/>
              <w:i/>
              <w:iCs/>
              <w:noProof/>
              <w:rtl/>
            </w:rPr>
            <w:t>אלימות ופשיעה בחברה הערבית בישראל: קונספירציה ממסדית או פשיעה תרבותית?</w:t>
          </w:r>
          <w:r>
            <w:rPr>
              <w:rFonts w:hint="cs"/>
              <w:noProof/>
              <w:rtl/>
            </w:rPr>
            <w:t xml:space="preserve"> חיפה: אוניברסיטת חיפה.</w:t>
          </w:r>
        </w:p>
        <w:p w:rsidR="00A262C2" w:rsidRDefault="00A262C2" w:rsidP="00A262C2">
          <w:pPr>
            <w:pStyle w:val="ab"/>
            <w:bidi/>
            <w:rPr>
              <w:rFonts w:hint="cs"/>
              <w:noProof/>
              <w:rtl/>
            </w:rPr>
          </w:pPr>
          <w:r>
            <w:rPr>
              <w:rFonts w:hint="cs"/>
              <w:noProof/>
              <w:rtl/>
            </w:rPr>
            <w:t xml:space="preserve">נידאל חאיק. (2011). בחירת מועמדים ברשויות המקומיות הערביות: דבר הדמוקרטיה או דבר החמולה. </w:t>
          </w:r>
          <w:r>
            <w:rPr>
              <w:rFonts w:hint="cs"/>
              <w:i/>
              <w:iCs/>
              <w:noProof/>
              <w:rtl/>
            </w:rPr>
            <w:t>השלטון המקומי בחברה הפלסטינית בישראל</w:t>
          </w:r>
          <w:r>
            <w:rPr>
              <w:rFonts w:hint="cs"/>
              <w:noProof/>
              <w:rtl/>
            </w:rPr>
            <w:t xml:space="preserve"> , 209-226.</w:t>
          </w:r>
        </w:p>
        <w:p w:rsidR="00A262C2" w:rsidRDefault="00A262C2" w:rsidP="00A262C2">
          <w:pPr>
            <w:pStyle w:val="ab"/>
            <w:bidi/>
            <w:rPr>
              <w:rFonts w:hint="cs"/>
              <w:noProof/>
              <w:rtl/>
            </w:rPr>
          </w:pPr>
          <w:r>
            <w:rPr>
              <w:rFonts w:hint="cs"/>
              <w:noProof/>
              <w:rtl/>
            </w:rPr>
            <w:t>ניצב אלון אסור. (25 פברואר 2019). ראיון בנושא נשק ואמצעי לחימה בחברה הערבית. (יגאל חדד, מראיין)</w:t>
          </w:r>
        </w:p>
        <w:p w:rsidR="00A262C2" w:rsidRDefault="00A262C2" w:rsidP="00A262C2">
          <w:pPr>
            <w:pStyle w:val="ab"/>
            <w:bidi/>
            <w:rPr>
              <w:rFonts w:hint="cs"/>
              <w:noProof/>
              <w:rtl/>
            </w:rPr>
          </w:pPr>
          <w:r>
            <w:rPr>
              <w:rFonts w:hint="cs"/>
              <w:noProof/>
              <w:rtl/>
            </w:rPr>
            <w:t>נצ"ם יגאל עזרא. (30 ינואר 2019). ק' אח"ם וראש ימ"ר מרכז - אלימות ונשק בחברה הערבית. (יגאל חדד, מראיין)</w:t>
          </w:r>
        </w:p>
        <w:p w:rsidR="00A262C2" w:rsidRDefault="00A262C2" w:rsidP="00A262C2">
          <w:pPr>
            <w:pStyle w:val="ab"/>
            <w:bidi/>
            <w:rPr>
              <w:rFonts w:hint="cs"/>
              <w:noProof/>
              <w:rtl/>
            </w:rPr>
          </w:pPr>
          <w:r>
            <w:rPr>
              <w:rFonts w:hint="cs"/>
              <w:noProof/>
              <w:rtl/>
            </w:rPr>
            <w:t xml:space="preserve">עו"ד יאיר רגב. (9 אפריל 2016). </w:t>
          </w:r>
          <w:r>
            <w:rPr>
              <w:rFonts w:hint="cs"/>
              <w:i/>
              <w:iCs/>
              <w:noProof/>
              <w:rtl/>
            </w:rPr>
            <w:t>השוק האפור.</w:t>
          </w:r>
          <w:r>
            <w:rPr>
              <w:rFonts w:hint="cs"/>
              <w:noProof/>
              <w:rtl/>
            </w:rPr>
            <w:t xml:space="preserve"> אוחזר ב- 3 פברואר 2019, מתוך ייצור ידע: </w:t>
          </w:r>
          <w:r>
            <w:rPr>
              <w:rFonts w:hint="cs"/>
              <w:noProof/>
            </w:rPr>
            <w:t>http://www</w:t>
          </w:r>
          <w:r>
            <w:rPr>
              <w:rFonts w:hint="cs"/>
              <w:noProof/>
              <w:rtl/>
            </w:rPr>
            <w:t>.ידע.</w:t>
          </w:r>
          <w:r>
            <w:rPr>
              <w:rFonts w:hint="cs"/>
              <w:noProof/>
            </w:rPr>
            <w:t>com</w:t>
          </w:r>
        </w:p>
        <w:p w:rsidR="00A262C2" w:rsidRDefault="00A262C2" w:rsidP="00A262C2">
          <w:pPr>
            <w:pStyle w:val="ab"/>
            <w:bidi/>
            <w:rPr>
              <w:rFonts w:hint="cs"/>
              <w:noProof/>
              <w:rtl/>
            </w:rPr>
          </w:pPr>
          <w:r>
            <w:rPr>
              <w:rFonts w:hint="cs"/>
              <w:noProof/>
              <w:rtl/>
            </w:rPr>
            <w:t xml:space="preserve">עו"ד יהודה שפר. (ינואר 2007). העבירות שבחוק איסור הלבנת הון. </w:t>
          </w:r>
          <w:r>
            <w:rPr>
              <w:rFonts w:hint="cs"/>
              <w:i/>
              <w:iCs/>
              <w:noProof/>
              <w:rtl/>
            </w:rPr>
            <w:t>המשפט - כתב העת המשפטי של המכללה למנהל</w:t>
          </w:r>
          <w:r>
            <w:rPr>
              <w:rFonts w:hint="cs"/>
              <w:noProof/>
              <w:rtl/>
            </w:rPr>
            <w:t xml:space="preserve"> , עמ' 555-581.</w:t>
          </w:r>
        </w:p>
        <w:p w:rsidR="00A262C2" w:rsidRDefault="00A262C2" w:rsidP="00A262C2">
          <w:pPr>
            <w:pStyle w:val="ab"/>
            <w:bidi/>
            <w:rPr>
              <w:rFonts w:hint="cs"/>
              <w:noProof/>
              <w:rtl/>
            </w:rPr>
          </w:pPr>
          <w:r>
            <w:rPr>
              <w:rFonts w:hint="cs"/>
              <w:noProof/>
              <w:rtl/>
            </w:rPr>
            <w:t xml:space="preserve">פיני יחזקאלי. (26 נובמבר 2018). </w:t>
          </w:r>
          <w:r>
            <w:rPr>
              <w:rFonts w:hint="cs"/>
              <w:i/>
              <w:iCs/>
              <w:noProof/>
              <w:rtl/>
            </w:rPr>
            <w:t>ארגוני הפשע הערביים: המרחק הדק בין פשיעה לטרור.</w:t>
          </w:r>
          <w:r>
            <w:rPr>
              <w:rFonts w:hint="cs"/>
              <w:noProof/>
              <w:rtl/>
            </w:rPr>
            <w:t xml:space="preserve"> אוחזר ב- 29 ינואר 2019, מתוך ייצור יידע: </w:t>
          </w:r>
          <w:r>
            <w:rPr>
              <w:rFonts w:hint="cs"/>
              <w:noProof/>
            </w:rPr>
            <w:t>http://www</w:t>
          </w:r>
          <w:r>
            <w:rPr>
              <w:rFonts w:hint="cs"/>
              <w:noProof/>
              <w:rtl/>
            </w:rPr>
            <w:t>.ידע.</w:t>
          </w:r>
          <w:r>
            <w:rPr>
              <w:rFonts w:hint="cs"/>
              <w:noProof/>
            </w:rPr>
            <w:t>com</w:t>
          </w:r>
        </w:p>
        <w:p w:rsidR="00A262C2" w:rsidRDefault="00A262C2" w:rsidP="00A262C2">
          <w:pPr>
            <w:pStyle w:val="ab"/>
            <w:bidi/>
            <w:rPr>
              <w:rFonts w:hint="cs"/>
              <w:noProof/>
              <w:rtl/>
            </w:rPr>
          </w:pPr>
          <w:r>
            <w:rPr>
              <w:rFonts w:hint="cs"/>
              <w:noProof/>
              <w:rtl/>
            </w:rPr>
            <w:t xml:space="preserve">פיני יחזקאלי. (2 מאי 2014). </w:t>
          </w:r>
          <w:r>
            <w:rPr>
              <w:rFonts w:hint="cs"/>
              <w:i/>
              <w:iCs/>
              <w:noProof/>
              <w:rtl/>
            </w:rPr>
            <w:t>המשילות והשלכותיה על הביטחון הלאומי -מבוא.</w:t>
          </w:r>
          <w:r>
            <w:rPr>
              <w:rFonts w:hint="cs"/>
              <w:noProof/>
              <w:rtl/>
            </w:rPr>
            <w:t xml:space="preserve"> אוחזר ב- 28 ינואר 2019, מתוך ייצור ידע : </w:t>
          </w:r>
          <w:r>
            <w:rPr>
              <w:rFonts w:hint="cs"/>
              <w:noProof/>
            </w:rPr>
            <w:t>http://www</w:t>
          </w:r>
          <w:r>
            <w:rPr>
              <w:rFonts w:hint="cs"/>
              <w:noProof/>
              <w:rtl/>
            </w:rPr>
            <w:t>.ידע.</w:t>
          </w:r>
          <w:r>
            <w:rPr>
              <w:rFonts w:hint="cs"/>
              <w:noProof/>
            </w:rPr>
            <w:t>com/wiki</w:t>
          </w:r>
          <w:r>
            <w:rPr>
              <w:rFonts w:hint="cs"/>
              <w:noProof/>
              <w:rtl/>
            </w:rPr>
            <w:t>/מושגים בביטחון לאומי/המשילות והשלכותיה על הביטחון הלאומי</w:t>
          </w:r>
        </w:p>
        <w:p w:rsidR="00A262C2" w:rsidRDefault="00A262C2" w:rsidP="00A262C2">
          <w:pPr>
            <w:pStyle w:val="ab"/>
            <w:bidi/>
            <w:rPr>
              <w:rFonts w:hint="cs"/>
              <w:noProof/>
              <w:rtl/>
            </w:rPr>
          </w:pPr>
          <w:r>
            <w:rPr>
              <w:rFonts w:hint="cs"/>
              <w:noProof/>
              <w:rtl/>
            </w:rPr>
            <w:t xml:space="preserve">פיני יחזקאלי. (12 אפריל 2014). </w:t>
          </w:r>
          <w:r>
            <w:rPr>
              <w:rFonts w:hint="cs"/>
              <w:i/>
              <w:iCs/>
              <w:noProof/>
              <w:rtl/>
            </w:rPr>
            <w:t>התוצאות הבלתי צפויות.</w:t>
          </w:r>
          <w:r>
            <w:rPr>
              <w:rFonts w:hint="cs"/>
              <w:noProof/>
              <w:rtl/>
            </w:rPr>
            <w:t xml:space="preserve"> אוחזר ב- 29 ינואר 2019, מתוך ייצור ידע: </w:t>
          </w:r>
          <w:r>
            <w:rPr>
              <w:rFonts w:hint="cs"/>
              <w:noProof/>
            </w:rPr>
            <w:t>http://www</w:t>
          </w:r>
          <w:r>
            <w:rPr>
              <w:rFonts w:hint="cs"/>
              <w:noProof/>
              <w:rtl/>
            </w:rPr>
            <w:t>.ידע.</w:t>
          </w:r>
          <w:r>
            <w:rPr>
              <w:rFonts w:hint="cs"/>
              <w:noProof/>
            </w:rPr>
            <w:t>com</w:t>
          </w:r>
        </w:p>
        <w:p w:rsidR="00A262C2" w:rsidRDefault="00A262C2" w:rsidP="00A262C2">
          <w:pPr>
            <w:pStyle w:val="ab"/>
            <w:bidi/>
            <w:rPr>
              <w:rFonts w:hint="cs"/>
              <w:noProof/>
              <w:rtl/>
            </w:rPr>
          </w:pPr>
          <w:r>
            <w:rPr>
              <w:rFonts w:hint="cs"/>
              <w:noProof/>
              <w:rtl/>
            </w:rPr>
            <w:t xml:space="preserve">פיני יחזקאלי. (24 מאי 2014). </w:t>
          </w:r>
          <w:r>
            <w:rPr>
              <w:rFonts w:hint="cs"/>
              <w:i/>
              <w:iCs/>
              <w:noProof/>
              <w:rtl/>
            </w:rPr>
            <w:t>טרור ופשיעה</w:t>
          </w:r>
          <w:r>
            <w:rPr>
              <w:rFonts w:hint="cs"/>
              <w:noProof/>
              <w:rtl/>
            </w:rPr>
            <w:t xml:space="preserve">. אוחזר ב- 27 פברואר 2019, מתוך ייצור ידע: </w:t>
          </w:r>
          <w:r>
            <w:rPr>
              <w:rFonts w:hint="cs"/>
              <w:noProof/>
            </w:rPr>
            <w:t>http://www.xn--7dbl2a.com/2014/05/24/%D7%98%D7%A8%D7%95%D7%A8-%D7%95%D7%A4%D7%A9%D7%99%D7%A2%D7%94/#sthash.D9enb49Q.GX0TSe42.dpbs</w:t>
          </w:r>
        </w:p>
        <w:p w:rsidR="00A262C2" w:rsidRDefault="00A262C2" w:rsidP="00A262C2">
          <w:pPr>
            <w:pStyle w:val="ab"/>
            <w:bidi/>
            <w:rPr>
              <w:rFonts w:hint="cs"/>
              <w:noProof/>
              <w:rtl/>
            </w:rPr>
          </w:pPr>
          <w:r>
            <w:rPr>
              <w:rFonts w:hint="cs"/>
              <w:noProof/>
              <w:rtl/>
            </w:rPr>
            <w:t xml:space="preserve">פיני יחזקאלי. (8 ינואר 2018). </w:t>
          </w:r>
          <w:r>
            <w:rPr>
              <w:rFonts w:hint="cs"/>
              <w:i/>
              <w:iCs/>
              <w:noProof/>
              <w:rtl/>
            </w:rPr>
            <w:t>קוטייר עודה: אין קווים אדומים!</w:t>
          </w:r>
          <w:r>
            <w:rPr>
              <w:rFonts w:hint="cs"/>
              <w:noProof/>
              <w:rtl/>
            </w:rPr>
            <w:t xml:space="preserve"> אוחזר ב- 29 ינואר 2019, מתוך ייצור יידע: </w:t>
          </w:r>
          <w:r>
            <w:rPr>
              <w:rFonts w:hint="cs"/>
              <w:noProof/>
            </w:rPr>
            <w:t>http://www</w:t>
          </w:r>
          <w:r>
            <w:rPr>
              <w:rFonts w:hint="cs"/>
              <w:noProof/>
              <w:rtl/>
            </w:rPr>
            <w:t>.ידע.</w:t>
          </w:r>
          <w:r>
            <w:rPr>
              <w:rFonts w:hint="cs"/>
              <w:noProof/>
            </w:rPr>
            <w:t>com</w:t>
          </w:r>
        </w:p>
        <w:p w:rsidR="00A262C2" w:rsidRDefault="00A262C2" w:rsidP="00A262C2">
          <w:pPr>
            <w:pStyle w:val="ab"/>
            <w:bidi/>
            <w:rPr>
              <w:rFonts w:hint="cs"/>
              <w:noProof/>
              <w:rtl/>
            </w:rPr>
          </w:pPr>
          <w:r>
            <w:rPr>
              <w:rFonts w:hint="cs"/>
              <w:noProof/>
              <w:rtl/>
            </w:rPr>
            <w:t>פעיל פוליטי וחברתי בנצרת סלים גומד. (18 12 2018). אלימות ונשק בחברה הערבית. (יגאל חדד, מראיין)</w:t>
          </w:r>
        </w:p>
        <w:p w:rsidR="00A262C2" w:rsidRDefault="00A262C2" w:rsidP="00A262C2">
          <w:pPr>
            <w:pStyle w:val="ab"/>
            <w:bidi/>
            <w:rPr>
              <w:rFonts w:hint="cs"/>
              <w:noProof/>
              <w:rtl/>
            </w:rPr>
          </w:pPr>
          <w:r>
            <w:rPr>
              <w:rFonts w:hint="cs"/>
              <w:noProof/>
              <w:rtl/>
            </w:rPr>
            <w:t xml:space="preserve">ראדה חסייסי ונעמה טשנר. (2014). </w:t>
          </w:r>
          <w:r>
            <w:rPr>
              <w:rFonts w:hint="cs"/>
              <w:i/>
              <w:iCs/>
              <w:noProof/>
              <w:rtl/>
            </w:rPr>
            <w:t>מדיניות הטיפול של המשרד לביטחון הפנים והמשטרה באלימות חמורה בחברה הערבית.</w:t>
          </w:r>
          <w:r>
            <w:rPr>
              <w:rFonts w:hint="cs"/>
              <w:noProof/>
              <w:rtl/>
            </w:rPr>
            <w:t xml:space="preserve"> ירושלים: מרכז המחקר והמידע של הכנסת.</w:t>
          </w:r>
        </w:p>
        <w:p w:rsidR="00A262C2" w:rsidRDefault="00A262C2" w:rsidP="00A262C2">
          <w:pPr>
            <w:pStyle w:val="ab"/>
            <w:bidi/>
            <w:rPr>
              <w:rFonts w:hint="cs"/>
              <w:noProof/>
              <w:rtl/>
            </w:rPr>
          </w:pPr>
          <w:r>
            <w:rPr>
              <w:rFonts w:hint="cs"/>
              <w:noProof/>
              <w:rtl/>
            </w:rPr>
            <w:lastRenderedPageBreak/>
            <w:t xml:space="preserve">רסול סעדה ועדי שטיין. (2017). </w:t>
          </w:r>
          <w:r>
            <w:rPr>
              <w:rFonts w:hint="cs"/>
              <w:i/>
              <w:iCs/>
              <w:noProof/>
              <w:rtl/>
            </w:rPr>
            <w:t>מדד הביטחון האישי- אלימות פשיעה ושיטור ביישובים הערביים.</w:t>
          </w:r>
          <w:r>
            <w:rPr>
              <w:rFonts w:hint="cs"/>
              <w:noProof/>
              <w:rtl/>
            </w:rPr>
            <w:t xml:space="preserve"> לוד: יוזמות קרן אברהם.</w:t>
          </w:r>
        </w:p>
        <w:p w:rsidR="00A262C2" w:rsidRDefault="00A262C2" w:rsidP="00A262C2">
          <w:pPr>
            <w:pStyle w:val="ab"/>
            <w:bidi/>
            <w:rPr>
              <w:rFonts w:hint="cs"/>
              <w:noProof/>
              <w:rtl/>
            </w:rPr>
          </w:pPr>
          <w:r>
            <w:rPr>
              <w:rFonts w:hint="cs"/>
              <w:noProof/>
              <w:rtl/>
            </w:rPr>
            <w:t>רסול סעדה ורות לוין. (29 נובמבר 2018). פעילות קרן אברהם בתחום חברה בטוחה. (יגאל חדד, מראיין)</w:t>
          </w:r>
        </w:p>
        <w:p w:rsidR="00A262C2" w:rsidRDefault="00A262C2" w:rsidP="00A262C2">
          <w:r>
            <w:fldChar w:fldCharType="end"/>
          </w:r>
        </w:p>
      </w:sdtContent>
    </w:sdt>
    <w:p w:rsidR="000C04AE" w:rsidRPr="006108DB" w:rsidRDefault="000C04AE" w:rsidP="000C04AE">
      <w:pPr>
        <w:bidi/>
        <w:spacing w:line="360" w:lineRule="auto"/>
        <w:ind w:left="-46"/>
        <w:jc w:val="both"/>
        <w:rPr>
          <w:rFonts w:ascii="David" w:hAnsi="David" w:cs="David" w:hint="cs"/>
          <w:sz w:val="24"/>
          <w:szCs w:val="24"/>
          <w:shd w:val="clear" w:color="auto" w:fill="FFFFFF"/>
          <w:rtl/>
        </w:rPr>
      </w:pPr>
    </w:p>
    <w:sectPr w:rsidR="000C04AE" w:rsidRPr="006108DB" w:rsidSect="00602982">
      <w:footerReference w:type="default" r:id="rId15"/>
      <w:headerReference w:type="first" r:id="rId16"/>
      <w:pgSz w:w="11906" w:h="16838" w:code="9"/>
      <w:pgMar w:top="1440" w:right="1440" w:bottom="1440" w:left="1440" w:header="706" w:footer="706" w:gutter="0"/>
      <w:pgNumType w:start="0"/>
      <w:cols w:space="708"/>
      <w:titlePg/>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66E0" w:rsidRDefault="007E66E0" w:rsidP="00DB5232">
      <w:pPr>
        <w:spacing w:after="0" w:line="240" w:lineRule="auto"/>
      </w:pPr>
      <w:r>
        <w:separator/>
      </w:r>
    </w:p>
  </w:endnote>
  <w:endnote w:type="continuationSeparator" w:id="1">
    <w:p w:rsidR="007E66E0" w:rsidRDefault="007E66E0" w:rsidP="00DB52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1213756"/>
      <w:docPartObj>
        <w:docPartGallery w:val="Page Numbers (Bottom of Page)"/>
        <w:docPartUnique/>
      </w:docPartObj>
    </w:sdtPr>
    <w:sdtContent>
      <w:p w:rsidR="000C04AE" w:rsidRDefault="000C04AE">
        <w:pPr>
          <w:pStyle w:val="a6"/>
        </w:pPr>
        <w:fldSimple w:instr=" PAGE   \* MERGEFORMAT ">
          <w:r w:rsidR="001E776F" w:rsidRPr="001E776F">
            <w:rPr>
              <w:rFonts w:cs="Calibri"/>
              <w:noProof/>
              <w:lang w:val="he-IL"/>
            </w:rPr>
            <w:t>1</w:t>
          </w:r>
        </w:fldSimple>
      </w:p>
    </w:sdtContent>
  </w:sdt>
  <w:p w:rsidR="000C04AE" w:rsidRDefault="000C04AE">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66E0" w:rsidRDefault="007E66E0" w:rsidP="00DB5232">
      <w:pPr>
        <w:spacing w:after="0" w:line="240" w:lineRule="auto"/>
      </w:pPr>
      <w:r>
        <w:separator/>
      </w:r>
    </w:p>
  </w:footnote>
  <w:footnote w:type="continuationSeparator" w:id="1">
    <w:p w:rsidR="007E66E0" w:rsidRDefault="007E66E0" w:rsidP="00DB5232">
      <w:pPr>
        <w:spacing w:after="0" w:line="240" w:lineRule="auto"/>
      </w:pPr>
      <w:r>
        <w:continuationSeparator/>
      </w:r>
    </w:p>
  </w:footnote>
  <w:footnote w:id="2">
    <w:p w:rsidR="000C04AE" w:rsidRDefault="000C04AE" w:rsidP="005C6480">
      <w:pPr>
        <w:pStyle w:val="ac"/>
        <w:bidi/>
        <w:rPr>
          <w:rFonts w:ascii="David" w:hAnsi="David" w:cs="David" w:hint="cs"/>
          <w:rtl/>
        </w:rPr>
      </w:pPr>
      <w:r w:rsidRPr="005C6480">
        <w:rPr>
          <w:rStyle w:val="ae"/>
          <w:rFonts w:ascii="David" w:hAnsi="David" w:cs="David"/>
        </w:rPr>
        <w:footnoteRef/>
      </w:r>
      <w:r w:rsidRPr="005C6480">
        <w:rPr>
          <w:rFonts w:ascii="David" w:hAnsi="David" w:cs="David"/>
        </w:rPr>
        <w:t xml:space="preserve"> </w:t>
      </w:r>
      <w:r>
        <w:rPr>
          <w:rFonts w:ascii="David" w:hAnsi="David" w:cs="David" w:hint="cs"/>
          <w:rtl/>
        </w:rPr>
        <w:t xml:space="preserve">   </w:t>
      </w:r>
      <w:r w:rsidRPr="005C6480">
        <w:rPr>
          <w:rFonts w:ascii="David" w:hAnsi="David" w:cs="David"/>
          <w:rtl/>
        </w:rPr>
        <w:t>מקורות אלה הם חלק מן המקורות ששימשו אותי בהכנת עבודת הגמר שהתמקדה בתופעת הנשק הבלתי חוקי בחברה</w:t>
      </w:r>
    </w:p>
    <w:p w:rsidR="000C04AE" w:rsidRPr="005C6480" w:rsidRDefault="000C04AE" w:rsidP="005C6480">
      <w:pPr>
        <w:pStyle w:val="ac"/>
        <w:bidi/>
        <w:rPr>
          <w:rFonts w:ascii="David" w:hAnsi="David" w:cs="David"/>
          <w:rtl/>
        </w:rPr>
      </w:pPr>
      <w:r>
        <w:rPr>
          <w:rFonts w:ascii="David" w:hAnsi="David" w:cs="David" w:hint="cs"/>
          <w:rtl/>
        </w:rPr>
        <w:t xml:space="preserve">   </w:t>
      </w:r>
      <w:r w:rsidRPr="005C6480">
        <w:rPr>
          <w:rFonts w:ascii="David" w:hAnsi="David" w:cs="David"/>
          <w:rtl/>
        </w:rPr>
        <w:t xml:space="preserve"> </w:t>
      </w:r>
      <w:r>
        <w:rPr>
          <w:rFonts w:ascii="David" w:hAnsi="David" w:cs="David" w:hint="cs"/>
          <w:rtl/>
        </w:rPr>
        <w:t xml:space="preserve"> </w:t>
      </w:r>
      <w:r w:rsidRPr="005C6480">
        <w:rPr>
          <w:rFonts w:ascii="David" w:hAnsi="David" w:cs="David"/>
          <w:rtl/>
        </w:rPr>
        <w:t>הערבית והיותה איום על הביטחון הלאומי של ישראל.</w:t>
      </w:r>
    </w:p>
  </w:footnote>
  <w:footnote w:id="3">
    <w:p w:rsidR="000C04AE" w:rsidRDefault="000C04AE" w:rsidP="00853398">
      <w:pPr>
        <w:pStyle w:val="ac"/>
        <w:bidi/>
        <w:rPr>
          <w:rFonts w:ascii="David" w:hAnsi="David" w:cs="David"/>
          <w:rtl/>
        </w:rPr>
      </w:pPr>
      <w:r w:rsidRPr="00853398">
        <w:rPr>
          <w:rStyle w:val="ae"/>
          <w:rFonts w:ascii="David" w:hAnsi="David" w:cs="David"/>
        </w:rPr>
        <w:footnoteRef/>
      </w:r>
      <w:r w:rsidRPr="00853398">
        <w:rPr>
          <w:rFonts w:ascii="David" w:hAnsi="David" w:cs="David"/>
        </w:rPr>
        <w:t xml:space="preserve"> </w:t>
      </w:r>
      <w:r>
        <w:rPr>
          <w:rFonts w:ascii="David" w:hAnsi="David" w:cs="David" w:hint="cs"/>
          <w:rtl/>
        </w:rPr>
        <w:t xml:space="preserve">  </w:t>
      </w:r>
      <w:r w:rsidRPr="00853398">
        <w:rPr>
          <w:rFonts w:ascii="David" w:hAnsi="David" w:cs="David"/>
          <w:rtl/>
        </w:rPr>
        <w:t>גישה או מדיניות המעדיפה להתעלם מכשל מסוים במקום לקחת אחריות, להתערב ולנהל מדיניות על מנת להביא לשיפור</w:t>
      </w:r>
    </w:p>
    <w:p w:rsidR="000C04AE" w:rsidRDefault="000C04AE" w:rsidP="00853398">
      <w:pPr>
        <w:pStyle w:val="ac"/>
        <w:bidi/>
        <w:rPr>
          <w:rFonts w:ascii="David" w:hAnsi="David" w:cs="David"/>
          <w:rtl/>
        </w:rPr>
      </w:pPr>
      <w:r>
        <w:rPr>
          <w:rFonts w:ascii="David" w:hAnsi="David" w:cs="David" w:hint="cs"/>
          <w:rtl/>
        </w:rPr>
        <w:t xml:space="preserve">   </w:t>
      </w:r>
      <w:r w:rsidRPr="00853398">
        <w:rPr>
          <w:rFonts w:ascii="David" w:hAnsi="David" w:cs="David"/>
          <w:rtl/>
        </w:rPr>
        <w:t xml:space="preserve"> המצב </w:t>
      </w:r>
    </w:p>
    <w:p w:rsidR="000C04AE" w:rsidRDefault="000C04AE" w:rsidP="009D1447">
      <w:pPr>
        <w:pStyle w:val="ac"/>
        <w:bidi/>
        <w:rPr>
          <w:rFonts w:ascii="David" w:hAnsi="David" w:cs="David"/>
          <w:rtl/>
        </w:rPr>
      </w:pPr>
    </w:p>
    <w:p w:rsidR="000C04AE" w:rsidRDefault="000C04AE" w:rsidP="009D1447">
      <w:pPr>
        <w:pStyle w:val="ac"/>
        <w:bidi/>
        <w:rPr>
          <w:rFonts w:ascii="David" w:hAnsi="David" w:cs="David"/>
          <w:rtl/>
        </w:rPr>
      </w:pPr>
    </w:p>
    <w:p w:rsidR="000C04AE" w:rsidRDefault="000C04AE" w:rsidP="009D1447">
      <w:pPr>
        <w:pStyle w:val="ac"/>
        <w:bidi/>
        <w:rPr>
          <w:rFonts w:ascii="David" w:hAnsi="David" w:cs="David"/>
          <w:rtl/>
        </w:rPr>
      </w:pPr>
    </w:p>
    <w:p w:rsidR="000C04AE" w:rsidRDefault="000C04AE" w:rsidP="009D1447">
      <w:pPr>
        <w:pStyle w:val="ac"/>
        <w:bidi/>
        <w:rPr>
          <w:rFonts w:ascii="David" w:hAnsi="David" w:cs="David"/>
          <w:rtl/>
        </w:rPr>
      </w:pPr>
    </w:p>
    <w:p w:rsidR="000C04AE" w:rsidRPr="00853398" w:rsidRDefault="000C04AE" w:rsidP="009D1447">
      <w:pPr>
        <w:pStyle w:val="ac"/>
        <w:bidi/>
        <w:rPr>
          <w:rFonts w:ascii="David" w:hAnsi="David" w:cs="David"/>
          <w:rtl/>
        </w:rPr>
      </w:pPr>
    </w:p>
  </w:footnote>
  <w:footnote w:id="4">
    <w:p w:rsidR="000C04AE" w:rsidRDefault="000C04AE" w:rsidP="00503768">
      <w:pPr>
        <w:pStyle w:val="ac"/>
        <w:bidi/>
        <w:spacing w:line="360" w:lineRule="auto"/>
        <w:rPr>
          <w:rFonts w:ascii="David" w:hAnsi="David" w:cs="David"/>
          <w:rtl/>
        </w:rPr>
      </w:pPr>
      <w:r>
        <w:rPr>
          <w:rStyle w:val="ae"/>
        </w:rPr>
        <w:footnoteRef/>
      </w:r>
      <w:r>
        <w:t xml:space="preserve"> </w:t>
      </w:r>
      <w:r>
        <w:rPr>
          <w:rFonts w:ascii="David" w:hAnsi="David" w:cs="David" w:hint="cs"/>
          <w:rtl/>
        </w:rPr>
        <w:t xml:space="preserve">   </w:t>
      </w:r>
      <w:r w:rsidRPr="00503768">
        <w:rPr>
          <w:rFonts w:ascii="David" w:hAnsi="David" w:cs="David"/>
          <w:rtl/>
        </w:rPr>
        <w:t xml:space="preserve">נקודת משטרה היא יחידת משטרה מקומית הכפופה לתחנה טריטוריאלית. הנקודה פועלת באזור ממוקד (כמו כפר, מועצה </w:t>
      </w:r>
    </w:p>
    <w:p w:rsidR="000C04AE" w:rsidRPr="00503768" w:rsidRDefault="000C04AE" w:rsidP="00503768">
      <w:pPr>
        <w:pStyle w:val="ac"/>
        <w:bidi/>
        <w:spacing w:line="360" w:lineRule="auto"/>
        <w:rPr>
          <w:rtl/>
        </w:rPr>
      </w:pPr>
      <w:r>
        <w:rPr>
          <w:rFonts w:ascii="David" w:hAnsi="David" w:cs="David" w:hint="cs"/>
          <w:rtl/>
        </w:rPr>
        <w:t xml:space="preserve">     </w:t>
      </w:r>
      <w:r w:rsidRPr="00503768">
        <w:rPr>
          <w:rFonts w:ascii="David" w:hAnsi="David" w:cs="David"/>
          <w:rtl/>
        </w:rPr>
        <w:t>מקומית או שכונה) בעיקר במתן שירותי משטרה בסיסיים ואחראית על ביסוס הקשר עם הקהילה המקומית</w:t>
      </w:r>
      <w:r>
        <w:rPr>
          <w:rFonts w:ascii="David" w:hAnsi="David" w:cs="David" w:hint="cs"/>
          <w:rtl/>
        </w:rPr>
        <w:t>.</w:t>
      </w:r>
      <w:r w:rsidRPr="00503768">
        <w:rPr>
          <w:rFonts w:ascii="David" w:hAnsi="David" w:cs="David"/>
          <w:rtl/>
        </w:rPr>
        <w:t xml:space="preserve"> </w:t>
      </w:r>
    </w:p>
  </w:footnote>
  <w:footnote w:id="5">
    <w:p w:rsidR="000C04AE" w:rsidRPr="00545DFC" w:rsidRDefault="000C04AE" w:rsidP="00545DFC">
      <w:pPr>
        <w:pStyle w:val="ac"/>
        <w:bidi/>
        <w:rPr>
          <w:rFonts w:ascii="David" w:hAnsi="David" w:cs="David"/>
          <w:rtl/>
        </w:rPr>
      </w:pPr>
      <w:r w:rsidRPr="00545DFC">
        <w:rPr>
          <w:rStyle w:val="ae"/>
          <w:rFonts w:ascii="David" w:hAnsi="David" w:cs="David"/>
        </w:rPr>
        <w:footnoteRef/>
      </w:r>
      <w:r w:rsidRPr="00545DFC">
        <w:rPr>
          <w:rFonts w:ascii="David" w:hAnsi="David" w:cs="David"/>
        </w:rPr>
        <w:t xml:space="preserve"> </w:t>
      </w:r>
      <w:r w:rsidRPr="00545DFC">
        <w:rPr>
          <w:rFonts w:ascii="David" w:hAnsi="David" w:cs="David"/>
          <w:rtl/>
        </w:rPr>
        <w:t>מרכז אמאן – המרכז הערבי לחברה בטוחה</w:t>
      </w:r>
      <w:r>
        <w:rPr>
          <w:rFonts w:ascii="David" w:hAnsi="David" w:cs="David" w:hint="cs"/>
          <w:rtl/>
        </w:rPr>
        <w:t xml:space="preserve"> ומאבק באלימות. נוסדה ב 2009 ע"י כמאל ריאן (היה ראש מועצת כפר ברא וסגן יור' השלטון המקומי ) לאחר שבנו הבכור נרצח.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4AE" w:rsidRDefault="000C04AE">
    <w:pPr>
      <w:pStyle w:val="a4"/>
    </w:pPr>
    <w:r>
      <w:rPr>
        <w:noProof/>
      </w:rPr>
      <w:drawing>
        <wp:anchor distT="0" distB="0" distL="114300" distR="114300" simplePos="0" relativeHeight="251658240" behindDoc="1" locked="0" layoutInCell="1" allowOverlap="1">
          <wp:simplePos x="0" y="0"/>
          <wp:positionH relativeFrom="column">
            <wp:posOffset>4438650</wp:posOffset>
          </wp:positionH>
          <wp:positionV relativeFrom="paragraph">
            <wp:posOffset>-200660</wp:posOffset>
          </wp:positionV>
          <wp:extent cx="719455" cy="902335"/>
          <wp:effectExtent l="0" t="0" r="4445" b="0"/>
          <wp:wrapNone/>
          <wp:docPr id="11" name="תמונה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719455" cy="90233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935C0"/>
    <w:multiLevelType w:val="hybridMultilevel"/>
    <w:tmpl w:val="77F0976A"/>
    <w:lvl w:ilvl="0" w:tplc="6860AACE">
      <w:numFmt w:val="bullet"/>
      <w:lvlText w:val=""/>
      <w:lvlJc w:val="left"/>
      <w:pPr>
        <w:ind w:left="674" w:hanging="360"/>
      </w:pPr>
      <w:rPr>
        <w:rFonts w:ascii="Symbol" w:eastAsiaTheme="minorHAnsi" w:hAnsi="Symbol" w:cs="David" w:hint="default"/>
      </w:rPr>
    </w:lvl>
    <w:lvl w:ilvl="1" w:tplc="04090003" w:tentative="1">
      <w:start w:val="1"/>
      <w:numFmt w:val="bullet"/>
      <w:lvlText w:val="o"/>
      <w:lvlJc w:val="left"/>
      <w:pPr>
        <w:ind w:left="1394" w:hanging="360"/>
      </w:pPr>
      <w:rPr>
        <w:rFonts w:ascii="Courier New" w:hAnsi="Courier New" w:cs="Courier New" w:hint="default"/>
      </w:rPr>
    </w:lvl>
    <w:lvl w:ilvl="2" w:tplc="04090005" w:tentative="1">
      <w:start w:val="1"/>
      <w:numFmt w:val="bullet"/>
      <w:lvlText w:val=""/>
      <w:lvlJc w:val="left"/>
      <w:pPr>
        <w:ind w:left="2114" w:hanging="360"/>
      </w:pPr>
      <w:rPr>
        <w:rFonts w:ascii="Wingdings" w:hAnsi="Wingdings" w:hint="default"/>
      </w:rPr>
    </w:lvl>
    <w:lvl w:ilvl="3" w:tplc="04090001" w:tentative="1">
      <w:start w:val="1"/>
      <w:numFmt w:val="bullet"/>
      <w:lvlText w:val=""/>
      <w:lvlJc w:val="left"/>
      <w:pPr>
        <w:ind w:left="2834" w:hanging="360"/>
      </w:pPr>
      <w:rPr>
        <w:rFonts w:ascii="Symbol" w:hAnsi="Symbol" w:hint="default"/>
      </w:rPr>
    </w:lvl>
    <w:lvl w:ilvl="4" w:tplc="04090003" w:tentative="1">
      <w:start w:val="1"/>
      <w:numFmt w:val="bullet"/>
      <w:lvlText w:val="o"/>
      <w:lvlJc w:val="left"/>
      <w:pPr>
        <w:ind w:left="3554" w:hanging="360"/>
      </w:pPr>
      <w:rPr>
        <w:rFonts w:ascii="Courier New" w:hAnsi="Courier New" w:cs="Courier New" w:hint="default"/>
      </w:rPr>
    </w:lvl>
    <w:lvl w:ilvl="5" w:tplc="04090005" w:tentative="1">
      <w:start w:val="1"/>
      <w:numFmt w:val="bullet"/>
      <w:lvlText w:val=""/>
      <w:lvlJc w:val="left"/>
      <w:pPr>
        <w:ind w:left="4274" w:hanging="360"/>
      </w:pPr>
      <w:rPr>
        <w:rFonts w:ascii="Wingdings" w:hAnsi="Wingdings" w:hint="default"/>
      </w:rPr>
    </w:lvl>
    <w:lvl w:ilvl="6" w:tplc="04090001" w:tentative="1">
      <w:start w:val="1"/>
      <w:numFmt w:val="bullet"/>
      <w:lvlText w:val=""/>
      <w:lvlJc w:val="left"/>
      <w:pPr>
        <w:ind w:left="4994" w:hanging="360"/>
      </w:pPr>
      <w:rPr>
        <w:rFonts w:ascii="Symbol" w:hAnsi="Symbol" w:hint="default"/>
      </w:rPr>
    </w:lvl>
    <w:lvl w:ilvl="7" w:tplc="04090003" w:tentative="1">
      <w:start w:val="1"/>
      <w:numFmt w:val="bullet"/>
      <w:lvlText w:val="o"/>
      <w:lvlJc w:val="left"/>
      <w:pPr>
        <w:ind w:left="5714" w:hanging="360"/>
      </w:pPr>
      <w:rPr>
        <w:rFonts w:ascii="Courier New" w:hAnsi="Courier New" w:cs="Courier New" w:hint="default"/>
      </w:rPr>
    </w:lvl>
    <w:lvl w:ilvl="8" w:tplc="04090005" w:tentative="1">
      <w:start w:val="1"/>
      <w:numFmt w:val="bullet"/>
      <w:lvlText w:val=""/>
      <w:lvlJc w:val="left"/>
      <w:pPr>
        <w:ind w:left="6434" w:hanging="360"/>
      </w:pPr>
      <w:rPr>
        <w:rFonts w:ascii="Wingdings" w:hAnsi="Wingdings" w:hint="default"/>
      </w:rPr>
    </w:lvl>
  </w:abstractNum>
  <w:abstractNum w:abstractNumId="1">
    <w:nsid w:val="0747707E"/>
    <w:multiLevelType w:val="hybridMultilevel"/>
    <w:tmpl w:val="A0AA14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A73605"/>
    <w:multiLevelType w:val="hybridMultilevel"/>
    <w:tmpl w:val="96C6A164"/>
    <w:lvl w:ilvl="0" w:tplc="131686EC">
      <w:start w:val="1"/>
      <w:numFmt w:val="decimal"/>
      <w:lvlText w:val="%1."/>
      <w:lvlJc w:val="left"/>
      <w:pPr>
        <w:ind w:left="314" w:hanging="360"/>
      </w:pPr>
      <w:rPr>
        <w:rFonts w:hint="default"/>
      </w:rPr>
    </w:lvl>
    <w:lvl w:ilvl="1" w:tplc="04090019" w:tentative="1">
      <w:start w:val="1"/>
      <w:numFmt w:val="lowerLetter"/>
      <w:lvlText w:val="%2."/>
      <w:lvlJc w:val="left"/>
      <w:pPr>
        <w:ind w:left="1034" w:hanging="360"/>
      </w:pPr>
    </w:lvl>
    <w:lvl w:ilvl="2" w:tplc="0409001B" w:tentative="1">
      <w:start w:val="1"/>
      <w:numFmt w:val="lowerRoman"/>
      <w:lvlText w:val="%3."/>
      <w:lvlJc w:val="right"/>
      <w:pPr>
        <w:ind w:left="1754" w:hanging="180"/>
      </w:pPr>
    </w:lvl>
    <w:lvl w:ilvl="3" w:tplc="0409000F" w:tentative="1">
      <w:start w:val="1"/>
      <w:numFmt w:val="decimal"/>
      <w:lvlText w:val="%4."/>
      <w:lvlJc w:val="left"/>
      <w:pPr>
        <w:ind w:left="2474" w:hanging="360"/>
      </w:pPr>
    </w:lvl>
    <w:lvl w:ilvl="4" w:tplc="04090019" w:tentative="1">
      <w:start w:val="1"/>
      <w:numFmt w:val="lowerLetter"/>
      <w:lvlText w:val="%5."/>
      <w:lvlJc w:val="left"/>
      <w:pPr>
        <w:ind w:left="3194" w:hanging="360"/>
      </w:pPr>
    </w:lvl>
    <w:lvl w:ilvl="5" w:tplc="0409001B" w:tentative="1">
      <w:start w:val="1"/>
      <w:numFmt w:val="lowerRoman"/>
      <w:lvlText w:val="%6."/>
      <w:lvlJc w:val="right"/>
      <w:pPr>
        <w:ind w:left="3914" w:hanging="180"/>
      </w:pPr>
    </w:lvl>
    <w:lvl w:ilvl="6" w:tplc="0409000F" w:tentative="1">
      <w:start w:val="1"/>
      <w:numFmt w:val="decimal"/>
      <w:lvlText w:val="%7."/>
      <w:lvlJc w:val="left"/>
      <w:pPr>
        <w:ind w:left="4634" w:hanging="360"/>
      </w:pPr>
    </w:lvl>
    <w:lvl w:ilvl="7" w:tplc="04090019" w:tentative="1">
      <w:start w:val="1"/>
      <w:numFmt w:val="lowerLetter"/>
      <w:lvlText w:val="%8."/>
      <w:lvlJc w:val="left"/>
      <w:pPr>
        <w:ind w:left="5354" w:hanging="360"/>
      </w:pPr>
    </w:lvl>
    <w:lvl w:ilvl="8" w:tplc="0409001B" w:tentative="1">
      <w:start w:val="1"/>
      <w:numFmt w:val="lowerRoman"/>
      <w:lvlText w:val="%9."/>
      <w:lvlJc w:val="right"/>
      <w:pPr>
        <w:ind w:left="6074" w:hanging="180"/>
      </w:pPr>
    </w:lvl>
  </w:abstractNum>
  <w:abstractNum w:abstractNumId="3">
    <w:nsid w:val="0954126D"/>
    <w:multiLevelType w:val="hybridMultilevel"/>
    <w:tmpl w:val="1AD25B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C40255C"/>
    <w:multiLevelType w:val="hybridMultilevel"/>
    <w:tmpl w:val="1598DAAA"/>
    <w:lvl w:ilvl="0" w:tplc="0CDE1474">
      <w:start w:val="1"/>
      <w:numFmt w:val="decimal"/>
      <w:lvlText w:val="%1."/>
      <w:lvlJc w:val="left"/>
      <w:pPr>
        <w:ind w:left="314" w:hanging="360"/>
      </w:pPr>
      <w:rPr>
        <w:rFonts w:hint="default"/>
      </w:rPr>
    </w:lvl>
    <w:lvl w:ilvl="1" w:tplc="04090019" w:tentative="1">
      <w:start w:val="1"/>
      <w:numFmt w:val="lowerLetter"/>
      <w:lvlText w:val="%2."/>
      <w:lvlJc w:val="left"/>
      <w:pPr>
        <w:ind w:left="1034" w:hanging="360"/>
      </w:pPr>
    </w:lvl>
    <w:lvl w:ilvl="2" w:tplc="0409001B" w:tentative="1">
      <w:start w:val="1"/>
      <w:numFmt w:val="lowerRoman"/>
      <w:lvlText w:val="%3."/>
      <w:lvlJc w:val="right"/>
      <w:pPr>
        <w:ind w:left="1754" w:hanging="180"/>
      </w:pPr>
    </w:lvl>
    <w:lvl w:ilvl="3" w:tplc="0409000F" w:tentative="1">
      <w:start w:val="1"/>
      <w:numFmt w:val="decimal"/>
      <w:lvlText w:val="%4."/>
      <w:lvlJc w:val="left"/>
      <w:pPr>
        <w:ind w:left="2474" w:hanging="360"/>
      </w:pPr>
    </w:lvl>
    <w:lvl w:ilvl="4" w:tplc="04090019" w:tentative="1">
      <w:start w:val="1"/>
      <w:numFmt w:val="lowerLetter"/>
      <w:lvlText w:val="%5."/>
      <w:lvlJc w:val="left"/>
      <w:pPr>
        <w:ind w:left="3194" w:hanging="360"/>
      </w:pPr>
    </w:lvl>
    <w:lvl w:ilvl="5" w:tplc="0409001B" w:tentative="1">
      <w:start w:val="1"/>
      <w:numFmt w:val="lowerRoman"/>
      <w:lvlText w:val="%6."/>
      <w:lvlJc w:val="right"/>
      <w:pPr>
        <w:ind w:left="3914" w:hanging="180"/>
      </w:pPr>
    </w:lvl>
    <w:lvl w:ilvl="6" w:tplc="0409000F" w:tentative="1">
      <w:start w:val="1"/>
      <w:numFmt w:val="decimal"/>
      <w:lvlText w:val="%7."/>
      <w:lvlJc w:val="left"/>
      <w:pPr>
        <w:ind w:left="4634" w:hanging="360"/>
      </w:pPr>
    </w:lvl>
    <w:lvl w:ilvl="7" w:tplc="04090019" w:tentative="1">
      <w:start w:val="1"/>
      <w:numFmt w:val="lowerLetter"/>
      <w:lvlText w:val="%8."/>
      <w:lvlJc w:val="left"/>
      <w:pPr>
        <w:ind w:left="5354" w:hanging="360"/>
      </w:pPr>
    </w:lvl>
    <w:lvl w:ilvl="8" w:tplc="0409001B" w:tentative="1">
      <w:start w:val="1"/>
      <w:numFmt w:val="lowerRoman"/>
      <w:lvlText w:val="%9."/>
      <w:lvlJc w:val="right"/>
      <w:pPr>
        <w:ind w:left="6074" w:hanging="180"/>
      </w:pPr>
    </w:lvl>
  </w:abstractNum>
  <w:abstractNum w:abstractNumId="5">
    <w:nsid w:val="117208DF"/>
    <w:multiLevelType w:val="hybridMultilevel"/>
    <w:tmpl w:val="066A4FBA"/>
    <w:lvl w:ilvl="0" w:tplc="3EDCE21C">
      <w:start w:val="1"/>
      <w:numFmt w:val="hebrew1"/>
      <w:lvlText w:val="%1."/>
      <w:lvlJc w:val="left"/>
      <w:pPr>
        <w:ind w:left="314" w:hanging="360"/>
      </w:pPr>
      <w:rPr>
        <w:rFonts w:hint="default"/>
      </w:rPr>
    </w:lvl>
    <w:lvl w:ilvl="1" w:tplc="04090019" w:tentative="1">
      <w:start w:val="1"/>
      <w:numFmt w:val="lowerLetter"/>
      <w:lvlText w:val="%2."/>
      <w:lvlJc w:val="left"/>
      <w:pPr>
        <w:ind w:left="1034" w:hanging="360"/>
      </w:pPr>
    </w:lvl>
    <w:lvl w:ilvl="2" w:tplc="0409001B" w:tentative="1">
      <w:start w:val="1"/>
      <w:numFmt w:val="lowerRoman"/>
      <w:lvlText w:val="%3."/>
      <w:lvlJc w:val="right"/>
      <w:pPr>
        <w:ind w:left="1754" w:hanging="180"/>
      </w:pPr>
    </w:lvl>
    <w:lvl w:ilvl="3" w:tplc="0409000F" w:tentative="1">
      <w:start w:val="1"/>
      <w:numFmt w:val="decimal"/>
      <w:lvlText w:val="%4."/>
      <w:lvlJc w:val="left"/>
      <w:pPr>
        <w:ind w:left="2474" w:hanging="360"/>
      </w:pPr>
    </w:lvl>
    <w:lvl w:ilvl="4" w:tplc="04090019" w:tentative="1">
      <w:start w:val="1"/>
      <w:numFmt w:val="lowerLetter"/>
      <w:lvlText w:val="%5."/>
      <w:lvlJc w:val="left"/>
      <w:pPr>
        <w:ind w:left="3194" w:hanging="360"/>
      </w:pPr>
    </w:lvl>
    <w:lvl w:ilvl="5" w:tplc="0409001B" w:tentative="1">
      <w:start w:val="1"/>
      <w:numFmt w:val="lowerRoman"/>
      <w:lvlText w:val="%6."/>
      <w:lvlJc w:val="right"/>
      <w:pPr>
        <w:ind w:left="3914" w:hanging="180"/>
      </w:pPr>
    </w:lvl>
    <w:lvl w:ilvl="6" w:tplc="0409000F" w:tentative="1">
      <w:start w:val="1"/>
      <w:numFmt w:val="decimal"/>
      <w:lvlText w:val="%7."/>
      <w:lvlJc w:val="left"/>
      <w:pPr>
        <w:ind w:left="4634" w:hanging="360"/>
      </w:pPr>
    </w:lvl>
    <w:lvl w:ilvl="7" w:tplc="04090019" w:tentative="1">
      <w:start w:val="1"/>
      <w:numFmt w:val="lowerLetter"/>
      <w:lvlText w:val="%8."/>
      <w:lvlJc w:val="left"/>
      <w:pPr>
        <w:ind w:left="5354" w:hanging="360"/>
      </w:pPr>
    </w:lvl>
    <w:lvl w:ilvl="8" w:tplc="0409001B" w:tentative="1">
      <w:start w:val="1"/>
      <w:numFmt w:val="lowerRoman"/>
      <w:lvlText w:val="%9."/>
      <w:lvlJc w:val="right"/>
      <w:pPr>
        <w:ind w:left="6074" w:hanging="180"/>
      </w:pPr>
    </w:lvl>
  </w:abstractNum>
  <w:abstractNum w:abstractNumId="6">
    <w:nsid w:val="13711239"/>
    <w:multiLevelType w:val="hybridMultilevel"/>
    <w:tmpl w:val="087A74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CF0E17"/>
    <w:multiLevelType w:val="hybridMultilevel"/>
    <w:tmpl w:val="F9888C34"/>
    <w:lvl w:ilvl="0" w:tplc="D5A2325A">
      <w:start w:val="1"/>
      <w:numFmt w:val="hebrew1"/>
      <w:lvlText w:val="%1."/>
      <w:lvlJc w:val="left"/>
      <w:pPr>
        <w:ind w:left="314" w:hanging="360"/>
      </w:pPr>
      <w:rPr>
        <w:rFonts w:hint="default"/>
      </w:rPr>
    </w:lvl>
    <w:lvl w:ilvl="1" w:tplc="04090019" w:tentative="1">
      <w:start w:val="1"/>
      <w:numFmt w:val="lowerLetter"/>
      <w:lvlText w:val="%2."/>
      <w:lvlJc w:val="left"/>
      <w:pPr>
        <w:ind w:left="1034" w:hanging="360"/>
      </w:pPr>
    </w:lvl>
    <w:lvl w:ilvl="2" w:tplc="0409001B" w:tentative="1">
      <w:start w:val="1"/>
      <w:numFmt w:val="lowerRoman"/>
      <w:lvlText w:val="%3."/>
      <w:lvlJc w:val="right"/>
      <w:pPr>
        <w:ind w:left="1754" w:hanging="180"/>
      </w:pPr>
    </w:lvl>
    <w:lvl w:ilvl="3" w:tplc="0409000F" w:tentative="1">
      <w:start w:val="1"/>
      <w:numFmt w:val="decimal"/>
      <w:lvlText w:val="%4."/>
      <w:lvlJc w:val="left"/>
      <w:pPr>
        <w:ind w:left="2474" w:hanging="360"/>
      </w:pPr>
    </w:lvl>
    <w:lvl w:ilvl="4" w:tplc="04090019" w:tentative="1">
      <w:start w:val="1"/>
      <w:numFmt w:val="lowerLetter"/>
      <w:lvlText w:val="%5."/>
      <w:lvlJc w:val="left"/>
      <w:pPr>
        <w:ind w:left="3194" w:hanging="360"/>
      </w:pPr>
    </w:lvl>
    <w:lvl w:ilvl="5" w:tplc="0409001B" w:tentative="1">
      <w:start w:val="1"/>
      <w:numFmt w:val="lowerRoman"/>
      <w:lvlText w:val="%6."/>
      <w:lvlJc w:val="right"/>
      <w:pPr>
        <w:ind w:left="3914" w:hanging="180"/>
      </w:pPr>
    </w:lvl>
    <w:lvl w:ilvl="6" w:tplc="0409000F" w:tentative="1">
      <w:start w:val="1"/>
      <w:numFmt w:val="decimal"/>
      <w:lvlText w:val="%7."/>
      <w:lvlJc w:val="left"/>
      <w:pPr>
        <w:ind w:left="4634" w:hanging="360"/>
      </w:pPr>
    </w:lvl>
    <w:lvl w:ilvl="7" w:tplc="04090019" w:tentative="1">
      <w:start w:val="1"/>
      <w:numFmt w:val="lowerLetter"/>
      <w:lvlText w:val="%8."/>
      <w:lvlJc w:val="left"/>
      <w:pPr>
        <w:ind w:left="5354" w:hanging="360"/>
      </w:pPr>
    </w:lvl>
    <w:lvl w:ilvl="8" w:tplc="0409001B" w:tentative="1">
      <w:start w:val="1"/>
      <w:numFmt w:val="lowerRoman"/>
      <w:lvlText w:val="%9."/>
      <w:lvlJc w:val="right"/>
      <w:pPr>
        <w:ind w:left="6074" w:hanging="180"/>
      </w:pPr>
    </w:lvl>
  </w:abstractNum>
  <w:abstractNum w:abstractNumId="8">
    <w:nsid w:val="16415D79"/>
    <w:multiLevelType w:val="hybridMultilevel"/>
    <w:tmpl w:val="97DAEE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8052B46"/>
    <w:multiLevelType w:val="hybridMultilevel"/>
    <w:tmpl w:val="2D8EFC10"/>
    <w:lvl w:ilvl="0" w:tplc="57FCD42C">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F5A6C4D"/>
    <w:multiLevelType w:val="hybridMultilevel"/>
    <w:tmpl w:val="13AC1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500D91"/>
    <w:multiLevelType w:val="hybridMultilevel"/>
    <w:tmpl w:val="92AC78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6D62C90"/>
    <w:multiLevelType w:val="hybridMultilevel"/>
    <w:tmpl w:val="67720F4E"/>
    <w:lvl w:ilvl="0" w:tplc="43126028">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6F11E2F"/>
    <w:multiLevelType w:val="hybridMultilevel"/>
    <w:tmpl w:val="7B82B56A"/>
    <w:lvl w:ilvl="0" w:tplc="2DF8F7DC">
      <w:start w:val="1"/>
      <w:numFmt w:val="decimal"/>
      <w:lvlText w:val="%1."/>
      <w:lvlJc w:val="left"/>
      <w:pPr>
        <w:ind w:left="314" w:hanging="360"/>
      </w:pPr>
      <w:rPr>
        <w:rFonts w:hint="default"/>
      </w:rPr>
    </w:lvl>
    <w:lvl w:ilvl="1" w:tplc="04090019" w:tentative="1">
      <w:start w:val="1"/>
      <w:numFmt w:val="lowerLetter"/>
      <w:lvlText w:val="%2."/>
      <w:lvlJc w:val="left"/>
      <w:pPr>
        <w:ind w:left="1034" w:hanging="360"/>
      </w:pPr>
    </w:lvl>
    <w:lvl w:ilvl="2" w:tplc="0409001B" w:tentative="1">
      <w:start w:val="1"/>
      <w:numFmt w:val="lowerRoman"/>
      <w:lvlText w:val="%3."/>
      <w:lvlJc w:val="right"/>
      <w:pPr>
        <w:ind w:left="1754" w:hanging="180"/>
      </w:pPr>
    </w:lvl>
    <w:lvl w:ilvl="3" w:tplc="0409000F" w:tentative="1">
      <w:start w:val="1"/>
      <w:numFmt w:val="decimal"/>
      <w:lvlText w:val="%4."/>
      <w:lvlJc w:val="left"/>
      <w:pPr>
        <w:ind w:left="2474" w:hanging="360"/>
      </w:pPr>
    </w:lvl>
    <w:lvl w:ilvl="4" w:tplc="04090019" w:tentative="1">
      <w:start w:val="1"/>
      <w:numFmt w:val="lowerLetter"/>
      <w:lvlText w:val="%5."/>
      <w:lvlJc w:val="left"/>
      <w:pPr>
        <w:ind w:left="3194" w:hanging="360"/>
      </w:pPr>
    </w:lvl>
    <w:lvl w:ilvl="5" w:tplc="0409001B" w:tentative="1">
      <w:start w:val="1"/>
      <w:numFmt w:val="lowerRoman"/>
      <w:lvlText w:val="%6."/>
      <w:lvlJc w:val="right"/>
      <w:pPr>
        <w:ind w:left="3914" w:hanging="180"/>
      </w:pPr>
    </w:lvl>
    <w:lvl w:ilvl="6" w:tplc="0409000F" w:tentative="1">
      <w:start w:val="1"/>
      <w:numFmt w:val="decimal"/>
      <w:lvlText w:val="%7."/>
      <w:lvlJc w:val="left"/>
      <w:pPr>
        <w:ind w:left="4634" w:hanging="360"/>
      </w:pPr>
    </w:lvl>
    <w:lvl w:ilvl="7" w:tplc="04090019" w:tentative="1">
      <w:start w:val="1"/>
      <w:numFmt w:val="lowerLetter"/>
      <w:lvlText w:val="%8."/>
      <w:lvlJc w:val="left"/>
      <w:pPr>
        <w:ind w:left="5354" w:hanging="360"/>
      </w:pPr>
    </w:lvl>
    <w:lvl w:ilvl="8" w:tplc="0409001B" w:tentative="1">
      <w:start w:val="1"/>
      <w:numFmt w:val="lowerRoman"/>
      <w:lvlText w:val="%9."/>
      <w:lvlJc w:val="right"/>
      <w:pPr>
        <w:ind w:left="6074" w:hanging="180"/>
      </w:pPr>
    </w:lvl>
  </w:abstractNum>
  <w:abstractNum w:abstractNumId="14">
    <w:nsid w:val="276039E3"/>
    <w:multiLevelType w:val="hybridMultilevel"/>
    <w:tmpl w:val="635C4010"/>
    <w:lvl w:ilvl="0" w:tplc="BC9E6FB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A5A09BD"/>
    <w:multiLevelType w:val="hybridMultilevel"/>
    <w:tmpl w:val="67720F4E"/>
    <w:lvl w:ilvl="0" w:tplc="43126028">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ADF5F09"/>
    <w:multiLevelType w:val="hybridMultilevel"/>
    <w:tmpl w:val="46CC89A6"/>
    <w:lvl w:ilvl="0" w:tplc="D7F69B6E">
      <w:start w:val="1"/>
      <w:numFmt w:val="hebrew1"/>
      <w:lvlText w:val="%1."/>
      <w:lvlJc w:val="left"/>
      <w:pPr>
        <w:ind w:left="314" w:hanging="360"/>
      </w:pPr>
      <w:rPr>
        <w:rFonts w:hint="default"/>
      </w:rPr>
    </w:lvl>
    <w:lvl w:ilvl="1" w:tplc="04090019" w:tentative="1">
      <w:start w:val="1"/>
      <w:numFmt w:val="lowerLetter"/>
      <w:lvlText w:val="%2."/>
      <w:lvlJc w:val="left"/>
      <w:pPr>
        <w:ind w:left="1034" w:hanging="360"/>
      </w:pPr>
    </w:lvl>
    <w:lvl w:ilvl="2" w:tplc="0409001B" w:tentative="1">
      <w:start w:val="1"/>
      <w:numFmt w:val="lowerRoman"/>
      <w:lvlText w:val="%3."/>
      <w:lvlJc w:val="right"/>
      <w:pPr>
        <w:ind w:left="1754" w:hanging="180"/>
      </w:pPr>
    </w:lvl>
    <w:lvl w:ilvl="3" w:tplc="0409000F" w:tentative="1">
      <w:start w:val="1"/>
      <w:numFmt w:val="decimal"/>
      <w:lvlText w:val="%4."/>
      <w:lvlJc w:val="left"/>
      <w:pPr>
        <w:ind w:left="2474" w:hanging="360"/>
      </w:pPr>
    </w:lvl>
    <w:lvl w:ilvl="4" w:tplc="04090019" w:tentative="1">
      <w:start w:val="1"/>
      <w:numFmt w:val="lowerLetter"/>
      <w:lvlText w:val="%5."/>
      <w:lvlJc w:val="left"/>
      <w:pPr>
        <w:ind w:left="3194" w:hanging="360"/>
      </w:pPr>
    </w:lvl>
    <w:lvl w:ilvl="5" w:tplc="0409001B" w:tentative="1">
      <w:start w:val="1"/>
      <w:numFmt w:val="lowerRoman"/>
      <w:lvlText w:val="%6."/>
      <w:lvlJc w:val="right"/>
      <w:pPr>
        <w:ind w:left="3914" w:hanging="180"/>
      </w:pPr>
    </w:lvl>
    <w:lvl w:ilvl="6" w:tplc="0409000F" w:tentative="1">
      <w:start w:val="1"/>
      <w:numFmt w:val="decimal"/>
      <w:lvlText w:val="%7."/>
      <w:lvlJc w:val="left"/>
      <w:pPr>
        <w:ind w:left="4634" w:hanging="360"/>
      </w:pPr>
    </w:lvl>
    <w:lvl w:ilvl="7" w:tplc="04090019" w:tentative="1">
      <w:start w:val="1"/>
      <w:numFmt w:val="lowerLetter"/>
      <w:lvlText w:val="%8."/>
      <w:lvlJc w:val="left"/>
      <w:pPr>
        <w:ind w:left="5354" w:hanging="360"/>
      </w:pPr>
    </w:lvl>
    <w:lvl w:ilvl="8" w:tplc="0409001B" w:tentative="1">
      <w:start w:val="1"/>
      <w:numFmt w:val="lowerRoman"/>
      <w:lvlText w:val="%9."/>
      <w:lvlJc w:val="right"/>
      <w:pPr>
        <w:ind w:left="6074" w:hanging="180"/>
      </w:pPr>
    </w:lvl>
  </w:abstractNum>
  <w:abstractNum w:abstractNumId="17">
    <w:nsid w:val="2E6924D6"/>
    <w:multiLevelType w:val="hybridMultilevel"/>
    <w:tmpl w:val="C3FC0C6C"/>
    <w:lvl w:ilvl="0" w:tplc="2514E6AA">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F7148D5"/>
    <w:multiLevelType w:val="hybridMultilevel"/>
    <w:tmpl w:val="5492F358"/>
    <w:lvl w:ilvl="0" w:tplc="FF7E13B4">
      <w:start w:val="1"/>
      <w:numFmt w:val="hebrew1"/>
      <w:lvlText w:val="%1."/>
      <w:lvlJc w:val="left"/>
      <w:pPr>
        <w:ind w:left="314" w:hanging="360"/>
      </w:pPr>
      <w:rPr>
        <w:rFonts w:hint="default"/>
      </w:rPr>
    </w:lvl>
    <w:lvl w:ilvl="1" w:tplc="04090019" w:tentative="1">
      <w:start w:val="1"/>
      <w:numFmt w:val="lowerLetter"/>
      <w:lvlText w:val="%2."/>
      <w:lvlJc w:val="left"/>
      <w:pPr>
        <w:ind w:left="1034" w:hanging="360"/>
      </w:pPr>
    </w:lvl>
    <w:lvl w:ilvl="2" w:tplc="0409001B" w:tentative="1">
      <w:start w:val="1"/>
      <w:numFmt w:val="lowerRoman"/>
      <w:lvlText w:val="%3."/>
      <w:lvlJc w:val="right"/>
      <w:pPr>
        <w:ind w:left="1754" w:hanging="180"/>
      </w:pPr>
    </w:lvl>
    <w:lvl w:ilvl="3" w:tplc="0409000F" w:tentative="1">
      <w:start w:val="1"/>
      <w:numFmt w:val="decimal"/>
      <w:lvlText w:val="%4."/>
      <w:lvlJc w:val="left"/>
      <w:pPr>
        <w:ind w:left="2474" w:hanging="360"/>
      </w:pPr>
    </w:lvl>
    <w:lvl w:ilvl="4" w:tplc="04090019" w:tentative="1">
      <w:start w:val="1"/>
      <w:numFmt w:val="lowerLetter"/>
      <w:lvlText w:val="%5."/>
      <w:lvlJc w:val="left"/>
      <w:pPr>
        <w:ind w:left="3194" w:hanging="360"/>
      </w:pPr>
    </w:lvl>
    <w:lvl w:ilvl="5" w:tplc="0409001B" w:tentative="1">
      <w:start w:val="1"/>
      <w:numFmt w:val="lowerRoman"/>
      <w:lvlText w:val="%6."/>
      <w:lvlJc w:val="right"/>
      <w:pPr>
        <w:ind w:left="3914" w:hanging="180"/>
      </w:pPr>
    </w:lvl>
    <w:lvl w:ilvl="6" w:tplc="0409000F" w:tentative="1">
      <w:start w:val="1"/>
      <w:numFmt w:val="decimal"/>
      <w:lvlText w:val="%7."/>
      <w:lvlJc w:val="left"/>
      <w:pPr>
        <w:ind w:left="4634" w:hanging="360"/>
      </w:pPr>
    </w:lvl>
    <w:lvl w:ilvl="7" w:tplc="04090019" w:tentative="1">
      <w:start w:val="1"/>
      <w:numFmt w:val="lowerLetter"/>
      <w:lvlText w:val="%8."/>
      <w:lvlJc w:val="left"/>
      <w:pPr>
        <w:ind w:left="5354" w:hanging="360"/>
      </w:pPr>
    </w:lvl>
    <w:lvl w:ilvl="8" w:tplc="0409001B" w:tentative="1">
      <w:start w:val="1"/>
      <w:numFmt w:val="lowerRoman"/>
      <w:lvlText w:val="%9."/>
      <w:lvlJc w:val="right"/>
      <w:pPr>
        <w:ind w:left="6074" w:hanging="180"/>
      </w:pPr>
    </w:lvl>
  </w:abstractNum>
  <w:abstractNum w:abstractNumId="19">
    <w:nsid w:val="32DB353A"/>
    <w:multiLevelType w:val="hybridMultilevel"/>
    <w:tmpl w:val="F8242844"/>
    <w:lvl w:ilvl="0" w:tplc="43126028">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3847E06"/>
    <w:multiLevelType w:val="hybridMultilevel"/>
    <w:tmpl w:val="88F0D5F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C02CE35E">
      <w:start w:val="2"/>
      <w:numFmt w:val="bullet"/>
      <w:lvlText w:val="–"/>
      <w:lvlJc w:val="left"/>
      <w:pPr>
        <w:ind w:left="2340" w:hanging="360"/>
      </w:pPr>
      <w:rPr>
        <w:rFonts w:ascii="Calibri" w:eastAsiaTheme="minorHAnsi" w:hAnsi="Calibri" w:cstheme="majorBid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3A0335D"/>
    <w:multiLevelType w:val="hybridMultilevel"/>
    <w:tmpl w:val="09E015BA"/>
    <w:lvl w:ilvl="0" w:tplc="6038AD90">
      <w:start w:val="1"/>
      <w:numFmt w:val="decimal"/>
      <w:lvlText w:val="%1)"/>
      <w:lvlJc w:val="left"/>
      <w:pPr>
        <w:ind w:left="314" w:hanging="360"/>
      </w:pPr>
      <w:rPr>
        <w:rFonts w:hint="default"/>
      </w:rPr>
    </w:lvl>
    <w:lvl w:ilvl="1" w:tplc="04090019" w:tentative="1">
      <w:start w:val="1"/>
      <w:numFmt w:val="lowerLetter"/>
      <w:lvlText w:val="%2."/>
      <w:lvlJc w:val="left"/>
      <w:pPr>
        <w:ind w:left="1034" w:hanging="360"/>
      </w:pPr>
    </w:lvl>
    <w:lvl w:ilvl="2" w:tplc="0409001B" w:tentative="1">
      <w:start w:val="1"/>
      <w:numFmt w:val="lowerRoman"/>
      <w:lvlText w:val="%3."/>
      <w:lvlJc w:val="right"/>
      <w:pPr>
        <w:ind w:left="1754" w:hanging="180"/>
      </w:pPr>
    </w:lvl>
    <w:lvl w:ilvl="3" w:tplc="0409000F" w:tentative="1">
      <w:start w:val="1"/>
      <w:numFmt w:val="decimal"/>
      <w:lvlText w:val="%4."/>
      <w:lvlJc w:val="left"/>
      <w:pPr>
        <w:ind w:left="2474" w:hanging="360"/>
      </w:pPr>
    </w:lvl>
    <w:lvl w:ilvl="4" w:tplc="04090019" w:tentative="1">
      <w:start w:val="1"/>
      <w:numFmt w:val="lowerLetter"/>
      <w:lvlText w:val="%5."/>
      <w:lvlJc w:val="left"/>
      <w:pPr>
        <w:ind w:left="3194" w:hanging="360"/>
      </w:pPr>
    </w:lvl>
    <w:lvl w:ilvl="5" w:tplc="0409001B" w:tentative="1">
      <w:start w:val="1"/>
      <w:numFmt w:val="lowerRoman"/>
      <w:lvlText w:val="%6."/>
      <w:lvlJc w:val="right"/>
      <w:pPr>
        <w:ind w:left="3914" w:hanging="180"/>
      </w:pPr>
    </w:lvl>
    <w:lvl w:ilvl="6" w:tplc="0409000F" w:tentative="1">
      <w:start w:val="1"/>
      <w:numFmt w:val="decimal"/>
      <w:lvlText w:val="%7."/>
      <w:lvlJc w:val="left"/>
      <w:pPr>
        <w:ind w:left="4634" w:hanging="360"/>
      </w:pPr>
    </w:lvl>
    <w:lvl w:ilvl="7" w:tplc="04090019" w:tentative="1">
      <w:start w:val="1"/>
      <w:numFmt w:val="lowerLetter"/>
      <w:lvlText w:val="%8."/>
      <w:lvlJc w:val="left"/>
      <w:pPr>
        <w:ind w:left="5354" w:hanging="360"/>
      </w:pPr>
    </w:lvl>
    <w:lvl w:ilvl="8" w:tplc="0409001B" w:tentative="1">
      <w:start w:val="1"/>
      <w:numFmt w:val="lowerRoman"/>
      <w:lvlText w:val="%9."/>
      <w:lvlJc w:val="right"/>
      <w:pPr>
        <w:ind w:left="6074" w:hanging="180"/>
      </w:pPr>
    </w:lvl>
  </w:abstractNum>
  <w:abstractNum w:abstractNumId="22">
    <w:nsid w:val="347A6920"/>
    <w:multiLevelType w:val="hybridMultilevel"/>
    <w:tmpl w:val="8932A8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6D41132"/>
    <w:multiLevelType w:val="hybridMultilevel"/>
    <w:tmpl w:val="92AC78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C622FC8"/>
    <w:multiLevelType w:val="hybridMultilevel"/>
    <w:tmpl w:val="C9B25AEA"/>
    <w:lvl w:ilvl="0" w:tplc="3A367D84">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3E2A051F"/>
    <w:multiLevelType w:val="hybridMultilevel"/>
    <w:tmpl w:val="EBF26B82"/>
    <w:lvl w:ilvl="0" w:tplc="6EDEBC1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4A4169B"/>
    <w:multiLevelType w:val="hybridMultilevel"/>
    <w:tmpl w:val="4BAC94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65274B8"/>
    <w:multiLevelType w:val="hybridMultilevel"/>
    <w:tmpl w:val="573C2170"/>
    <w:lvl w:ilvl="0" w:tplc="419A1490">
      <w:start w:val="4"/>
      <w:numFmt w:val="decimal"/>
      <w:lvlText w:val="%1."/>
      <w:lvlJc w:val="left"/>
      <w:pPr>
        <w:ind w:left="314" w:hanging="360"/>
      </w:pPr>
      <w:rPr>
        <w:rFonts w:hint="default"/>
      </w:rPr>
    </w:lvl>
    <w:lvl w:ilvl="1" w:tplc="04090019" w:tentative="1">
      <w:start w:val="1"/>
      <w:numFmt w:val="lowerLetter"/>
      <w:lvlText w:val="%2."/>
      <w:lvlJc w:val="left"/>
      <w:pPr>
        <w:ind w:left="1034" w:hanging="360"/>
      </w:pPr>
    </w:lvl>
    <w:lvl w:ilvl="2" w:tplc="0409001B" w:tentative="1">
      <w:start w:val="1"/>
      <w:numFmt w:val="lowerRoman"/>
      <w:lvlText w:val="%3."/>
      <w:lvlJc w:val="right"/>
      <w:pPr>
        <w:ind w:left="1754" w:hanging="180"/>
      </w:pPr>
    </w:lvl>
    <w:lvl w:ilvl="3" w:tplc="0409000F" w:tentative="1">
      <w:start w:val="1"/>
      <w:numFmt w:val="decimal"/>
      <w:lvlText w:val="%4."/>
      <w:lvlJc w:val="left"/>
      <w:pPr>
        <w:ind w:left="2474" w:hanging="360"/>
      </w:pPr>
    </w:lvl>
    <w:lvl w:ilvl="4" w:tplc="04090019" w:tentative="1">
      <w:start w:val="1"/>
      <w:numFmt w:val="lowerLetter"/>
      <w:lvlText w:val="%5."/>
      <w:lvlJc w:val="left"/>
      <w:pPr>
        <w:ind w:left="3194" w:hanging="360"/>
      </w:pPr>
    </w:lvl>
    <w:lvl w:ilvl="5" w:tplc="0409001B" w:tentative="1">
      <w:start w:val="1"/>
      <w:numFmt w:val="lowerRoman"/>
      <w:lvlText w:val="%6."/>
      <w:lvlJc w:val="right"/>
      <w:pPr>
        <w:ind w:left="3914" w:hanging="180"/>
      </w:pPr>
    </w:lvl>
    <w:lvl w:ilvl="6" w:tplc="0409000F" w:tentative="1">
      <w:start w:val="1"/>
      <w:numFmt w:val="decimal"/>
      <w:lvlText w:val="%7."/>
      <w:lvlJc w:val="left"/>
      <w:pPr>
        <w:ind w:left="4634" w:hanging="360"/>
      </w:pPr>
    </w:lvl>
    <w:lvl w:ilvl="7" w:tplc="04090019" w:tentative="1">
      <w:start w:val="1"/>
      <w:numFmt w:val="lowerLetter"/>
      <w:lvlText w:val="%8."/>
      <w:lvlJc w:val="left"/>
      <w:pPr>
        <w:ind w:left="5354" w:hanging="360"/>
      </w:pPr>
    </w:lvl>
    <w:lvl w:ilvl="8" w:tplc="0409001B" w:tentative="1">
      <w:start w:val="1"/>
      <w:numFmt w:val="lowerRoman"/>
      <w:lvlText w:val="%9."/>
      <w:lvlJc w:val="right"/>
      <w:pPr>
        <w:ind w:left="6074" w:hanging="180"/>
      </w:pPr>
    </w:lvl>
  </w:abstractNum>
  <w:abstractNum w:abstractNumId="28">
    <w:nsid w:val="47392894"/>
    <w:multiLevelType w:val="hybridMultilevel"/>
    <w:tmpl w:val="583C793E"/>
    <w:lvl w:ilvl="0" w:tplc="C14043E0">
      <w:start w:val="1"/>
      <w:numFmt w:val="decimal"/>
      <w:lvlText w:val="%1."/>
      <w:lvlJc w:val="left"/>
      <w:pPr>
        <w:ind w:left="314" w:hanging="360"/>
      </w:pPr>
      <w:rPr>
        <w:rFonts w:hint="default"/>
      </w:rPr>
    </w:lvl>
    <w:lvl w:ilvl="1" w:tplc="04090019" w:tentative="1">
      <w:start w:val="1"/>
      <w:numFmt w:val="lowerLetter"/>
      <w:lvlText w:val="%2."/>
      <w:lvlJc w:val="left"/>
      <w:pPr>
        <w:ind w:left="1034" w:hanging="360"/>
      </w:pPr>
    </w:lvl>
    <w:lvl w:ilvl="2" w:tplc="0409001B" w:tentative="1">
      <w:start w:val="1"/>
      <w:numFmt w:val="lowerRoman"/>
      <w:lvlText w:val="%3."/>
      <w:lvlJc w:val="right"/>
      <w:pPr>
        <w:ind w:left="1754" w:hanging="180"/>
      </w:pPr>
    </w:lvl>
    <w:lvl w:ilvl="3" w:tplc="0409000F" w:tentative="1">
      <w:start w:val="1"/>
      <w:numFmt w:val="decimal"/>
      <w:lvlText w:val="%4."/>
      <w:lvlJc w:val="left"/>
      <w:pPr>
        <w:ind w:left="2474" w:hanging="360"/>
      </w:pPr>
    </w:lvl>
    <w:lvl w:ilvl="4" w:tplc="04090019" w:tentative="1">
      <w:start w:val="1"/>
      <w:numFmt w:val="lowerLetter"/>
      <w:lvlText w:val="%5."/>
      <w:lvlJc w:val="left"/>
      <w:pPr>
        <w:ind w:left="3194" w:hanging="360"/>
      </w:pPr>
    </w:lvl>
    <w:lvl w:ilvl="5" w:tplc="0409001B" w:tentative="1">
      <w:start w:val="1"/>
      <w:numFmt w:val="lowerRoman"/>
      <w:lvlText w:val="%6."/>
      <w:lvlJc w:val="right"/>
      <w:pPr>
        <w:ind w:left="3914" w:hanging="180"/>
      </w:pPr>
    </w:lvl>
    <w:lvl w:ilvl="6" w:tplc="0409000F" w:tentative="1">
      <w:start w:val="1"/>
      <w:numFmt w:val="decimal"/>
      <w:lvlText w:val="%7."/>
      <w:lvlJc w:val="left"/>
      <w:pPr>
        <w:ind w:left="4634" w:hanging="360"/>
      </w:pPr>
    </w:lvl>
    <w:lvl w:ilvl="7" w:tplc="04090019" w:tentative="1">
      <w:start w:val="1"/>
      <w:numFmt w:val="lowerLetter"/>
      <w:lvlText w:val="%8."/>
      <w:lvlJc w:val="left"/>
      <w:pPr>
        <w:ind w:left="5354" w:hanging="360"/>
      </w:pPr>
    </w:lvl>
    <w:lvl w:ilvl="8" w:tplc="0409001B" w:tentative="1">
      <w:start w:val="1"/>
      <w:numFmt w:val="lowerRoman"/>
      <w:lvlText w:val="%9."/>
      <w:lvlJc w:val="right"/>
      <w:pPr>
        <w:ind w:left="6074" w:hanging="180"/>
      </w:pPr>
    </w:lvl>
  </w:abstractNum>
  <w:abstractNum w:abstractNumId="29">
    <w:nsid w:val="4F5E0BD8"/>
    <w:multiLevelType w:val="hybridMultilevel"/>
    <w:tmpl w:val="35E29F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5DD2A9F"/>
    <w:multiLevelType w:val="hybridMultilevel"/>
    <w:tmpl w:val="7B643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74C2CD7"/>
    <w:multiLevelType w:val="hybridMultilevel"/>
    <w:tmpl w:val="ECB8F2C2"/>
    <w:lvl w:ilvl="0" w:tplc="6860AACE">
      <w:numFmt w:val="bullet"/>
      <w:lvlText w:val=""/>
      <w:lvlJc w:val="left"/>
      <w:pPr>
        <w:ind w:left="674" w:hanging="360"/>
      </w:pPr>
      <w:rPr>
        <w:rFonts w:ascii="Symbol" w:eastAsiaTheme="minorHAnsi" w:hAnsi="Symbol" w:cs="David" w:hint="default"/>
      </w:rPr>
    </w:lvl>
    <w:lvl w:ilvl="1" w:tplc="04090003" w:tentative="1">
      <w:start w:val="1"/>
      <w:numFmt w:val="bullet"/>
      <w:lvlText w:val="o"/>
      <w:lvlJc w:val="left"/>
      <w:pPr>
        <w:ind w:left="1394" w:hanging="360"/>
      </w:pPr>
      <w:rPr>
        <w:rFonts w:ascii="Courier New" w:hAnsi="Courier New" w:cs="Courier New" w:hint="default"/>
      </w:rPr>
    </w:lvl>
    <w:lvl w:ilvl="2" w:tplc="04090005" w:tentative="1">
      <w:start w:val="1"/>
      <w:numFmt w:val="bullet"/>
      <w:lvlText w:val=""/>
      <w:lvlJc w:val="left"/>
      <w:pPr>
        <w:ind w:left="2114" w:hanging="360"/>
      </w:pPr>
      <w:rPr>
        <w:rFonts w:ascii="Wingdings" w:hAnsi="Wingdings" w:hint="default"/>
      </w:rPr>
    </w:lvl>
    <w:lvl w:ilvl="3" w:tplc="04090001" w:tentative="1">
      <w:start w:val="1"/>
      <w:numFmt w:val="bullet"/>
      <w:lvlText w:val=""/>
      <w:lvlJc w:val="left"/>
      <w:pPr>
        <w:ind w:left="2834" w:hanging="360"/>
      </w:pPr>
      <w:rPr>
        <w:rFonts w:ascii="Symbol" w:hAnsi="Symbol" w:hint="default"/>
      </w:rPr>
    </w:lvl>
    <w:lvl w:ilvl="4" w:tplc="04090003" w:tentative="1">
      <w:start w:val="1"/>
      <w:numFmt w:val="bullet"/>
      <w:lvlText w:val="o"/>
      <w:lvlJc w:val="left"/>
      <w:pPr>
        <w:ind w:left="3554" w:hanging="360"/>
      </w:pPr>
      <w:rPr>
        <w:rFonts w:ascii="Courier New" w:hAnsi="Courier New" w:cs="Courier New" w:hint="default"/>
      </w:rPr>
    </w:lvl>
    <w:lvl w:ilvl="5" w:tplc="04090005" w:tentative="1">
      <w:start w:val="1"/>
      <w:numFmt w:val="bullet"/>
      <w:lvlText w:val=""/>
      <w:lvlJc w:val="left"/>
      <w:pPr>
        <w:ind w:left="4274" w:hanging="360"/>
      </w:pPr>
      <w:rPr>
        <w:rFonts w:ascii="Wingdings" w:hAnsi="Wingdings" w:hint="default"/>
      </w:rPr>
    </w:lvl>
    <w:lvl w:ilvl="6" w:tplc="04090001" w:tentative="1">
      <w:start w:val="1"/>
      <w:numFmt w:val="bullet"/>
      <w:lvlText w:val=""/>
      <w:lvlJc w:val="left"/>
      <w:pPr>
        <w:ind w:left="4994" w:hanging="360"/>
      </w:pPr>
      <w:rPr>
        <w:rFonts w:ascii="Symbol" w:hAnsi="Symbol" w:hint="default"/>
      </w:rPr>
    </w:lvl>
    <w:lvl w:ilvl="7" w:tplc="04090003" w:tentative="1">
      <w:start w:val="1"/>
      <w:numFmt w:val="bullet"/>
      <w:lvlText w:val="o"/>
      <w:lvlJc w:val="left"/>
      <w:pPr>
        <w:ind w:left="5714" w:hanging="360"/>
      </w:pPr>
      <w:rPr>
        <w:rFonts w:ascii="Courier New" w:hAnsi="Courier New" w:cs="Courier New" w:hint="default"/>
      </w:rPr>
    </w:lvl>
    <w:lvl w:ilvl="8" w:tplc="04090005" w:tentative="1">
      <w:start w:val="1"/>
      <w:numFmt w:val="bullet"/>
      <w:lvlText w:val=""/>
      <w:lvlJc w:val="left"/>
      <w:pPr>
        <w:ind w:left="6434" w:hanging="360"/>
      </w:pPr>
      <w:rPr>
        <w:rFonts w:ascii="Wingdings" w:hAnsi="Wingdings" w:hint="default"/>
      </w:rPr>
    </w:lvl>
  </w:abstractNum>
  <w:abstractNum w:abstractNumId="32">
    <w:nsid w:val="6C3F7305"/>
    <w:multiLevelType w:val="hybridMultilevel"/>
    <w:tmpl w:val="B4385AAE"/>
    <w:lvl w:ilvl="0" w:tplc="161A2F80">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6C5007E1"/>
    <w:multiLevelType w:val="hybridMultilevel"/>
    <w:tmpl w:val="83FAB152"/>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34">
    <w:nsid w:val="6DD42EED"/>
    <w:multiLevelType w:val="hybridMultilevel"/>
    <w:tmpl w:val="882EB50A"/>
    <w:lvl w:ilvl="0" w:tplc="92043AAE">
      <w:start w:val="1"/>
      <w:numFmt w:val="decimal"/>
      <w:lvlText w:val="%1)"/>
      <w:lvlJc w:val="left"/>
      <w:pPr>
        <w:ind w:left="525" w:hanging="36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35">
    <w:nsid w:val="74E7060B"/>
    <w:multiLevelType w:val="hybridMultilevel"/>
    <w:tmpl w:val="1FD80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93948CD"/>
    <w:multiLevelType w:val="hybridMultilevel"/>
    <w:tmpl w:val="46BACA22"/>
    <w:lvl w:ilvl="0" w:tplc="9E603100">
      <w:start w:val="1"/>
      <w:numFmt w:val="decimal"/>
      <w:lvlText w:val="%1."/>
      <w:lvlJc w:val="left"/>
      <w:pPr>
        <w:ind w:left="314" w:hanging="360"/>
      </w:pPr>
      <w:rPr>
        <w:rFonts w:hint="default"/>
      </w:rPr>
    </w:lvl>
    <w:lvl w:ilvl="1" w:tplc="04090019" w:tentative="1">
      <w:start w:val="1"/>
      <w:numFmt w:val="lowerLetter"/>
      <w:lvlText w:val="%2."/>
      <w:lvlJc w:val="left"/>
      <w:pPr>
        <w:ind w:left="1034" w:hanging="360"/>
      </w:pPr>
    </w:lvl>
    <w:lvl w:ilvl="2" w:tplc="0409001B" w:tentative="1">
      <w:start w:val="1"/>
      <w:numFmt w:val="lowerRoman"/>
      <w:lvlText w:val="%3."/>
      <w:lvlJc w:val="right"/>
      <w:pPr>
        <w:ind w:left="1754" w:hanging="180"/>
      </w:pPr>
    </w:lvl>
    <w:lvl w:ilvl="3" w:tplc="0409000F" w:tentative="1">
      <w:start w:val="1"/>
      <w:numFmt w:val="decimal"/>
      <w:lvlText w:val="%4."/>
      <w:lvlJc w:val="left"/>
      <w:pPr>
        <w:ind w:left="2474" w:hanging="360"/>
      </w:pPr>
    </w:lvl>
    <w:lvl w:ilvl="4" w:tplc="04090019" w:tentative="1">
      <w:start w:val="1"/>
      <w:numFmt w:val="lowerLetter"/>
      <w:lvlText w:val="%5."/>
      <w:lvlJc w:val="left"/>
      <w:pPr>
        <w:ind w:left="3194" w:hanging="360"/>
      </w:pPr>
    </w:lvl>
    <w:lvl w:ilvl="5" w:tplc="0409001B" w:tentative="1">
      <w:start w:val="1"/>
      <w:numFmt w:val="lowerRoman"/>
      <w:lvlText w:val="%6."/>
      <w:lvlJc w:val="right"/>
      <w:pPr>
        <w:ind w:left="3914" w:hanging="180"/>
      </w:pPr>
    </w:lvl>
    <w:lvl w:ilvl="6" w:tplc="0409000F" w:tentative="1">
      <w:start w:val="1"/>
      <w:numFmt w:val="decimal"/>
      <w:lvlText w:val="%7."/>
      <w:lvlJc w:val="left"/>
      <w:pPr>
        <w:ind w:left="4634" w:hanging="360"/>
      </w:pPr>
    </w:lvl>
    <w:lvl w:ilvl="7" w:tplc="04090019" w:tentative="1">
      <w:start w:val="1"/>
      <w:numFmt w:val="lowerLetter"/>
      <w:lvlText w:val="%8."/>
      <w:lvlJc w:val="left"/>
      <w:pPr>
        <w:ind w:left="5354" w:hanging="360"/>
      </w:pPr>
    </w:lvl>
    <w:lvl w:ilvl="8" w:tplc="0409001B" w:tentative="1">
      <w:start w:val="1"/>
      <w:numFmt w:val="lowerRoman"/>
      <w:lvlText w:val="%9."/>
      <w:lvlJc w:val="right"/>
      <w:pPr>
        <w:ind w:left="6074" w:hanging="180"/>
      </w:pPr>
    </w:lvl>
  </w:abstractNum>
  <w:abstractNum w:abstractNumId="37">
    <w:nsid w:val="7DF97C0D"/>
    <w:multiLevelType w:val="hybridMultilevel"/>
    <w:tmpl w:val="3D6A6070"/>
    <w:lvl w:ilvl="0" w:tplc="6860AACE">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F430A26"/>
    <w:multiLevelType w:val="hybridMultilevel"/>
    <w:tmpl w:val="09DEEA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20"/>
  </w:num>
  <w:num w:numId="3">
    <w:abstractNumId w:val="29"/>
  </w:num>
  <w:num w:numId="4">
    <w:abstractNumId w:val="30"/>
  </w:num>
  <w:num w:numId="5">
    <w:abstractNumId w:val="3"/>
  </w:num>
  <w:num w:numId="6">
    <w:abstractNumId w:val="35"/>
  </w:num>
  <w:num w:numId="7">
    <w:abstractNumId w:val="6"/>
  </w:num>
  <w:num w:numId="8">
    <w:abstractNumId w:val="33"/>
  </w:num>
  <w:num w:numId="9">
    <w:abstractNumId w:val="8"/>
  </w:num>
  <w:num w:numId="10">
    <w:abstractNumId w:val="25"/>
  </w:num>
  <w:num w:numId="11">
    <w:abstractNumId w:val="37"/>
  </w:num>
  <w:num w:numId="12">
    <w:abstractNumId w:val="0"/>
  </w:num>
  <w:num w:numId="13">
    <w:abstractNumId w:val="31"/>
  </w:num>
  <w:num w:numId="14">
    <w:abstractNumId w:val="13"/>
  </w:num>
  <w:num w:numId="15">
    <w:abstractNumId w:val="18"/>
  </w:num>
  <w:num w:numId="16">
    <w:abstractNumId w:val="5"/>
  </w:num>
  <w:num w:numId="17">
    <w:abstractNumId w:val="14"/>
  </w:num>
  <w:num w:numId="18">
    <w:abstractNumId w:val="7"/>
  </w:num>
  <w:num w:numId="19">
    <w:abstractNumId w:val="11"/>
  </w:num>
  <w:num w:numId="20">
    <w:abstractNumId w:val="32"/>
  </w:num>
  <w:num w:numId="21">
    <w:abstractNumId w:val="15"/>
  </w:num>
  <w:num w:numId="22">
    <w:abstractNumId w:val="9"/>
  </w:num>
  <w:num w:numId="23">
    <w:abstractNumId w:val="24"/>
  </w:num>
  <w:num w:numId="24">
    <w:abstractNumId w:val="21"/>
  </w:num>
  <w:num w:numId="25">
    <w:abstractNumId w:val="26"/>
  </w:num>
  <w:num w:numId="26">
    <w:abstractNumId w:val="12"/>
  </w:num>
  <w:num w:numId="27">
    <w:abstractNumId w:val="19"/>
  </w:num>
  <w:num w:numId="28">
    <w:abstractNumId w:val="23"/>
  </w:num>
  <w:num w:numId="29">
    <w:abstractNumId w:val="16"/>
  </w:num>
  <w:num w:numId="30">
    <w:abstractNumId w:val="34"/>
  </w:num>
  <w:num w:numId="31">
    <w:abstractNumId w:val="17"/>
  </w:num>
  <w:num w:numId="32">
    <w:abstractNumId w:val="22"/>
  </w:num>
  <w:num w:numId="33">
    <w:abstractNumId w:val="27"/>
  </w:num>
  <w:num w:numId="34">
    <w:abstractNumId w:val="2"/>
  </w:num>
  <w:num w:numId="35">
    <w:abstractNumId w:val="36"/>
  </w:num>
  <w:num w:numId="36">
    <w:abstractNumId w:val="28"/>
  </w:num>
  <w:num w:numId="37">
    <w:abstractNumId w:val="4"/>
  </w:num>
  <w:num w:numId="38">
    <w:abstractNumId w:val="38"/>
  </w:num>
  <w:num w:numId="3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drawingGridHorizontalSpacing w:val="110"/>
  <w:displayHorizontalDrawingGridEvery w:val="2"/>
  <w:displayVerticalDrawingGridEvery w:val="2"/>
  <w:characterSpacingControl w:val="doNotCompress"/>
  <w:hdrShapeDefaults>
    <o:shapedefaults v:ext="edit" spidmax="90114">
      <o:colormenu v:ext="edit" strokecolor="none"/>
    </o:shapedefaults>
  </w:hdrShapeDefaults>
  <w:footnotePr>
    <w:footnote w:id="0"/>
    <w:footnote w:id="1"/>
  </w:footnotePr>
  <w:endnotePr>
    <w:endnote w:id="0"/>
    <w:endnote w:id="1"/>
  </w:endnotePr>
  <w:compat/>
  <w:rsids>
    <w:rsidRoot w:val="00C43878"/>
    <w:rsid w:val="0000057F"/>
    <w:rsid w:val="000016AE"/>
    <w:rsid w:val="00001FF1"/>
    <w:rsid w:val="00003DCB"/>
    <w:rsid w:val="000056DD"/>
    <w:rsid w:val="00006066"/>
    <w:rsid w:val="00006BD7"/>
    <w:rsid w:val="000072F9"/>
    <w:rsid w:val="00010D62"/>
    <w:rsid w:val="000121D4"/>
    <w:rsid w:val="00013C84"/>
    <w:rsid w:val="0001485F"/>
    <w:rsid w:val="000163F2"/>
    <w:rsid w:val="00023B8C"/>
    <w:rsid w:val="00025479"/>
    <w:rsid w:val="000257A6"/>
    <w:rsid w:val="000270F2"/>
    <w:rsid w:val="0002786D"/>
    <w:rsid w:val="0003008E"/>
    <w:rsid w:val="000314D6"/>
    <w:rsid w:val="00031E76"/>
    <w:rsid w:val="0003217F"/>
    <w:rsid w:val="00032CF3"/>
    <w:rsid w:val="00037F08"/>
    <w:rsid w:val="00043B1A"/>
    <w:rsid w:val="00044B80"/>
    <w:rsid w:val="0004547C"/>
    <w:rsid w:val="000475DF"/>
    <w:rsid w:val="0005122F"/>
    <w:rsid w:val="00051357"/>
    <w:rsid w:val="000515F3"/>
    <w:rsid w:val="0005189E"/>
    <w:rsid w:val="00051EA0"/>
    <w:rsid w:val="000532C7"/>
    <w:rsid w:val="00057CF3"/>
    <w:rsid w:val="00061080"/>
    <w:rsid w:val="00067921"/>
    <w:rsid w:val="00073BCC"/>
    <w:rsid w:val="00077323"/>
    <w:rsid w:val="00081ECF"/>
    <w:rsid w:val="0008378C"/>
    <w:rsid w:val="0008554A"/>
    <w:rsid w:val="00085CE3"/>
    <w:rsid w:val="0008693E"/>
    <w:rsid w:val="00086C3F"/>
    <w:rsid w:val="00091F92"/>
    <w:rsid w:val="00093B87"/>
    <w:rsid w:val="00095570"/>
    <w:rsid w:val="00096280"/>
    <w:rsid w:val="000A23FB"/>
    <w:rsid w:val="000A2D50"/>
    <w:rsid w:val="000A6F73"/>
    <w:rsid w:val="000B2A55"/>
    <w:rsid w:val="000B6792"/>
    <w:rsid w:val="000B7C48"/>
    <w:rsid w:val="000C04AE"/>
    <w:rsid w:val="000C057D"/>
    <w:rsid w:val="000C0868"/>
    <w:rsid w:val="000C0994"/>
    <w:rsid w:val="000C2A43"/>
    <w:rsid w:val="000C455C"/>
    <w:rsid w:val="000C580E"/>
    <w:rsid w:val="000C75EE"/>
    <w:rsid w:val="000C7834"/>
    <w:rsid w:val="000D2819"/>
    <w:rsid w:val="000D2BEF"/>
    <w:rsid w:val="000E1445"/>
    <w:rsid w:val="000E257A"/>
    <w:rsid w:val="000E41FA"/>
    <w:rsid w:val="000F3AEF"/>
    <w:rsid w:val="000F5373"/>
    <w:rsid w:val="000F657F"/>
    <w:rsid w:val="000F67F8"/>
    <w:rsid w:val="000F6B0D"/>
    <w:rsid w:val="000F7E74"/>
    <w:rsid w:val="00102B8D"/>
    <w:rsid w:val="00102C13"/>
    <w:rsid w:val="00103EC8"/>
    <w:rsid w:val="00104115"/>
    <w:rsid w:val="0010515F"/>
    <w:rsid w:val="00107CA8"/>
    <w:rsid w:val="00110385"/>
    <w:rsid w:val="00111970"/>
    <w:rsid w:val="001148AD"/>
    <w:rsid w:val="001153D0"/>
    <w:rsid w:val="001203C3"/>
    <w:rsid w:val="001204E8"/>
    <w:rsid w:val="001205E0"/>
    <w:rsid w:val="00120BD4"/>
    <w:rsid w:val="00124ED0"/>
    <w:rsid w:val="00126B6E"/>
    <w:rsid w:val="001278BE"/>
    <w:rsid w:val="00127990"/>
    <w:rsid w:val="00135935"/>
    <w:rsid w:val="001364DB"/>
    <w:rsid w:val="00140A24"/>
    <w:rsid w:val="0014141C"/>
    <w:rsid w:val="001415CC"/>
    <w:rsid w:val="0014295E"/>
    <w:rsid w:val="0014331C"/>
    <w:rsid w:val="00144AFA"/>
    <w:rsid w:val="00145ECD"/>
    <w:rsid w:val="00146E12"/>
    <w:rsid w:val="00151B00"/>
    <w:rsid w:val="00152050"/>
    <w:rsid w:val="00152454"/>
    <w:rsid w:val="00152654"/>
    <w:rsid w:val="001527E6"/>
    <w:rsid w:val="0015351C"/>
    <w:rsid w:val="001567A5"/>
    <w:rsid w:val="001640FB"/>
    <w:rsid w:val="001704C0"/>
    <w:rsid w:val="00172D8B"/>
    <w:rsid w:val="00176F1E"/>
    <w:rsid w:val="00181C49"/>
    <w:rsid w:val="00183321"/>
    <w:rsid w:val="00190C0B"/>
    <w:rsid w:val="00190CAF"/>
    <w:rsid w:val="00191D07"/>
    <w:rsid w:val="00192A36"/>
    <w:rsid w:val="001A1094"/>
    <w:rsid w:val="001A15D3"/>
    <w:rsid w:val="001A3B9C"/>
    <w:rsid w:val="001A4276"/>
    <w:rsid w:val="001A7D6C"/>
    <w:rsid w:val="001B2AED"/>
    <w:rsid w:val="001B390F"/>
    <w:rsid w:val="001B4376"/>
    <w:rsid w:val="001B4D1C"/>
    <w:rsid w:val="001B5325"/>
    <w:rsid w:val="001B53D1"/>
    <w:rsid w:val="001B562D"/>
    <w:rsid w:val="001B5EC6"/>
    <w:rsid w:val="001B6BAE"/>
    <w:rsid w:val="001B7B8B"/>
    <w:rsid w:val="001C26FF"/>
    <w:rsid w:val="001C3F7E"/>
    <w:rsid w:val="001C42ED"/>
    <w:rsid w:val="001C44C4"/>
    <w:rsid w:val="001D0171"/>
    <w:rsid w:val="001D03A3"/>
    <w:rsid w:val="001D1336"/>
    <w:rsid w:val="001D1393"/>
    <w:rsid w:val="001D1C18"/>
    <w:rsid w:val="001D2C5B"/>
    <w:rsid w:val="001D5897"/>
    <w:rsid w:val="001D7E2E"/>
    <w:rsid w:val="001E2B59"/>
    <w:rsid w:val="001E3DCF"/>
    <w:rsid w:val="001E776F"/>
    <w:rsid w:val="001F000B"/>
    <w:rsid w:val="001F02C1"/>
    <w:rsid w:val="001F3F58"/>
    <w:rsid w:val="001F5547"/>
    <w:rsid w:val="0020112A"/>
    <w:rsid w:val="00202AC8"/>
    <w:rsid w:val="00203516"/>
    <w:rsid w:val="0020535F"/>
    <w:rsid w:val="0020615D"/>
    <w:rsid w:val="0021176E"/>
    <w:rsid w:val="00213302"/>
    <w:rsid w:val="00214A06"/>
    <w:rsid w:val="002150F1"/>
    <w:rsid w:val="002163F0"/>
    <w:rsid w:val="0021679D"/>
    <w:rsid w:val="002169FF"/>
    <w:rsid w:val="002202C6"/>
    <w:rsid w:val="00223456"/>
    <w:rsid w:val="002274B5"/>
    <w:rsid w:val="00237517"/>
    <w:rsid w:val="00237D6E"/>
    <w:rsid w:val="00237F0D"/>
    <w:rsid w:val="0024177C"/>
    <w:rsid w:val="00242808"/>
    <w:rsid w:val="00242ED6"/>
    <w:rsid w:val="00243116"/>
    <w:rsid w:val="002501BE"/>
    <w:rsid w:val="002529B8"/>
    <w:rsid w:val="0026042E"/>
    <w:rsid w:val="00264C70"/>
    <w:rsid w:val="00265CB4"/>
    <w:rsid w:val="00266E8A"/>
    <w:rsid w:val="0026709A"/>
    <w:rsid w:val="00271BA7"/>
    <w:rsid w:val="002725AA"/>
    <w:rsid w:val="00273149"/>
    <w:rsid w:val="0028109C"/>
    <w:rsid w:val="00281752"/>
    <w:rsid w:val="00281C3C"/>
    <w:rsid w:val="00284903"/>
    <w:rsid w:val="00284E78"/>
    <w:rsid w:val="00286A6E"/>
    <w:rsid w:val="00287458"/>
    <w:rsid w:val="00291414"/>
    <w:rsid w:val="00292A2D"/>
    <w:rsid w:val="00293198"/>
    <w:rsid w:val="00297732"/>
    <w:rsid w:val="002A219E"/>
    <w:rsid w:val="002A2A65"/>
    <w:rsid w:val="002A31B7"/>
    <w:rsid w:val="002A5B21"/>
    <w:rsid w:val="002A6D51"/>
    <w:rsid w:val="002A7991"/>
    <w:rsid w:val="002B0827"/>
    <w:rsid w:val="002B306D"/>
    <w:rsid w:val="002B4103"/>
    <w:rsid w:val="002B56A5"/>
    <w:rsid w:val="002B5FCD"/>
    <w:rsid w:val="002C0DB3"/>
    <w:rsid w:val="002C260B"/>
    <w:rsid w:val="002C2941"/>
    <w:rsid w:val="002C2E8F"/>
    <w:rsid w:val="002C42C8"/>
    <w:rsid w:val="002C5A44"/>
    <w:rsid w:val="002D3F29"/>
    <w:rsid w:val="002D4D37"/>
    <w:rsid w:val="002D58D4"/>
    <w:rsid w:val="002D5D00"/>
    <w:rsid w:val="002D5E1D"/>
    <w:rsid w:val="002D6E38"/>
    <w:rsid w:val="002E0572"/>
    <w:rsid w:val="002E1269"/>
    <w:rsid w:val="002E4150"/>
    <w:rsid w:val="002E7900"/>
    <w:rsid w:val="002F162C"/>
    <w:rsid w:val="002F33A4"/>
    <w:rsid w:val="002F33F2"/>
    <w:rsid w:val="002F74C1"/>
    <w:rsid w:val="002F793A"/>
    <w:rsid w:val="002F7940"/>
    <w:rsid w:val="00300F41"/>
    <w:rsid w:val="003014D1"/>
    <w:rsid w:val="00303716"/>
    <w:rsid w:val="00304EF2"/>
    <w:rsid w:val="00307535"/>
    <w:rsid w:val="003109B7"/>
    <w:rsid w:val="00310A43"/>
    <w:rsid w:val="00310F26"/>
    <w:rsid w:val="00311145"/>
    <w:rsid w:val="00314B99"/>
    <w:rsid w:val="00320E89"/>
    <w:rsid w:val="00322AA0"/>
    <w:rsid w:val="00322C71"/>
    <w:rsid w:val="003262BD"/>
    <w:rsid w:val="003300D8"/>
    <w:rsid w:val="00333803"/>
    <w:rsid w:val="0033412F"/>
    <w:rsid w:val="00335979"/>
    <w:rsid w:val="003359DE"/>
    <w:rsid w:val="00337628"/>
    <w:rsid w:val="00337C06"/>
    <w:rsid w:val="00340218"/>
    <w:rsid w:val="003409B9"/>
    <w:rsid w:val="003413EF"/>
    <w:rsid w:val="003418D0"/>
    <w:rsid w:val="00344620"/>
    <w:rsid w:val="003456F9"/>
    <w:rsid w:val="003462AC"/>
    <w:rsid w:val="00346B12"/>
    <w:rsid w:val="00346D66"/>
    <w:rsid w:val="00351247"/>
    <w:rsid w:val="00351779"/>
    <w:rsid w:val="0035381B"/>
    <w:rsid w:val="00353E49"/>
    <w:rsid w:val="0035460A"/>
    <w:rsid w:val="00356DD6"/>
    <w:rsid w:val="00360A5E"/>
    <w:rsid w:val="00362796"/>
    <w:rsid w:val="00364128"/>
    <w:rsid w:val="00366B60"/>
    <w:rsid w:val="00367ABA"/>
    <w:rsid w:val="00367E2B"/>
    <w:rsid w:val="00370C47"/>
    <w:rsid w:val="00375123"/>
    <w:rsid w:val="00376F30"/>
    <w:rsid w:val="003812DF"/>
    <w:rsid w:val="003831EA"/>
    <w:rsid w:val="00383279"/>
    <w:rsid w:val="003868F1"/>
    <w:rsid w:val="00387734"/>
    <w:rsid w:val="0039226B"/>
    <w:rsid w:val="0039335A"/>
    <w:rsid w:val="0039606D"/>
    <w:rsid w:val="00396E0E"/>
    <w:rsid w:val="003A21E7"/>
    <w:rsid w:val="003A43D2"/>
    <w:rsid w:val="003A523B"/>
    <w:rsid w:val="003A74CB"/>
    <w:rsid w:val="003B190E"/>
    <w:rsid w:val="003B51F7"/>
    <w:rsid w:val="003B5205"/>
    <w:rsid w:val="003B6A89"/>
    <w:rsid w:val="003B777C"/>
    <w:rsid w:val="003C1971"/>
    <w:rsid w:val="003C7DA6"/>
    <w:rsid w:val="003D0B12"/>
    <w:rsid w:val="003D1CBD"/>
    <w:rsid w:val="003D32B2"/>
    <w:rsid w:val="003D4D04"/>
    <w:rsid w:val="003D4DF6"/>
    <w:rsid w:val="003D796B"/>
    <w:rsid w:val="003E00AA"/>
    <w:rsid w:val="003E0548"/>
    <w:rsid w:val="003E22AB"/>
    <w:rsid w:val="003E2EBC"/>
    <w:rsid w:val="003E6BAA"/>
    <w:rsid w:val="003F0F5E"/>
    <w:rsid w:val="003F1219"/>
    <w:rsid w:val="003F1664"/>
    <w:rsid w:val="003F1AFA"/>
    <w:rsid w:val="003F2EE2"/>
    <w:rsid w:val="003F4A78"/>
    <w:rsid w:val="003F5363"/>
    <w:rsid w:val="003F6F36"/>
    <w:rsid w:val="00400301"/>
    <w:rsid w:val="0040084F"/>
    <w:rsid w:val="00401022"/>
    <w:rsid w:val="00401BA0"/>
    <w:rsid w:val="0040347D"/>
    <w:rsid w:val="00407F2D"/>
    <w:rsid w:val="00411F70"/>
    <w:rsid w:val="00412F94"/>
    <w:rsid w:val="00413153"/>
    <w:rsid w:val="00413FFC"/>
    <w:rsid w:val="004144E4"/>
    <w:rsid w:val="00415FD6"/>
    <w:rsid w:val="00420AB0"/>
    <w:rsid w:val="00422602"/>
    <w:rsid w:val="00422870"/>
    <w:rsid w:val="00422F43"/>
    <w:rsid w:val="00424266"/>
    <w:rsid w:val="004252AB"/>
    <w:rsid w:val="0042544E"/>
    <w:rsid w:val="00425824"/>
    <w:rsid w:val="004303A9"/>
    <w:rsid w:val="00431BC4"/>
    <w:rsid w:val="00433E6F"/>
    <w:rsid w:val="00437538"/>
    <w:rsid w:val="00440820"/>
    <w:rsid w:val="00441BAA"/>
    <w:rsid w:val="00445097"/>
    <w:rsid w:val="00446707"/>
    <w:rsid w:val="0044769E"/>
    <w:rsid w:val="004477CF"/>
    <w:rsid w:val="0045346E"/>
    <w:rsid w:val="0045399F"/>
    <w:rsid w:val="00457723"/>
    <w:rsid w:val="00460A23"/>
    <w:rsid w:val="00462244"/>
    <w:rsid w:val="004625BC"/>
    <w:rsid w:val="0047193B"/>
    <w:rsid w:val="004743D7"/>
    <w:rsid w:val="00474B7F"/>
    <w:rsid w:val="00475C61"/>
    <w:rsid w:val="00476AE6"/>
    <w:rsid w:val="00477B76"/>
    <w:rsid w:val="00477F2D"/>
    <w:rsid w:val="00477F47"/>
    <w:rsid w:val="00481276"/>
    <w:rsid w:val="004814BA"/>
    <w:rsid w:val="00481B0F"/>
    <w:rsid w:val="004835BB"/>
    <w:rsid w:val="00485DA8"/>
    <w:rsid w:val="0048655A"/>
    <w:rsid w:val="00486996"/>
    <w:rsid w:val="00490EBB"/>
    <w:rsid w:val="00491823"/>
    <w:rsid w:val="004942E1"/>
    <w:rsid w:val="00494407"/>
    <w:rsid w:val="004976BC"/>
    <w:rsid w:val="00497F1D"/>
    <w:rsid w:val="004A13AB"/>
    <w:rsid w:val="004B0717"/>
    <w:rsid w:val="004B0DF0"/>
    <w:rsid w:val="004B224C"/>
    <w:rsid w:val="004C0726"/>
    <w:rsid w:val="004C14D9"/>
    <w:rsid w:val="004C7A6C"/>
    <w:rsid w:val="004C7DF3"/>
    <w:rsid w:val="004D18A3"/>
    <w:rsid w:val="004D259F"/>
    <w:rsid w:val="004D409D"/>
    <w:rsid w:val="004D4C1F"/>
    <w:rsid w:val="004D7693"/>
    <w:rsid w:val="004D7759"/>
    <w:rsid w:val="004E2D11"/>
    <w:rsid w:val="004E32D5"/>
    <w:rsid w:val="004E425B"/>
    <w:rsid w:val="004E5D18"/>
    <w:rsid w:val="004E6637"/>
    <w:rsid w:val="004F02A1"/>
    <w:rsid w:val="004F084A"/>
    <w:rsid w:val="004F1F22"/>
    <w:rsid w:val="004F23BC"/>
    <w:rsid w:val="004F5D53"/>
    <w:rsid w:val="004F71DD"/>
    <w:rsid w:val="004F7281"/>
    <w:rsid w:val="00501991"/>
    <w:rsid w:val="005029AD"/>
    <w:rsid w:val="00503768"/>
    <w:rsid w:val="0050661C"/>
    <w:rsid w:val="005105D3"/>
    <w:rsid w:val="005161A6"/>
    <w:rsid w:val="00520923"/>
    <w:rsid w:val="005242A3"/>
    <w:rsid w:val="00532637"/>
    <w:rsid w:val="005348B3"/>
    <w:rsid w:val="00540C88"/>
    <w:rsid w:val="00541382"/>
    <w:rsid w:val="005417C5"/>
    <w:rsid w:val="00541C09"/>
    <w:rsid w:val="00545DFC"/>
    <w:rsid w:val="00546355"/>
    <w:rsid w:val="005478B6"/>
    <w:rsid w:val="00547D11"/>
    <w:rsid w:val="005522BD"/>
    <w:rsid w:val="0055538A"/>
    <w:rsid w:val="00556475"/>
    <w:rsid w:val="00557A47"/>
    <w:rsid w:val="00560F46"/>
    <w:rsid w:val="00561219"/>
    <w:rsid w:val="00565781"/>
    <w:rsid w:val="00565B04"/>
    <w:rsid w:val="00566773"/>
    <w:rsid w:val="0056755D"/>
    <w:rsid w:val="00570703"/>
    <w:rsid w:val="005711FA"/>
    <w:rsid w:val="005724AE"/>
    <w:rsid w:val="005724C1"/>
    <w:rsid w:val="00572DE1"/>
    <w:rsid w:val="00573242"/>
    <w:rsid w:val="00573563"/>
    <w:rsid w:val="00574368"/>
    <w:rsid w:val="00575F13"/>
    <w:rsid w:val="0057611C"/>
    <w:rsid w:val="00577AF5"/>
    <w:rsid w:val="00577D0C"/>
    <w:rsid w:val="005802FC"/>
    <w:rsid w:val="00584F9F"/>
    <w:rsid w:val="00587B80"/>
    <w:rsid w:val="00587CC2"/>
    <w:rsid w:val="00590749"/>
    <w:rsid w:val="00592EEF"/>
    <w:rsid w:val="00593015"/>
    <w:rsid w:val="00593510"/>
    <w:rsid w:val="005A39A0"/>
    <w:rsid w:val="005A44E6"/>
    <w:rsid w:val="005A5CE4"/>
    <w:rsid w:val="005A7E24"/>
    <w:rsid w:val="005B099F"/>
    <w:rsid w:val="005B35EB"/>
    <w:rsid w:val="005B3A52"/>
    <w:rsid w:val="005B3FB8"/>
    <w:rsid w:val="005C0BC7"/>
    <w:rsid w:val="005C0DED"/>
    <w:rsid w:val="005C2A9B"/>
    <w:rsid w:val="005C4AE1"/>
    <w:rsid w:val="005C559A"/>
    <w:rsid w:val="005C6480"/>
    <w:rsid w:val="005D24A9"/>
    <w:rsid w:val="005D25AD"/>
    <w:rsid w:val="005D43AD"/>
    <w:rsid w:val="005D5869"/>
    <w:rsid w:val="005E09A9"/>
    <w:rsid w:val="005E3879"/>
    <w:rsid w:val="005E4722"/>
    <w:rsid w:val="005E49D5"/>
    <w:rsid w:val="005F119C"/>
    <w:rsid w:val="005F3D97"/>
    <w:rsid w:val="005F4673"/>
    <w:rsid w:val="005F55C6"/>
    <w:rsid w:val="00602982"/>
    <w:rsid w:val="0060486A"/>
    <w:rsid w:val="00605DC8"/>
    <w:rsid w:val="00607D80"/>
    <w:rsid w:val="006108DB"/>
    <w:rsid w:val="006112FA"/>
    <w:rsid w:val="006119AD"/>
    <w:rsid w:val="00611F1C"/>
    <w:rsid w:val="00614603"/>
    <w:rsid w:val="006161F5"/>
    <w:rsid w:val="00616628"/>
    <w:rsid w:val="00616D9C"/>
    <w:rsid w:val="00622442"/>
    <w:rsid w:val="00622F8D"/>
    <w:rsid w:val="00624CAA"/>
    <w:rsid w:val="006262F4"/>
    <w:rsid w:val="00626E91"/>
    <w:rsid w:val="006305B4"/>
    <w:rsid w:val="006310E2"/>
    <w:rsid w:val="006332EA"/>
    <w:rsid w:val="00633D4C"/>
    <w:rsid w:val="006346C3"/>
    <w:rsid w:val="006352F1"/>
    <w:rsid w:val="00636055"/>
    <w:rsid w:val="006414DC"/>
    <w:rsid w:val="0064267B"/>
    <w:rsid w:val="006513CA"/>
    <w:rsid w:val="00651A8B"/>
    <w:rsid w:val="0065463F"/>
    <w:rsid w:val="00656101"/>
    <w:rsid w:val="00660386"/>
    <w:rsid w:val="006619A2"/>
    <w:rsid w:val="00664AC3"/>
    <w:rsid w:val="00664FF1"/>
    <w:rsid w:val="00665D08"/>
    <w:rsid w:val="006662E0"/>
    <w:rsid w:val="00667ECD"/>
    <w:rsid w:val="0067087B"/>
    <w:rsid w:val="0067795D"/>
    <w:rsid w:val="00683C2B"/>
    <w:rsid w:val="006855B0"/>
    <w:rsid w:val="006879FE"/>
    <w:rsid w:val="00693D9D"/>
    <w:rsid w:val="00696821"/>
    <w:rsid w:val="006A4835"/>
    <w:rsid w:val="006A5472"/>
    <w:rsid w:val="006A5C2F"/>
    <w:rsid w:val="006A63DB"/>
    <w:rsid w:val="006A7F7D"/>
    <w:rsid w:val="006B5229"/>
    <w:rsid w:val="006B583F"/>
    <w:rsid w:val="006B6A6F"/>
    <w:rsid w:val="006C6381"/>
    <w:rsid w:val="006C65DD"/>
    <w:rsid w:val="006C702C"/>
    <w:rsid w:val="006C746B"/>
    <w:rsid w:val="006C7821"/>
    <w:rsid w:val="006C7D0E"/>
    <w:rsid w:val="006D0E12"/>
    <w:rsid w:val="006E0557"/>
    <w:rsid w:val="006E1413"/>
    <w:rsid w:val="006E170C"/>
    <w:rsid w:val="006E7F10"/>
    <w:rsid w:val="006F05B2"/>
    <w:rsid w:val="006F18AE"/>
    <w:rsid w:val="006F58FB"/>
    <w:rsid w:val="006F6D41"/>
    <w:rsid w:val="0070315B"/>
    <w:rsid w:val="007076CB"/>
    <w:rsid w:val="00710CC0"/>
    <w:rsid w:val="0071205E"/>
    <w:rsid w:val="007135FE"/>
    <w:rsid w:val="007147D9"/>
    <w:rsid w:val="00714CE6"/>
    <w:rsid w:val="00715ABF"/>
    <w:rsid w:val="0071757D"/>
    <w:rsid w:val="00720237"/>
    <w:rsid w:val="00721A45"/>
    <w:rsid w:val="00721AA7"/>
    <w:rsid w:val="00721DA0"/>
    <w:rsid w:val="00724191"/>
    <w:rsid w:val="00724E50"/>
    <w:rsid w:val="007266A1"/>
    <w:rsid w:val="00726925"/>
    <w:rsid w:val="00730D9F"/>
    <w:rsid w:val="0073107E"/>
    <w:rsid w:val="00732437"/>
    <w:rsid w:val="00732A8E"/>
    <w:rsid w:val="00732E6C"/>
    <w:rsid w:val="007358A8"/>
    <w:rsid w:val="00745950"/>
    <w:rsid w:val="00745B72"/>
    <w:rsid w:val="0075006C"/>
    <w:rsid w:val="007507D7"/>
    <w:rsid w:val="00752B60"/>
    <w:rsid w:val="00754C80"/>
    <w:rsid w:val="007552F7"/>
    <w:rsid w:val="0075679C"/>
    <w:rsid w:val="0075757B"/>
    <w:rsid w:val="00762547"/>
    <w:rsid w:val="00762CAF"/>
    <w:rsid w:val="007657FF"/>
    <w:rsid w:val="00765E14"/>
    <w:rsid w:val="007674DF"/>
    <w:rsid w:val="0077019C"/>
    <w:rsid w:val="00770B80"/>
    <w:rsid w:val="00774873"/>
    <w:rsid w:val="00775AD9"/>
    <w:rsid w:val="00775B41"/>
    <w:rsid w:val="0077711C"/>
    <w:rsid w:val="00777614"/>
    <w:rsid w:val="00780435"/>
    <w:rsid w:val="00780900"/>
    <w:rsid w:val="00782351"/>
    <w:rsid w:val="00785944"/>
    <w:rsid w:val="00786035"/>
    <w:rsid w:val="00786920"/>
    <w:rsid w:val="00792755"/>
    <w:rsid w:val="00792880"/>
    <w:rsid w:val="00793535"/>
    <w:rsid w:val="00793A85"/>
    <w:rsid w:val="00794A9C"/>
    <w:rsid w:val="00795F89"/>
    <w:rsid w:val="007A05D2"/>
    <w:rsid w:val="007B7940"/>
    <w:rsid w:val="007C1F0F"/>
    <w:rsid w:val="007C2209"/>
    <w:rsid w:val="007C43DA"/>
    <w:rsid w:val="007C4AA1"/>
    <w:rsid w:val="007C50FF"/>
    <w:rsid w:val="007C5CA0"/>
    <w:rsid w:val="007C62FA"/>
    <w:rsid w:val="007C689F"/>
    <w:rsid w:val="007C7D76"/>
    <w:rsid w:val="007C7F5E"/>
    <w:rsid w:val="007D08E8"/>
    <w:rsid w:val="007D191C"/>
    <w:rsid w:val="007D28E0"/>
    <w:rsid w:val="007D311F"/>
    <w:rsid w:val="007E0079"/>
    <w:rsid w:val="007E1F42"/>
    <w:rsid w:val="007E3E81"/>
    <w:rsid w:val="007E3F64"/>
    <w:rsid w:val="007E66E0"/>
    <w:rsid w:val="007E74F0"/>
    <w:rsid w:val="007E7BFB"/>
    <w:rsid w:val="007E7FDD"/>
    <w:rsid w:val="007F07CF"/>
    <w:rsid w:val="007F093C"/>
    <w:rsid w:val="007F317D"/>
    <w:rsid w:val="00800E5E"/>
    <w:rsid w:val="00803C02"/>
    <w:rsid w:val="00803E3C"/>
    <w:rsid w:val="00804800"/>
    <w:rsid w:val="008048CE"/>
    <w:rsid w:val="00804B75"/>
    <w:rsid w:val="00806B85"/>
    <w:rsid w:val="00807CD6"/>
    <w:rsid w:val="00814A09"/>
    <w:rsid w:val="00815779"/>
    <w:rsid w:val="008160A1"/>
    <w:rsid w:val="0081649F"/>
    <w:rsid w:val="008203EA"/>
    <w:rsid w:val="00820892"/>
    <w:rsid w:val="00822EEA"/>
    <w:rsid w:val="00827419"/>
    <w:rsid w:val="00827DE1"/>
    <w:rsid w:val="008307D3"/>
    <w:rsid w:val="0083478B"/>
    <w:rsid w:val="008359FB"/>
    <w:rsid w:val="00835A02"/>
    <w:rsid w:val="00836C25"/>
    <w:rsid w:val="00844520"/>
    <w:rsid w:val="00845534"/>
    <w:rsid w:val="008475E3"/>
    <w:rsid w:val="0085074F"/>
    <w:rsid w:val="008516C1"/>
    <w:rsid w:val="008528CB"/>
    <w:rsid w:val="008530BA"/>
    <w:rsid w:val="00853398"/>
    <w:rsid w:val="00854D09"/>
    <w:rsid w:val="00862E94"/>
    <w:rsid w:val="0086437F"/>
    <w:rsid w:val="00864659"/>
    <w:rsid w:val="00864CE0"/>
    <w:rsid w:val="00871304"/>
    <w:rsid w:val="0087525E"/>
    <w:rsid w:val="00876354"/>
    <w:rsid w:val="00876A3F"/>
    <w:rsid w:val="0088043F"/>
    <w:rsid w:val="00882EB7"/>
    <w:rsid w:val="0088356A"/>
    <w:rsid w:val="00884650"/>
    <w:rsid w:val="0088509C"/>
    <w:rsid w:val="00885814"/>
    <w:rsid w:val="00886527"/>
    <w:rsid w:val="00887A10"/>
    <w:rsid w:val="00891177"/>
    <w:rsid w:val="00891CF6"/>
    <w:rsid w:val="008921B0"/>
    <w:rsid w:val="00895221"/>
    <w:rsid w:val="00896007"/>
    <w:rsid w:val="00897B7A"/>
    <w:rsid w:val="008A004D"/>
    <w:rsid w:val="008A1DD4"/>
    <w:rsid w:val="008A2B7F"/>
    <w:rsid w:val="008A44A4"/>
    <w:rsid w:val="008A4869"/>
    <w:rsid w:val="008A578C"/>
    <w:rsid w:val="008B1981"/>
    <w:rsid w:val="008B1A54"/>
    <w:rsid w:val="008B254F"/>
    <w:rsid w:val="008B41E3"/>
    <w:rsid w:val="008B5A87"/>
    <w:rsid w:val="008C0F37"/>
    <w:rsid w:val="008C10FE"/>
    <w:rsid w:val="008C1C4C"/>
    <w:rsid w:val="008C7A1C"/>
    <w:rsid w:val="008D14BA"/>
    <w:rsid w:val="008D2CAD"/>
    <w:rsid w:val="008D604D"/>
    <w:rsid w:val="008D6726"/>
    <w:rsid w:val="008D69FD"/>
    <w:rsid w:val="008E1078"/>
    <w:rsid w:val="008E201D"/>
    <w:rsid w:val="008E3D4E"/>
    <w:rsid w:val="008F1DE8"/>
    <w:rsid w:val="008F2B12"/>
    <w:rsid w:val="009007A5"/>
    <w:rsid w:val="00902C5F"/>
    <w:rsid w:val="009042F5"/>
    <w:rsid w:val="00907FFA"/>
    <w:rsid w:val="009115B0"/>
    <w:rsid w:val="009147BC"/>
    <w:rsid w:val="00916D63"/>
    <w:rsid w:val="00923B46"/>
    <w:rsid w:val="00926250"/>
    <w:rsid w:val="00926840"/>
    <w:rsid w:val="0092689B"/>
    <w:rsid w:val="00931CC7"/>
    <w:rsid w:val="00932F18"/>
    <w:rsid w:val="009351AD"/>
    <w:rsid w:val="00936439"/>
    <w:rsid w:val="00937705"/>
    <w:rsid w:val="009401E0"/>
    <w:rsid w:val="009441CE"/>
    <w:rsid w:val="00945D41"/>
    <w:rsid w:val="00946DB0"/>
    <w:rsid w:val="009516E0"/>
    <w:rsid w:val="009523CF"/>
    <w:rsid w:val="00952B94"/>
    <w:rsid w:val="00960698"/>
    <w:rsid w:val="00962021"/>
    <w:rsid w:val="0096313C"/>
    <w:rsid w:val="0096396D"/>
    <w:rsid w:val="00963D14"/>
    <w:rsid w:val="00963EAB"/>
    <w:rsid w:val="0096492C"/>
    <w:rsid w:val="00964F52"/>
    <w:rsid w:val="00966767"/>
    <w:rsid w:val="00966FB9"/>
    <w:rsid w:val="00970EA6"/>
    <w:rsid w:val="0097195B"/>
    <w:rsid w:val="0097201D"/>
    <w:rsid w:val="00974AFA"/>
    <w:rsid w:val="00974D3A"/>
    <w:rsid w:val="00975FCC"/>
    <w:rsid w:val="009770F4"/>
    <w:rsid w:val="0098028D"/>
    <w:rsid w:val="00982589"/>
    <w:rsid w:val="0098333B"/>
    <w:rsid w:val="009857E6"/>
    <w:rsid w:val="00987B22"/>
    <w:rsid w:val="00990CF6"/>
    <w:rsid w:val="00996EC7"/>
    <w:rsid w:val="009A6F17"/>
    <w:rsid w:val="009A72FD"/>
    <w:rsid w:val="009A7753"/>
    <w:rsid w:val="009A7A5B"/>
    <w:rsid w:val="009B0CEE"/>
    <w:rsid w:val="009B28D9"/>
    <w:rsid w:val="009B29D9"/>
    <w:rsid w:val="009B56B3"/>
    <w:rsid w:val="009C2119"/>
    <w:rsid w:val="009C601B"/>
    <w:rsid w:val="009C62F6"/>
    <w:rsid w:val="009C785E"/>
    <w:rsid w:val="009D1447"/>
    <w:rsid w:val="009D5F24"/>
    <w:rsid w:val="009D7BC0"/>
    <w:rsid w:val="009E1A40"/>
    <w:rsid w:val="009E22D0"/>
    <w:rsid w:val="009E3072"/>
    <w:rsid w:val="009E5FAC"/>
    <w:rsid w:val="009F1FF0"/>
    <w:rsid w:val="009F3CCD"/>
    <w:rsid w:val="009F56BE"/>
    <w:rsid w:val="00A007B0"/>
    <w:rsid w:val="00A0264D"/>
    <w:rsid w:val="00A05DF3"/>
    <w:rsid w:val="00A06E00"/>
    <w:rsid w:val="00A07DE4"/>
    <w:rsid w:val="00A15816"/>
    <w:rsid w:val="00A15B94"/>
    <w:rsid w:val="00A204C9"/>
    <w:rsid w:val="00A21B42"/>
    <w:rsid w:val="00A262C2"/>
    <w:rsid w:val="00A26C1B"/>
    <w:rsid w:val="00A30266"/>
    <w:rsid w:val="00A31252"/>
    <w:rsid w:val="00A317B1"/>
    <w:rsid w:val="00A31BE9"/>
    <w:rsid w:val="00A362D0"/>
    <w:rsid w:val="00A36EDC"/>
    <w:rsid w:val="00A41B00"/>
    <w:rsid w:val="00A43575"/>
    <w:rsid w:val="00A45808"/>
    <w:rsid w:val="00A45ED5"/>
    <w:rsid w:val="00A47EF8"/>
    <w:rsid w:val="00A52603"/>
    <w:rsid w:val="00A5385B"/>
    <w:rsid w:val="00A54AE0"/>
    <w:rsid w:val="00A57190"/>
    <w:rsid w:val="00A578B5"/>
    <w:rsid w:val="00A57ADE"/>
    <w:rsid w:val="00A64853"/>
    <w:rsid w:val="00A6517B"/>
    <w:rsid w:val="00A67435"/>
    <w:rsid w:val="00A67566"/>
    <w:rsid w:val="00A7212D"/>
    <w:rsid w:val="00A74220"/>
    <w:rsid w:val="00A7546E"/>
    <w:rsid w:val="00A76F3B"/>
    <w:rsid w:val="00A803EF"/>
    <w:rsid w:val="00A82050"/>
    <w:rsid w:val="00A8377C"/>
    <w:rsid w:val="00A843C8"/>
    <w:rsid w:val="00A91B6A"/>
    <w:rsid w:val="00A92D1B"/>
    <w:rsid w:val="00A954FD"/>
    <w:rsid w:val="00AA5C9B"/>
    <w:rsid w:val="00AA6790"/>
    <w:rsid w:val="00AA7D69"/>
    <w:rsid w:val="00AB455E"/>
    <w:rsid w:val="00AB7D1E"/>
    <w:rsid w:val="00AB7DDA"/>
    <w:rsid w:val="00AC1260"/>
    <w:rsid w:val="00AC1DB5"/>
    <w:rsid w:val="00AC75F0"/>
    <w:rsid w:val="00AD0449"/>
    <w:rsid w:val="00AD0ACF"/>
    <w:rsid w:val="00AD260C"/>
    <w:rsid w:val="00AD62DD"/>
    <w:rsid w:val="00AE50B8"/>
    <w:rsid w:val="00AE5330"/>
    <w:rsid w:val="00AE6140"/>
    <w:rsid w:val="00AE66FA"/>
    <w:rsid w:val="00AF0A04"/>
    <w:rsid w:val="00AF1D9B"/>
    <w:rsid w:val="00AF2006"/>
    <w:rsid w:val="00AF20D6"/>
    <w:rsid w:val="00AF33C9"/>
    <w:rsid w:val="00AF4E7A"/>
    <w:rsid w:val="00AF6028"/>
    <w:rsid w:val="00B03237"/>
    <w:rsid w:val="00B04C73"/>
    <w:rsid w:val="00B054C0"/>
    <w:rsid w:val="00B1173D"/>
    <w:rsid w:val="00B11FA9"/>
    <w:rsid w:val="00B13D9F"/>
    <w:rsid w:val="00B167CC"/>
    <w:rsid w:val="00B17F2C"/>
    <w:rsid w:val="00B21246"/>
    <w:rsid w:val="00B33820"/>
    <w:rsid w:val="00B33A4E"/>
    <w:rsid w:val="00B34030"/>
    <w:rsid w:val="00B35517"/>
    <w:rsid w:val="00B35602"/>
    <w:rsid w:val="00B356C4"/>
    <w:rsid w:val="00B35902"/>
    <w:rsid w:val="00B3616B"/>
    <w:rsid w:val="00B37031"/>
    <w:rsid w:val="00B40278"/>
    <w:rsid w:val="00B41801"/>
    <w:rsid w:val="00B42026"/>
    <w:rsid w:val="00B435EC"/>
    <w:rsid w:val="00B44332"/>
    <w:rsid w:val="00B44384"/>
    <w:rsid w:val="00B46D8E"/>
    <w:rsid w:val="00B50A4D"/>
    <w:rsid w:val="00B511A3"/>
    <w:rsid w:val="00B513EA"/>
    <w:rsid w:val="00B51715"/>
    <w:rsid w:val="00B51774"/>
    <w:rsid w:val="00B51F46"/>
    <w:rsid w:val="00B5309F"/>
    <w:rsid w:val="00B575D5"/>
    <w:rsid w:val="00B60799"/>
    <w:rsid w:val="00B61DF4"/>
    <w:rsid w:val="00B62381"/>
    <w:rsid w:val="00B63C0D"/>
    <w:rsid w:val="00B63FD4"/>
    <w:rsid w:val="00B656FB"/>
    <w:rsid w:val="00B661D4"/>
    <w:rsid w:val="00B72D6B"/>
    <w:rsid w:val="00B778E4"/>
    <w:rsid w:val="00B81F53"/>
    <w:rsid w:val="00B86C87"/>
    <w:rsid w:val="00B93A89"/>
    <w:rsid w:val="00B96774"/>
    <w:rsid w:val="00B974E8"/>
    <w:rsid w:val="00BA315F"/>
    <w:rsid w:val="00BA3DA4"/>
    <w:rsid w:val="00BA4556"/>
    <w:rsid w:val="00BA51AB"/>
    <w:rsid w:val="00BA6FD2"/>
    <w:rsid w:val="00BB0473"/>
    <w:rsid w:val="00BB2C5D"/>
    <w:rsid w:val="00BB47BB"/>
    <w:rsid w:val="00BB68C3"/>
    <w:rsid w:val="00BB72D4"/>
    <w:rsid w:val="00BC18D1"/>
    <w:rsid w:val="00BC4AD6"/>
    <w:rsid w:val="00BC5395"/>
    <w:rsid w:val="00BC5747"/>
    <w:rsid w:val="00BD7FE6"/>
    <w:rsid w:val="00BE0A2D"/>
    <w:rsid w:val="00BE0B60"/>
    <w:rsid w:val="00BE4EDD"/>
    <w:rsid w:val="00BE562E"/>
    <w:rsid w:val="00BE60F5"/>
    <w:rsid w:val="00BF19EE"/>
    <w:rsid w:val="00BF1A3F"/>
    <w:rsid w:val="00BF20C2"/>
    <w:rsid w:val="00BF31D5"/>
    <w:rsid w:val="00BF61E2"/>
    <w:rsid w:val="00BF6683"/>
    <w:rsid w:val="00C00759"/>
    <w:rsid w:val="00C0323D"/>
    <w:rsid w:val="00C048A4"/>
    <w:rsid w:val="00C06E1A"/>
    <w:rsid w:val="00C11CBB"/>
    <w:rsid w:val="00C12471"/>
    <w:rsid w:val="00C124DC"/>
    <w:rsid w:val="00C20249"/>
    <w:rsid w:val="00C24D4B"/>
    <w:rsid w:val="00C3028D"/>
    <w:rsid w:val="00C370B1"/>
    <w:rsid w:val="00C4361C"/>
    <w:rsid w:val="00C436FF"/>
    <w:rsid w:val="00C43878"/>
    <w:rsid w:val="00C467C5"/>
    <w:rsid w:val="00C511ED"/>
    <w:rsid w:val="00C525C5"/>
    <w:rsid w:val="00C536CA"/>
    <w:rsid w:val="00C56F95"/>
    <w:rsid w:val="00C6351C"/>
    <w:rsid w:val="00C6538D"/>
    <w:rsid w:val="00C65D24"/>
    <w:rsid w:val="00C723A5"/>
    <w:rsid w:val="00C74FC5"/>
    <w:rsid w:val="00C756B1"/>
    <w:rsid w:val="00C77C0C"/>
    <w:rsid w:val="00C87F0B"/>
    <w:rsid w:val="00C926EB"/>
    <w:rsid w:val="00C92C06"/>
    <w:rsid w:val="00C94091"/>
    <w:rsid w:val="00C9795C"/>
    <w:rsid w:val="00CA0336"/>
    <w:rsid w:val="00CA631A"/>
    <w:rsid w:val="00CA74F1"/>
    <w:rsid w:val="00CB41D7"/>
    <w:rsid w:val="00CB4EB6"/>
    <w:rsid w:val="00CB6EB6"/>
    <w:rsid w:val="00CB71A8"/>
    <w:rsid w:val="00CC0E84"/>
    <w:rsid w:val="00CC5D24"/>
    <w:rsid w:val="00CD07AD"/>
    <w:rsid w:val="00CD4231"/>
    <w:rsid w:val="00CD5831"/>
    <w:rsid w:val="00CD5A3D"/>
    <w:rsid w:val="00CD5B3C"/>
    <w:rsid w:val="00CD730C"/>
    <w:rsid w:val="00CE1AEC"/>
    <w:rsid w:val="00CE7FFA"/>
    <w:rsid w:val="00CF048B"/>
    <w:rsid w:val="00CF1430"/>
    <w:rsid w:val="00CF442B"/>
    <w:rsid w:val="00CF603B"/>
    <w:rsid w:val="00D004F2"/>
    <w:rsid w:val="00D00954"/>
    <w:rsid w:val="00D03FDE"/>
    <w:rsid w:val="00D042B1"/>
    <w:rsid w:val="00D10E43"/>
    <w:rsid w:val="00D13B57"/>
    <w:rsid w:val="00D15BCF"/>
    <w:rsid w:val="00D175F8"/>
    <w:rsid w:val="00D2409E"/>
    <w:rsid w:val="00D2599F"/>
    <w:rsid w:val="00D271A4"/>
    <w:rsid w:val="00D27EDC"/>
    <w:rsid w:val="00D30029"/>
    <w:rsid w:val="00D33BEF"/>
    <w:rsid w:val="00D34C2D"/>
    <w:rsid w:val="00D35AC3"/>
    <w:rsid w:val="00D35CD3"/>
    <w:rsid w:val="00D412E9"/>
    <w:rsid w:val="00D41305"/>
    <w:rsid w:val="00D425C5"/>
    <w:rsid w:val="00D44C99"/>
    <w:rsid w:val="00D45A04"/>
    <w:rsid w:val="00D47CD6"/>
    <w:rsid w:val="00D5005A"/>
    <w:rsid w:val="00D50B1F"/>
    <w:rsid w:val="00D55CD8"/>
    <w:rsid w:val="00D56426"/>
    <w:rsid w:val="00D577F6"/>
    <w:rsid w:val="00D65B5B"/>
    <w:rsid w:val="00D65F6A"/>
    <w:rsid w:val="00D66377"/>
    <w:rsid w:val="00D6794A"/>
    <w:rsid w:val="00D71138"/>
    <w:rsid w:val="00D71FC8"/>
    <w:rsid w:val="00D74150"/>
    <w:rsid w:val="00D7469E"/>
    <w:rsid w:val="00D753BD"/>
    <w:rsid w:val="00D811CC"/>
    <w:rsid w:val="00D83C4D"/>
    <w:rsid w:val="00D8432B"/>
    <w:rsid w:val="00D843E4"/>
    <w:rsid w:val="00D85D0C"/>
    <w:rsid w:val="00D862E2"/>
    <w:rsid w:val="00D918D9"/>
    <w:rsid w:val="00D92B30"/>
    <w:rsid w:val="00D97DDF"/>
    <w:rsid w:val="00DA2D55"/>
    <w:rsid w:val="00DA6211"/>
    <w:rsid w:val="00DA63D5"/>
    <w:rsid w:val="00DB5232"/>
    <w:rsid w:val="00DB6F7A"/>
    <w:rsid w:val="00DC1AE9"/>
    <w:rsid w:val="00DC2AF1"/>
    <w:rsid w:val="00DC2F80"/>
    <w:rsid w:val="00DD0E52"/>
    <w:rsid w:val="00DD2A22"/>
    <w:rsid w:val="00DD54C7"/>
    <w:rsid w:val="00DD59AD"/>
    <w:rsid w:val="00DE3195"/>
    <w:rsid w:val="00DE45FE"/>
    <w:rsid w:val="00DE7B22"/>
    <w:rsid w:val="00DF1CB8"/>
    <w:rsid w:val="00DF3E47"/>
    <w:rsid w:val="00DF5940"/>
    <w:rsid w:val="00E01390"/>
    <w:rsid w:val="00E04F60"/>
    <w:rsid w:val="00E10211"/>
    <w:rsid w:val="00E11EEE"/>
    <w:rsid w:val="00E11FA0"/>
    <w:rsid w:val="00E12804"/>
    <w:rsid w:val="00E136F2"/>
    <w:rsid w:val="00E15E7D"/>
    <w:rsid w:val="00E169E6"/>
    <w:rsid w:val="00E20DE1"/>
    <w:rsid w:val="00E21E37"/>
    <w:rsid w:val="00E25FDE"/>
    <w:rsid w:val="00E26AC1"/>
    <w:rsid w:val="00E305F8"/>
    <w:rsid w:val="00E31237"/>
    <w:rsid w:val="00E33BC4"/>
    <w:rsid w:val="00E35181"/>
    <w:rsid w:val="00E357DD"/>
    <w:rsid w:val="00E37603"/>
    <w:rsid w:val="00E403F6"/>
    <w:rsid w:val="00E41E27"/>
    <w:rsid w:val="00E46286"/>
    <w:rsid w:val="00E52AD2"/>
    <w:rsid w:val="00E56D7C"/>
    <w:rsid w:val="00E61754"/>
    <w:rsid w:val="00E66FE7"/>
    <w:rsid w:val="00E7532C"/>
    <w:rsid w:val="00E76A83"/>
    <w:rsid w:val="00E77788"/>
    <w:rsid w:val="00E80B46"/>
    <w:rsid w:val="00E901B1"/>
    <w:rsid w:val="00E90E08"/>
    <w:rsid w:val="00E91AF2"/>
    <w:rsid w:val="00E93D42"/>
    <w:rsid w:val="00E95297"/>
    <w:rsid w:val="00E95B19"/>
    <w:rsid w:val="00E9729B"/>
    <w:rsid w:val="00E9730F"/>
    <w:rsid w:val="00EA30A9"/>
    <w:rsid w:val="00EA3489"/>
    <w:rsid w:val="00EB21C0"/>
    <w:rsid w:val="00EB3227"/>
    <w:rsid w:val="00EC1614"/>
    <w:rsid w:val="00EC6378"/>
    <w:rsid w:val="00ED09F9"/>
    <w:rsid w:val="00ED25ED"/>
    <w:rsid w:val="00ED3CF2"/>
    <w:rsid w:val="00ED50FB"/>
    <w:rsid w:val="00EE441D"/>
    <w:rsid w:val="00EF3982"/>
    <w:rsid w:val="00EF4BDE"/>
    <w:rsid w:val="00EF75A0"/>
    <w:rsid w:val="00EF790E"/>
    <w:rsid w:val="00F001CE"/>
    <w:rsid w:val="00F00ADD"/>
    <w:rsid w:val="00F01F64"/>
    <w:rsid w:val="00F020FA"/>
    <w:rsid w:val="00F0216F"/>
    <w:rsid w:val="00F05310"/>
    <w:rsid w:val="00F069B7"/>
    <w:rsid w:val="00F06A8C"/>
    <w:rsid w:val="00F07ECE"/>
    <w:rsid w:val="00F12657"/>
    <w:rsid w:val="00F13B41"/>
    <w:rsid w:val="00F13E8D"/>
    <w:rsid w:val="00F25061"/>
    <w:rsid w:val="00F25134"/>
    <w:rsid w:val="00F25308"/>
    <w:rsid w:val="00F2545A"/>
    <w:rsid w:val="00F279FA"/>
    <w:rsid w:val="00F30437"/>
    <w:rsid w:val="00F30854"/>
    <w:rsid w:val="00F30984"/>
    <w:rsid w:val="00F32D30"/>
    <w:rsid w:val="00F353F8"/>
    <w:rsid w:val="00F3660F"/>
    <w:rsid w:val="00F402F8"/>
    <w:rsid w:val="00F41725"/>
    <w:rsid w:val="00F43FD8"/>
    <w:rsid w:val="00F46FCA"/>
    <w:rsid w:val="00F47A8F"/>
    <w:rsid w:val="00F51BFF"/>
    <w:rsid w:val="00F529D2"/>
    <w:rsid w:val="00F5405F"/>
    <w:rsid w:val="00F55168"/>
    <w:rsid w:val="00F6207F"/>
    <w:rsid w:val="00F64138"/>
    <w:rsid w:val="00F660C3"/>
    <w:rsid w:val="00F70E18"/>
    <w:rsid w:val="00F71557"/>
    <w:rsid w:val="00F73726"/>
    <w:rsid w:val="00F75069"/>
    <w:rsid w:val="00F77A10"/>
    <w:rsid w:val="00F81F78"/>
    <w:rsid w:val="00F82B71"/>
    <w:rsid w:val="00F8408C"/>
    <w:rsid w:val="00F856D9"/>
    <w:rsid w:val="00F85DC7"/>
    <w:rsid w:val="00F867AD"/>
    <w:rsid w:val="00F9779E"/>
    <w:rsid w:val="00FA020E"/>
    <w:rsid w:val="00FA155D"/>
    <w:rsid w:val="00FA5668"/>
    <w:rsid w:val="00FB0DD3"/>
    <w:rsid w:val="00FB1B3F"/>
    <w:rsid w:val="00FB1BCA"/>
    <w:rsid w:val="00FB35F4"/>
    <w:rsid w:val="00FB3705"/>
    <w:rsid w:val="00FC06C3"/>
    <w:rsid w:val="00FC14D4"/>
    <w:rsid w:val="00FC2736"/>
    <w:rsid w:val="00FC3C32"/>
    <w:rsid w:val="00FC47D4"/>
    <w:rsid w:val="00FC5FE5"/>
    <w:rsid w:val="00FD1788"/>
    <w:rsid w:val="00FD4FC4"/>
    <w:rsid w:val="00FD6E30"/>
    <w:rsid w:val="00FE07BF"/>
    <w:rsid w:val="00FE1B6A"/>
    <w:rsid w:val="00FE1F40"/>
    <w:rsid w:val="00FF1572"/>
    <w:rsid w:val="00FF24EC"/>
    <w:rsid w:val="00FF33EF"/>
    <w:rsid w:val="00FF3C84"/>
    <w:rsid w:val="00FF45CD"/>
    <w:rsid w:val="00FF7C56"/>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90114">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2A55"/>
  </w:style>
  <w:style w:type="paragraph" w:styleId="1">
    <w:name w:val="heading 1"/>
    <w:basedOn w:val="a"/>
    <w:next w:val="a"/>
    <w:link w:val="10"/>
    <w:uiPriority w:val="9"/>
    <w:qFormat/>
    <w:rsid w:val="00882EB7"/>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link w:val="20"/>
    <w:uiPriority w:val="9"/>
    <w:qFormat/>
    <w:rsid w:val="00882EB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unhideWhenUsed/>
    <w:qFormat/>
    <w:rsid w:val="009F1FF0"/>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7E2B"/>
    <w:pPr>
      <w:ind w:left="720"/>
      <w:contextualSpacing/>
    </w:pPr>
  </w:style>
  <w:style w:type="paragraph" w:styleId="a4">
    <w:name w:val="header"/>
    <w:basedOn w:val="a"/>
    <w:link w:val="a5"/>
    <w:uiPriority w:val="99"/>
    <w:unhideWhenUsed/>
    <w:rsid w:val="00DB5232"/>
    <w:pPr>
      <w:tabs>
        <w:tab w:val="center" w:pos="4153"/>
        <w:tab w:val="right" w:pos="8306"/>
      </w:tabs>
      <w:spacing w:after="0" w:line="240" w:lineRule="auto"/>
    </w:pPr>
  </w:style>
  <w:style w:type="character" w:customStyle="1" w:styleId="a5">
    <w:name w:val="כותרת עליונה תו"/>
    <w:basedOn w:val="a0"/>
    <w:link w:val="a4"/>
    <w:uiPriority w:val="99"/>
    <w:rsid w:val="00DB5232"/>
  </w:style>
  <w:style w:type="paragraph" w:styleId="a6">
    <w:name w:val="footer"/>
    <w:basedOn w:val="a"/>
    <w:link w:val="a7"/>
    <w:uiPriority w:val="99"/>
    <w:unhideWhenUsed/>
    <w:rsid w:val="00DB5232"/>
    <w:pPr>
      <w:tabs>
        <w:tab w:val="center" w:pos="4153"/>
        <w:tab w:val="right" w:pos="8306"/>
      </w:tabs>
      <w:spacing w:after="0" w:line="240" w:lineRule="auto"/>
    </w:pPr>
  </w:style>
  <w:style w:type="character" w:customStyle="1" w:styleId="a7">
    <w:name w:val="כותרת תחתונה תו"/>
    <w:basedOn w:val="a0"/>
    <w:link w:val="a6"/>
    <w:uiPriority w:val="99"/>
    <w:rsid w:val="00DB5232"/>
  </w:style>
  <w:style w:type="paragraph" w:styleId="a8">
    <w:name w:val="Balloon Text"/>
    <w:basedOn w:val="a"/>
    <w:link w:val="a9"/>
    <w:uiPriority w:val="99"/>
    <w:semiHidden/>
    <w:unhideWhenUsed/>
    <w:rsid w:val="003D796B"/>
    <w:pPr>
      <w:spacing w:after="0" w:line="240" w:lineRule="auto"/>
    </w:pPr>
    <w:rPr>
      <w:rFonts w:ascii="Tahoma" w:hAnsi="Tahoma" w:cs="Tahoma"/>
      <w:sz w:val="18"/>
      <w:szCs w:val="18"/>
    </w:rPr>
  </w:style>
  <w:style w:type="character" w:customStyle="1" w:styleId="a9">
    <w:name w:val="טקסט בלונים תו"/>
    <w:basedOn w:val="a0"/>
    <w:link w:val="a8"/>
    <w:uiPriority w:val="99"/>
    <w:semiHidden/>
    <w:rsid w:val="003D796B"/>
    <w:rPr>
      <w:rFonts w:ascii="Tahoma" w:hAnsi="Tahoma" w:cs="Tahoma"/>
      <w:sz w:val="18"/>
      <w:szCs w:val="18"/>
    </w:rPr>
  </w:style>
  <w:style w:type="table" w:styleId="aa">
    <w:name w:val="Table Grid"/>
    <w:basedOn w:val="a1"/>
    <w:uiPriority w:val="39"/>
    <w:rsid w:val="007C50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ibliography"/>
    <w:basedOn w:val="a"/>
    <w:next w:val="a"/>
    <w:uiPriority w:val="37"/>
    <w:unhideWhenUsed/>
    <w:rsid w:val="00A64853"/>
  </w:style>
  <w:style w:type="paragraph" w:styleId="ac">
    <w:name w:val="footnote text"/>
    <w:basedOn w:val="a"/>
    <w:link w:val="ad"/>
    <w:uiPriority w:val="99"/>
    <w:semiHidden/>
    <w:unhideWhenUsed/>
    <w:rsid w:val="002F33A4"/>
    <w:pPr>
      <w:spacing w:after="0" w:line="240" w:lineRule="auto"/>
    </w:pPr>
    <w:rPr>
      <w:sz w:val="20"/>
      <w:szCs w:val="20"/>
    </w:rPr>
  </w:style>
  <w:style w:type="character" w:customStyle="1" w:styleId="ad">
    <w:name w:val="טקסט הערת שוליים תו"/>
    <w:basedOn w:val="a0"/>
    <w:link w:val="ac"/>
    <w:uiPriority w:val="99"/>
    <w:semiHidden/>
    <w:rsid w:val="002F33A4"/>
    <w:rPr>
      <w:sz w:val="20"/>
      <w:szCs w:val="20"/>
    </w:rPr>
  </w:style>
  <w:style w:type="character" w:styleId="ae">
    <w:name w:val="footnote reference"/>
    <w:basedOn w:val="a0"/>
    <w:uiPriority w:val="99"/>
    <w:semiHidden/>
    <w:unhideWhenUsed/>
    <w:rsid w:val="002F33A4"/>
    <w:rPr>
      <w:vertAlign w:val="superscript"/>
    </w:rPr>
  </w:style>
  <w:style w:type="character" w:styleId="Hyperlink">
    <w:name w:val="Hyperlink"/>
    <w:basedOn w:val="a0"/>
    <w:uiPriority w:val="99"/>
    <w:unhideWhenUsed/>
    <w:rsid w:val="002A5B21"/>
    <w:rPr>
      <w:color w:val="0000FF"/>
      <w:u w:val="single"/>
    </w:rPr>
  </w:style>
  <w:style w:type="character" w:styleId="af">
    <w:name w:val="Strong"/>
    <w:basedOn w:val="a0"/>
    <w:uiPriority w:val="22"/>
    <w:qFormat/>
    <w:rsid w:val="00481B0F"/>
    <w:rPr>
      <w:b/>
      <w:bCs/>
    </w:rPr>
  </w:style>
  <w:style w:type="character" w:customStyle="1" w:styleId="20">
    <w:name w:val="כותרת 2 תו"/>
    <w:basedOn w:val="a0"/>
    <w:link w:val="2"/>
    <w:uiPriority w:val="9"/>
    <w:rsid w:val="00882EB7"/>
    <w:rPr>
      <w:rFonts w:ascii="Times New Roman" w:eastAsia="Times New Roman" w:hAnsi="Times New Roman" w:cs="Times New Roman"/>
      <w:b/>
      <w:bCs/>
      <w:sz w:val="36"/>
      <w:szCs w:val="36"/>
    </w:rPr>
  </w:style>
  <w:style w:type="character" w:customStyle="1" w:styleId="10">
    <w:name w:val="כותרת 1 תו"/>
    <w:basedOn w:val="a0"/>
    <w:link w:val="1"/>
    <w:uiPriority w:val="9"/>
    <w:rsid w:val="00882EB7"/>
    <w:rPr>
      <w:rFonts w:asciiTheme="majorHAnsi" w:eastAsiaTheme="majorEastAsia" w:hAnsiTheme="majorHAnsi" w:cstheme="majorBidi"/>
      <w:b/>
      <w:bCs/>
      <w:color w:val="2E74B5" w:themeColor="accent1" w:themeShade="BF"/>
      <w:sz w:val="28"/>
      <w:szCs w:val="28"/>
    </w:rPr>
  </w:style>
  <w:style w:type="paragraph" w:styleId="NormalWeb">
    <w:name w:val="Normal (Web)"/>
    <w:basedOn w:val="a"/>
    <w:uiPriority w:val="99"/>
    <w:semiHidden/>
    <w:unhideWhenUsed/>
    <w:rsid w:val="00AF33C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urvib">
    <w:name w:val="wurvib"/>
    <w:basedOn w:val="a0"/>
    <w:rsid w:val="00AF33C9"/>
  </w:style>
  <w:style w:type="character" w:customStyle="1" w:styleId="gl">
    <w:name w:val="gl"/>
    <w:basedOn w:val="a0"/>
    <w:rsid w:val="00AF33C9"/>
  </w:style>
  <w:style w:type="character" w:customStyle="1" w:styleId="a10">
    <w:name w:val="a1"/>
    <w:basedOn w:val="a0"/>
    <w:rsid w:val="00E11FA0"/>
  </w:style>
  <w:style w:type="paragraph" w:styleId="af0">
    <w:name w:val="caption"/>
    <w:basedOn w:val="a"/>
    <w:next w:val="a"/>
    <w:uiPriority w:val="35"/>
    <w:unhideWhenUsed/>
    <w:qFormat/>
    <w:rsid w:val="005B35EB"/>
    <w:pPr>
      <w:spacing w:after="200" w:line="240" w:lineRule="auto"/>
    </w:pPr>
    <w:rPr>
      <w:b/>
      <w:bCs/>
      <w:color w:val="5B9BD5" w:themeColor="accent1"/>
      <w:sz w:val="18"/>
      <w:szCs w:val="18"/>
    </w:rPr>
  </w:style>
  <w:style w:type="paragraph" w:styleId="af1">
    <w:name w:val="TOC Heading"/>
    <w:basedOn w:val="1"/>
    <w:next w:val="a"/>
    <w:uiPriority w:val="39"/>
    <w:unhideWhenUsed/>
    <w:qFormat/>
    <w:rsid w:val="00CE1AEC"/>
    <w:pPr>
      <w:bidi/>
      <w:spacing w:line="276" w:lineRule="auto"/>
      <w:outlineLvl w:val="9"/>
    </w:pPr>
  </w:style>
  <w:style w:type="paragraph" w:styleId="TOC2">
    <w:name w:val="toc 2"/>
    <w:basedOn w:val="a"/>
    <w:next w:val="a"/>
    <w:autoRedefine/>
    <w:uiPriority w:val="39"/>
    <w:unhideWhenUsed/>
    <w:rsid w:val="009F56BE"/>
    <w:pPr>
      <w:tabs>
        <w:tab w:val="right" w:leader="dot" w:pos="9016"/>
      </w:tabs>
      <w:bidi/>
      <w:spacing w:after="100" w:line="360" w:lineRule="auto"/>
      <w:ind w:left="220"/>
    </w:pPr>
    <w:rPr>
      <w:rFonts w:ascii="David" w:hAnsi="David" w:cs="David"/>
      <w:b/>
      <w:bCs/>
      <w:noProof/>
      <w:sz w:val="28"/>
      <w:szCs w:val="28"/>
      <w:shd w:val="clear" w:color="auto" w:fill="FFFFFF"/>
    </w:rPr>
  </w:style>
  <w:style w:type="paragraph" w:styleId="TOC1">
    <w:name w:val="toc 1"/>
    <w:basedOn w:val="a"/>
    <w:next w:val="a"/>
    <w:autoRedefine/>
    <w:uiPriority w:val="39"/>
    <w:unhideWhenUsed/>
    <w:rsid w:val="00E77788"/>
    <w:pPr>
      <w:tabs>
        <w:tab w:val="right" w:leader="dot" w:pos="9016"/>
      </w:tabs>
      <w:bidi/>
      <w:spacing w:after="100"/>
    </w:pPr>
    <w:rPr>
      <w:rFonts w:ascii="David" w:hAnsi="David" w:cs="David"/>
      <w:b/>
      <w:bCs/>
      <w:noProof/>
      <w:sz w:val="36"/>
      <w:szCs w:val="36"/>
    </w:rPr>
  </w:style>
  <w:style w:type="character" w:customStyle="1" w:styleId="30">
    <w:name w:val="כותרת 3 תו"/>
    <w:basedOn w:val="a0"/>
    <w:link w:val="3"/>
    <w:uiPriority w:val="9"/>
    <w:rsid w:val="009F1FF0"/>
    <w:rPr>
      <w:rFonts w:asciiTheme="majorHAnsi" w:eastAsiaTheme="majorEastAsia" w:hAnsiTheme="majorHAnsi" w:cstheme="majorBidi"/>
      <w:b/>
      <w:bCs/>
      <w:color w:val="5B9BD5" w:themeColor="accent1"/>
    </w:rPr>
  </w:style>
  <w:style w:type="paragraph" w:styleId="TOC3">
    <w:name w:val="toc 3"/>
    <w:basedOn w:val="a"/>
    <w:next w:val="a"/>
    <w:autoRedefine/>
    <w:uiPriority w:val="39"/>
    <w:unhideWhenUsed/>
    <w:rsid w:val="009F56BE"/>
    <w:pPr>
      <w:tabs>
        <w:tab w:val="right" w:leader="dot" w:pos="9016"/>
      </w:tabs>
      <w:bidi/>
      <w:spacing w:after="100"/>
      <w:ind w:left="440"/>
    </w:pPr>
    <w:rPr>
      <w:rFonts w:ascii="David" w:hAnsi="David" w:cs="David"/>
      <w:noProof/>
      <w:sz w:val="28"/>
      <w:szCs w:val="28"/>
    </w:rPr>
  </w:style>
</w:styles>
</file>

<file path=word/webSettings.xml><?xml version="1.0" encoding="utf-8"?>
<w:webSettings xmlns:r="http://schemas.openxmlformats.org/officeDocument/2006/relationships" xmlns:w="http://schemas.openxmlformats.org/wordprocessingml/2006/main">
  <w:divs>
    <w:div w:id="457531382">
      <w:bodyDiv w:val="1"/>
      <w:marLeft w:val="0"/>
      <w:marRight w:val="0"/>
      <w:marTop w:val="0"/>
      <w:marBottom w:val="0"/>
      <w:divBdr>
        <w:top w:val="none" w:sz="0" w:space="0" w:color="auto"/>
        <w:left w:val="none" w:sz="0" w:space="0" w:color="auto"/>
        <w:bottom w:val="none" w:sz="0" w:space="0" w:color="auto"/>
        <w:right w:val="none" w:sz="0" w:space="0" w:color="auto"/>
      </w:divBdr>
    </w:div>
    <w:div w:id="1043335917">
      <w:bodyDiv w:val="1"/>
      <w:marLeft w:val="0"/>
      <w:marRight w:val="0"/>
      <w:marTop w:val="0"/>
      <w:marBottom w:val="0"/>
      <w:divBdr>
        <w:top w:val="none" w:sz="0" w:space="0" w:color="auto"/>
        <w:left w:val="none" w:sz="0" w:space="0" w:color="auto"/>
        <w:bottom w:val="none" w:sz="0" w:space="0" w:color="auto"/>
        <w:right w:val="none" w:sz="0" w:space="0" w:color="auto"/>
      </w:divBdr>
      <w:divsChild>
        <w:div w:id="1074160694">
          <w:marLeft w:val="0"/>
          <w:marRight w:val="0"/>
          <w:marTop w:val="0"/>
          <w:marBottom w:val="0"/>
          <w:divBdr>
            <w:top w:val="none" w:sz="0" w:space="0" w:color="auto"/>
            <w:left w:val="none" w:sz="0" w:space="0" w:color="auto"/>
            <w:bottom w:val="none" w:sz="0" w:space="0" w:color="auto"/>
            <w:right w:val="none" w:sz="0" w:space="0" w:color="auto"/>
          </w:divBdr>
          <w:divsChild>
            <w:div w:id="949554809">
              <w:marLeft w:val="0"/>
              <w:marRight w:val="0"/>
              <w:marTop w:val="38"/>
              <w:marBottom w:val="0"/>
              <w:divBdr>
                <w:top w:val="none" w:sz="0" w:space="0" w:color="auto"/>
                <w:left w:val="none" w:sz="0" w:space="0" w:color="auto"/>
                <w:bottom w:val="none" w:sz="0" w:space="0" w:color="auto"/>
                <w:right w:val="none" w:sz="0" w:space="0" w:color="auto"/>
              </w:divBdr>
              <w:divsChild>
                <w:div w:id="1700274416">
                  <w:marLeft w:val="0"/>
                  <w:marRight w:val="0"/>
                  <w:marTop w:val="0"/>
                  <w:marBottom w:val="0"/>
                  <w:divBdr>
                    <w:top w:val="none" w:sz="0" w:space="0" w:color="auto"/>
                    <w:left w:val="none" w:sz="0" w:space="0" w:color="auto"/>
                    <w:bottom w:val="none" w:sz="0" w:space="0" w:color="auto"/>
                    <w:right w:val="none" w:sz="0" w:space="0" w:color="auto"/>
                  </w:divBdr>
                  <w:divsChild>
                    <w:div w:id="731120723">
                      <w:marLeft w:val="3306"/>
                      <w:marRight w:val="1878"/>
                      <w:marTop w:val="0"/>
                      <w:marBottom w:val="0"/>
                      <w:divBdr>
                        <w:top w:val="none" w:sz="0" w:space="0" w:color="auto"/>
                        <w:left w:val="none" w:sz="0" w:space="0" w:color="auto"/>
                        <w:bottom w:val="none" w:sz="0" w:space="0" w:color="auto"/>
                        <w:right w:val="none" w:sz="0" w:space="0" w:color="auto"/>
                      </w:divBdr>
                      <w:divsChild>
                        <w:div w:id="1407143102">
                          <w:marLeft w:val="0"/>
                          <w:marRight w:val="0"/>
                          <w:marTop w:val="0"/>
                          <w:marBottom w:val="0"/>
                          <w:divBdr>
                            <w:top w:val="none" w:sz="0" w:space="0" w:color="auto"/>
                            <w:left w:val="none" w:sz="0" w:space="0" w:color="auto"/>
                            <w:bottom w:val="none" w:sz="0" w:space="0" w:color="auto"/>
                            <w:right w:val="none" w:sz="0" w:space="0" w:color="auto"/>
                          </w:divBdr>
                          <w:divsChild>
                            <w:div w:id="1030843045">
                              <w:marLeft w:val="0"/>
                              <w:marRight w:val="0"/>
                              <w:marTop w:val="0"/>
                              <w:marBottom w:val="0"/>
                              <w:divBdr>
                                <w:top w:val="none" w:sz="0" w:space="0" w:color="auto"/>
                                <w:left w:val="none" w:sz="0" w:space="0" w:color="auto"/>
                                <w:bottom w:val="none" w:sz="0" w:space="0" w:color="auto"/>
                                <w:right w:val="none" w:sz="0" w:space="0" w:color="auto"/>
                              </w:divBdr>
                              <w:divsChild>
                                <w:div w:id="23327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400863">
                          <w:marLeft w:val="0"/>
                          <w:marRight w:val="0"/>
                          <w:marTop w:val="0"/>
                          <w:marBottom w:val="0"/>
                          <w:divBdr>
                            <w:top w:val="none" w:sz="0" w:space="0" w:color="auto"/>
                            <w:left w:val="none" w:sz="0" w:space="0" w:color="auto"/>
                            <w:bottom w:val="none" w:sz="0" w:space="0" w:color="auto"/>
                            <w:right w:val="none" w:sz="0" w:space="0" w:color="auto"/>
                          </w:divBdr>
                          <w:divsChild>
                            <w:div w:id="1910774388">
                              <w:marLeft w:val="0"/>
                              <w:marRight w:val="0"/>
                              <w:marTop w:val="0"/>
                              <w:marBottom w:val="0"/>
                              <w:divBdr>
                                <w:top w:val="none" w:sz="0" w:space="0" w:color="auto"/>
                                <w:left w:val="none" w:sz="0" w:space="0" w:color="auto"/>
                                <w:bottom w:val="none" w:sz="0" w:space="0" w:color="auto"/>
                                <w:right w:val="none" w:sz="0" w:space="0" w:color="auto"/>
                              </w:divBdr>
                              <w:divsChild>
                                <w:div w:id="285821386">
                                  <w:marLeft w:val="0"/>
                                  <w:marRight w:val="0"/>
                                  <w:marTop w:val="0"/>
                                  <w:marBottom w:val="0"/>
                                  <w:divBdr>
                                    <w:top w:val="none" w:sz="0" w:space="0" w:color="auto"/>
                                    <w:left w:val="none" w:sz="0" w:space="0" w:color="auto"/>
                                    <w:bottom w:val="none" w:sz="0" w:space="0" w:color="auto"/>
                                    <w:right w:val="none" w:sz="0" w:space="0" w:color="auto"/>
                                  </w:divBdr>
                                  <w:divsChild>
                                    <w:div w:id="1571967733">
                                      <w:marLeft w:val="0"/>
                                      <w:marRight w:val="0"/>
                                      <w:marTop w:val="75"/>
                                      <w:marBottom w:val="0"/>
                                      <w:divBdr>
                                        <w:top w:val="none" w:sz="0" w:space="0" w:color="auto"/>
                                        <w:left w:val="none" w:sz="0" w:space="0" w:color="auto"/>
                                        <w:bottom w:val="none" w:sz="0" w:space="0" w:color="auto"/>
                                        <w:right w:val="none" w:sz="0" w:space="0" w:color="auto"/>
                                      </w:divBdr>
                                      <w:divsChild>
                                        <w:div w:id="465128219">
                                          <w:marLeft w:val="0"/>
                                          <w:marRight w:val="0"/>
                                          <w:marTop w:val="0"/>
                                          <w:marBottom w:val="0"/>
                                          <w:divBdr>
                                            <w:top w:val="none" w:sz="0" w:space="0" w:color="auto"/>
                                            <w:left w:val="none" w:sz="0" w:space="0" w:color="auto"/>
                                            <w:bottom w:val="none" w:sz="0" w:space="0" w:color="auto"/>
                                            <w:right w:val="none" w:sz="0" w:space="0" w:color="auto"/>
                                          </w:divBdr>
                                          <w:divsChild>
                                            <w:div w:id="1261833261">
                                              <w:marLeft w:val="0"/>
                                              <w:marRight w:val="0"/>
                                              <w:marTop w:val="0"/>
                                              <w:marBottom w:val="0"/>
                                              <w:divBdr>
                                                <w:top w:val="none" w:sz="0" w:space="0" w:color="auto"/>
                                                <w:left w:val="none" w:sz="0" w:space="0" w:color="auto"/>
                                                <w:bottom w:val="none" w:sz="0" w:space="0" w:color="auto"/>
                                                <w:right w:val="none" w:sz="0" w:space="0" w:color="auto"/>
                                              </w:divBdr>
                                              <w:divsChild>
                                                <w:div w:id="386147889">
                                                  <w:marLeft w:val="0"/>
                                                  <w:marRight w:val="0"/>
                                                  <w:marTop w:val="0"/>
                                                  <w:marBottom w:val="351"/>
                                                  <w:divBdr>
                                                    <w:top w:val="none" w:sz="0" w:space="0" w:color="auto"/>
                                                    <w:left w:val="none" w:sz="0" w:space="0" w:color="auto"/>
                                                    <w:bottom w:val="none" w:sz="0" w:space="0" w:color="auto"/>
                                                    <w:right w:val="none" w:sz="0" w:space="0" w:color="auto"/>
                                                  </w:divBdr>
                                                  <w:divsChild>
                                                    <w:div w:id="85754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39300382">
      <w:bodyDiv w:val="1"/>
      <w:marLeft w:val="0"/>
      <w:marRight w:val="0"/>
      <w:marTop w:val="0"/>
      <w:marBottom w:val="0"/>
      <w:divBdr>
        <w:top w:val="none" w:sz="0" w:space="0" w:color="auto"/>
        <w:left w:val="none" w:sz="0" w:space="0" w:color="auto"/>
        <w:bottom w:val="none" w:sz="0" w:space="0" w:color="auto"/>
        <w:right w:val="none" w:sz="0" w:space="0" w:color="auto"/>
      </w:divBdr>
    </w:div>
    <w:div w:id="1200314101">
      <w:bodyDiv w:val="1"/>
      <w:marLeft w:val="0"/>
      <w:marRight w:val="0"/>
      <w:marTop w:val="0"/>
      <w:marBottom w:val="0"/>
      <w:divBdr>
        <w:top w:val="none" w:sz="0" w:space="0" w:color="auto"/>
        <w:left w:val="none" w:sz="0" w:space="0" w:color="auto"/>
        <w:bottom w:val="none" w:sz="0" w:space="0" w:color="auto"/>
        <w:right w:val="none" w:sz="0" w:space="0" w:color="auto"/>
      </w:divBdr>
    </w:div>
    <w:div w:id="1500727451">
      <w:bodyDiv w:val="1"/>
      <w:marLeft w:val="0"/>
      <w:marRight w:val="0"/>
      <w:marTop w:val="0"/>
      <w:marBottom w:val="0"/>
      <w:divBdr>
        <w:top w:val="none" w:sz="0" w:space="0" w:color="auto"/>
        <w:left w:val="none" w:sz="0" w:space="0" w:color="auto"/>
        <w:bottom w:val="none" w:sz="0" w:space="0" w:color="auto"/>
        <w:right w:val="none" w:sz="0" w:space="0" w:color="auto"/>
      </w:divBdr>
    </w:div>
    <w:div w:id="1625112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xn--7dbl2a.com/wiki/%d7%9e%d7%95%d7%a9%d7%92%d7%99%d7%9d-%d7%91%d7%90%d7%9b%d7%99%d7%a4%d7%aa-%d7%97%d7%95%d7%a7-wiki/%d7%a9%d7%95%d7%a7-%d7%90%d7%a4%d7%95%d7%a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6">
  <b:Source>
    <b:Tag>ועד</b:Tag>
    <b:SourceType>Report</b:SourceType>
    <b:Guid>{EB28CA4E-9D1E-4596-A18D-E1862AA904E6}</b:Guid>
    <b:LCID>0</b:LCID>
    <b:Author>
      <b:Author>
        <b:Corporate>ועדת חקירה ממלכתית בראשות השופט תיאודור אור</b:Corporate>
      </b:Author>
    </b:Author>
    <b:Title>ועדת חקירה ממלכתית לבירור התנגשויות בין כוחות הביטחון לבין אזרחים ישראלים בחודש אוקטובר 2000</b:Title>
    <b:Year>2003</b:Year>
    <b:City>ירושלים</b:City>
    <b:RefOrder>1</b:RefOrder>
  </b:Source>
  <b:Source>
    <b:Tag>ממש15</b:Tag>
    <b:SourceType>Misc</b:SourceType>
    <b:Guid>{8E3D397D-000A-484E-A880-BEA9B9EF243C}</b:Guid>
    <b:LCID>0</b:LCID>
    <b:Author>
      <b:Author>
        <b:Corporate>ממשלת ישראל</b:Corporate>
      </b:Author>
    </b:Author>
    <b:Title>החלטת ממשלה 922</b:Title>
    <b:Year>2015</b:Year>
    <b:Publisher>משרד ראש הממשלה/ מזכירות הממשלה</b:Publisher>
    <b:City>ירושלים</b:City>
    <b:Month>דצמבר</b:Month>
    <b:Day>30</b:Day>
    <b:PublicationTitle>פעילות הממשלה לפיתוח כלכלי באוכלוסיית המיעוטים בשנים 2016-2020</b:PublicationTitle>
    <b:RefOrder>3</b:RefOrder>
  </b:Source>
  <b:Source>
    <b:Tag>ממש16</b:Tag>
    <b:SourceType>Misc</b:SourceType>
    <b:Guid>{F39588F8-FA3B-4C7B-90E0-4A759F0D8C62}</b:Guid>
    <b:LCID>0</b:LCID>
    <b:Author>
      <b:Author>
        <b:Corporate>ממשלת ישראל</b:Corporate>
      </b:Author>
    </b:Author>
    <b:Title>החלטת ממשלה 1402</b:Title>
    <b:PublicationTitle>שיפור רמת הביטחון האישי במגזר הערבי וחיזוק הביטחון בירושלים</b:PublicationTitle>
    <b:Year>2016</b:Year>
    <b:Month>אפריל</b:Month>
    <b:Day>10</b:Day>
    <b:City>ירושלים</b:City>
    <b:Publisher>משרד ראש הממשלה / מזכירות הממשלה</b:Publisher>
    <b:RefOrder>4</b:RefOrder>
  </b:Source>
  <b:Source>
    <b:Tag>ועד04</b:Tag>
    <b:SourceType>Report</b:SourceType>
    <b:Guid>{FC717AAB-F5CC-4245-A1B4-9C99DC3E8DBA}</b:Guid>
    <b:LCID>0</b:LCID>
    <b:Author>
      <b:Author>
        <b:Corporate>ועדת שרים לעניין ועדת אור</b:Corporate>
      </b:Author>
    </b:Author>
    <b:Title>דו"ח והמלצות ועדת השרים לעניין "ועדת אור"</b:Title>
    <b:Year>2004</b:Year>
    <b:City>ירושלים</b:City>
    <b:Publisher>מזכירות הממשלה</b:Publisher>
    <b:RefOrder>2</b:RefOrder>
  </b:Source>
  <b:Source>
    <b:Tag>מבק181</b:Tag>
    <b:SourceType>Report</b:SourceType>
    <b:Guid>{C2D909DA-CCD8-44A7-9CD5-45DD6C9282B0}</b:Guid>
    <b:LCID>0</b:LCID>
    <b:Author>
      <b:Author>
        <b:Corporate>מבקר המדינה</b:Corporate>
      </b:Author>
    </b:Author>
    <b:Title>התמודדות משטרת ישראל עם החזקת אמצעי לחימה לא חוקיים ואירועי ירי ביישובי החברה הערבית וביישובים מעורבים</b:Title>
    <b:Year>2018</b:Year>
    <b:Publisher>מבקר המדינה</b:Publisher>
    <b:City>ירושלים</b:City>
    <b:RefOrder>5</b:RefOrder>
  </b:Source>
  <b:Source>
    <b:Tag>ראד14</b:Tag>
    <b:SourceType>Report</b:SourceType>
    <b:Guid>{AAE91282-66B6-4B52-8F02-9317D5610001}</b:Guid>
    <b:LCID>0</b:LCID>
    <b:Author>
      <b:Author>
        <b:NameList>
          <b:Person>
            <b:Last>טשנר</b:Last>
            <b:First>ראדה</b:First>
            <b:Middle>חסייסי ונעמה</b:Middle>
          </b:Person>
        </b:NameList>
      </b:Author>
    </b:Author>
    <b:Title>מדיניות הטיפול של המשרד לביטחון הפנים והמשטרה באלימות חמורה בחברה הערבית.</b:Title>
    <b:Year>2014</b:Year>
    <b:Publisher>מרכז המחקר והמידע של הכנסת</b:Publisher>
    <b:City>ירושלים</b:City>
    <b:RefOrder>6</b:RefOrder>
  </b:Source>
  <b:Source>
    <b:Tag>Lud04</b:Tag>
    <b:SourceType>JournalArticle</b:SourceType>
    <b:Guid>{70E4982E-BF7A-4882-92DC-BDE708CB0373}</b:Guid>
    <b:LCID>0</b:LCID>
    <b:Author>
      <b:Author>
        <b:NameList>
          <b:Person>
            <b:Last>Ludwwig</b:Last>
            <b:First>Phillip</b:First>
            <b:Middle>j. Cook &amp; Jens</b:Middle>
          </b:Person>
        </b:NameList>
      </b:Author>
    </b:Author>
    <b:Title>Public policy perspectives principles for effective gun policy</b:Title>
    <b:Year>2004</b:Year>
    <b:JournalName>Fordham law review vol.73</b:JournalName>
    <b:Pages>589-613</b:Pages>
    <b:RefOrder>9</b:RefOrder>
  </b:Source>
  <b:Source>
    <b:Tag>יוז181</b:Tag>
    <b:SourceType>Report</b:SourceType>
    <b:Guid>{571E8920-89C0-497E-BD32-64AB3940C32F}</b:Guid>
    <b:LCID>0</b:LCID>
    <b:Author>
      <b:Author>
        <b:Corporate>יוזמות קרן אברהם</b:Corporate>
      </b:Author>
    </b:Author>
    <b:Title>מדד הביטחון האישי - אלימות, פשיעה ושיטור ביישובים ערביים - דו"ח 2017</b:Title>
    <b:Year>2018</b:Year>
    <b:Publisher>יוזמות קרן אברהם</b:Publisher>
    <b:RefOrder>7</b:RefOrder>
  </b:Source>
  <b:Source>
    <b:Tag>Par10</b:Tag>
    <b:SourceType>JournalArticle</b:SourceType>
    <b:Guid>{FC40353B-3F0E-40DE-8F09-DB01911A4B53}</b:Guid>
    <b:LCID>0</b:LCID>
    <b:Author>
      <b:Author>
        <b:NameList>
          <b:Person>
            <b:Last>Pare</b:Last>
            <b:First>Richard</b:First>
            <b:Middle>B. Felson and Paul-Philippe</b:Middle>
          </b:Person>
        </b:NameList>
      </b:Author>
    </b:Author>
    <b:Title>Gun cultures or Honor culturs? Explaining Regional and Race Differences in Weapon Carriyng</b:Title>
    <b:Year>2010</b:Year>
    <b:Publisher>Oxford University Press</b:Publisher>
    <b:JournalName>Social Forces, Vol.88 No. 3 (March 2010)</b:JournalName>
    <b:Pages>pp. 1357-1378</b:Pages>
    <b:RefOrder>8</b:RefOrder>
  </b:Source>
  <b:Source>
    <b:Tag>הלש15</b:Tag>
    <b:SourceType>Report</b:SourceType>
    <b:Guid>{90FB6474-EAEC-4D11-8F01-6BFB9DD7C647}</b:Guid>
    <b:LCID>0</b:LCID>
    <b:Author>
      <b:Author>
        <b:Corporate>הלשכה המרכזית לסטטיסטיקה</b:Corporate>
      </b:Author>
    </b:Author>
    <b:Title>אוכלוסיית ישראל 2005-2014</b:Title>
    <b:Year>2015</b:Year>
    <b:Publisher>הלשכה המרכזית לסטטיסטיקה</b:Publisher>
    <b:City>ירושלים</b:City>
    <b:RefOrder>33</b:RefOrder>
  </b:Source>
  <b:Source>
    <b:Tag>מכו18</b:Tag>
    <b:SourceType>Book</b:SourceType>
    <b:Guid>{76B64890-3563-4C72-8388-A8E034D18DA0}</b:Guid>
    <b:LCID>0</b:LCID>
    <b:Author>
      <b:Author>
        <b:Corporate>מכון ון ליר</b:Corporate>
      </b:Author>
    </b:Author>
    <b:Title>ספר החברה הערבית (9)</b:Title>
    <b:Year>2018</b:Year>
    <b:Publisher>מכון ון ליר</b:Publisher>
    <b:City>ירושלים</b:City>
    <b:RefOrder>34</b:RefOrder>
  </b:Source>
  <b:Source>
    <b:Tag>נוה14</b:Tag>
    <b:SourceType>Book</b:SourceType>
    <b:Guid>{7AE53D47-E83F-40A1-82F0-D6A8E6230ADD}</b:Guid>
    <b:LCID>0</b:LCID>
    <b:Author>
      <b:Author>
        <b:NameList>
          <b:Person>
            <b:Last>עלי</b:Last>
            <b:First>נוהאד</b:First>
          </b:Person>
        </b:NameList>
      </b:Author>
    </b:Author>
    <b:Title>אלימות ופשיעה בחברה הערבית בישראל: קונספירציה ממסדית או פשיעה תרבותית?</b:Title>
    <b:Year>2014</b:Year>
    <b:City>חיפה</b:City>
    <b:Publisher>אוניברסיטת חיפה</b:Publisher>
    <b:RefOrder>35</b:RefOrder>
  </b:Source>
  <b:Source>
    <b:Tag>הכנ10</b:Tag>
    <b:SourceType>Report</b:SourceType>
    <b:Guid>{C8986567-60B4-4274-AACB-1F96DC3B1BC9}</b:Guid>
    <b:LCID>0</b:LCID>
    <b:Author>
      <b:Author>
        <b:Corporate>הכנסת, מרכז המחקר והמידע</b:Corporate>
      </b:Author>
    </b:Author>
    <b:Title>נתונים על הפשיעה בחברה הערבית בישראל</b:Title>
    <b:Year>2010</b:Year>
    <b:City>ירושלים</b:City>
    <b:Publisher>הכנסת</b:Publisher>
    <b:RefOrder>12</b:RefOrder>
  </b:Source>
  <b:Source>
    <b:Tag>באד17</b:Tag>
    <b:SourceType>Report</b:SourceType>
    <b:Guid>{F6079414-C40A-4776-8FD6-1B4F6D63F7C9}</b:Guid>
    <b:LCID>0</b:LCID>
    <b:Author>
      <b:Author>
        <b:NameList>
          <b:Person>
            <b:Last>באדי חסייסי</b:Last>
            <b:First>יעל</b:First>
            <b:Middle>ליטמנוביץ</b:Middle>
          </b:Person>
        </b:NameList>
      </b:Author>
    </b:Author>
    <b:Title>'חתירה למגע אחר'  שיטור החברה הערבית בישראל: נקודת המבט של מפקדי התחנות</b:Title>
    <b:Year>2017</b:Year>
    <b:Publisher>האוניברסיטה העברית בירושלים ומשטרת ישראל</b:Publisher>
    <b:RefOrder>22</b:RefOrder>
  </b:Source>
  <b:Source>
    <b:Tag>חבר18</b:Tag>
    <b:SourceType>Misc</b:SourceType>
    <b:Guid>{7BFEE84D-CFDD-4BCB-A279-CBEA618B57D3}</b:Guid>
    <b:LCID>0</b:LCID>
    <b:Author>
      <b:Author>
        <b:NameList>
          <b:Person>
            <b:Last>ג'בארין</b:Last>
            <b:First>חבר</b:First>
            <b:Middle>הכנסת יוסף</b:Middle>
          </b:Person>
        </b:NameList>
      </b:Author>
    </b:Author>
    <b:Title>נאום בכנסת מתאריך 17.12.2018 במסגרת דיון בחוק המרכז לגביית קנסות (תיקון)</b:Title>
    <b:Year>2018</b:Year>
    <b:Month>12</b:Month>
    <b:Day>17</b:Day>
    <b:RefOrder>36</b:RefOrder>
  </b:Source>
  <b:Source>
    <b:Tag>שוח07</b:Tag>
    <b:SourceType>Report</b:SourceType>
    <b:Guid>{DAD5A25C-EEBA-4B33-A185-82B59633363E}</b:Guid>
    <b:LCID>0</b:LCID>
    <b:Author>
      <b:Author>
        <b:NameList>
          <b:Person>
            <b:Last>שוחט</b:Last>
            <b:First>ליאור</b:First>
          </b:Person>
        </b:NameList>
      </b:Author>
    </b:Author>
    <b:Title>המשילות והשלכותיה על הביטחון הלאומי</b:Title>
    <b:Year>2007</b:Year>
    <b:Publisher>המרכז למחקר אסטרטגי ולמדיניות, המכללה לביטחון לאומי, צה"ל</b:Publisher>
    <b:City>הרצליה</b:City>
    <b:RefOrder>21</b:RefOrder>
  </b:Source>
  <b:Source>
    <b:Tag>פינ14</b:Tag>
    <b:SourceType>DocumentFromInternetSite</b:SourceType>
    <b:Guid>{861D14D9-2870-43A7-A8B8-28E792FBA3D9}</b:Guid>
    <b:LCID>0</b:LCID>
    <b:Author>
      <b:Author>
        <b:NameList>
          <b:Person>
            <b:Last>יחזקאלי</b:Last>
            <b:First>פיני</b:First>
          </b:Person>
        </b:NameList>
      </b:Author>
    </b:Author>
    <b:Title>המשילות והשלכותיה על הביטחון הלאומי -מבוא</b:Title>
    <b:Year>2014</b:Year>
    <b:InternetSiteTitle>ייצור ידע </b:InternetSiteTitle>
    <b:Month>מאי</b:Month>
    <b:Day>2</b:Day>
    <b:YearAccessed>2019</b:YearAccessed>
    <b:MonthAccessed>ינואר</b:MonthAccessed>
    <b:DayAccessed>28</b:DayAccessed>
    <b:URL>http://www.ידע.com/wiki/מושגים בביטחון לאומי/המשילות והשלכותיה על הביטחון הלאומי</b:URL>
    <b:RefOrder>20</b:RefOrder>
  </b:Source>
  <b:Source>
    <b:Tag>נצם15</b:Tag>
    <b:SourceType>Report</b:SourceType>
    <b:Guid>{1B4654CF-9880-44AC-B085-D8DBC998712E}</b:Guid>
    <b:LCID>0</b:LCID>
    <b:Author>
      <b:Author>
        <b:NameList>
          <b:Person>
            <b:Last>אסייג</b:Last>
            <b:First>נצ"ם</b:First>
            <b:Middle>אלי</b:Middle>
          </b:Person>
        </b:NameList>
      </b:Author>
    </b:Author>
    <b:Title>בחינת המשילות במגזר הערבי (צפון ומרכז) ואדי ערה כמקרה בוחן</b:Title>
    <b:Year>2015</b:Year>
    <b:City>הרצליה</b:City>
    <b:Publisher>המכללה לביטחון לאומי, צה"ל. (עבודת גמר במחזור מ"א 2014-2015)</b:Publisher>
    <b:RefOrder>37</b:RefOrder>
  </b:Source>
  <b:Source>
    <b:Tag>יוס11</b:Tag>
    <b:SourceType>JournalArticle</b:SourceType>
    <b:Guid>{14A72F31-6A1E-4176-8C81-8FD8028FB4E2}</b:Guid>
    <b:LCID>0</b:LCID>
    <b:Author>
      <b:Author>
        <b:NameList>
          <b:Person>
            <b:Last>מוסטפא</b:Last>
            <b:First>יוסף</b:First>
            <b:Middle>ג'בארין ומוהנד</b:Middle>
          </b:Person>
        </b:NameList>
      </b:Author>
    </b:Author>
    <b:Title>בין השלטון למקומי: על השלטון המקומי בחברה הפלסטינית בישראל</b:Title>
    <b:Year>2011</b:Year>
    <b:JournalName>השלטון המקומי בחברה הפלסטינית בישראל</b:JournalName>
    <b:Pages>9-11</b:Pages>
    <b:RefOrder>17</b:RefOrder>
  </b:Source>
  <b:Source>
    <b:Tag>מוה11</b:Tag>
    <b:SourceType>JournalArticle</b:SourceType>
    <b:Guid>{F420E46C-D996-4766-A030-C3CDBD0DE75D}</b:Guid>
    <b:LCID>0</b:LCID>
    <b:Author>
      <b:Author>
        <b:NameList>
          <b:Person>
            <b:Last>מוסטפא</b:Last>
            <b:First>מוהנד</b:First>
          </b:Person>
        </b:NameList>
      </b:Author>
    </b:Author>
    <b:Title>המנהיגות המוניציפאלית ומשבר השלטון המקומי הערבי בישראל</b:Title>
    <b:JournalName>השלטון המקומי בחברה הפלסטנית בישראל</b:JournalName>
    <b:Year>2011</b:Year>
    <b:Pages>235-252</b:Pages>
    <b:RefOrder>18</b:RefOrder>
  </b:Source>
  <b:Source>
    <b:Tag>ניד11</b:Tag>
    <b:SourceType>JournalArticle</b:SourceType>
    <b:Guid>{FFE472FD-4D64-4938-8AEF-2B49D03C5E6C}</b:Guid>
    <b:LCID>0</b:LCID>
    <b:Author>
      <b:Author>
        <b:NameList>
          <b:Person>
            <b:Last>חאיק</b:Last>
            <b:First>נידאל</b:First>
          </b:Person>
        </b:NameList>
      </b:Author>
    </b:Author>
    <b:Title>בחירת מועמדים ברשויות המקומיות הערביות: דבר הדמוקרטיה או דבר החמולה</b:Title>
    <b:JournalName>השלטון המקומי בחברה הפלסטינית בישראל</b:JournalName>
    <b:Year>2011</b:Year>
    <b:Pages>209-226</b:Pages>
    <b:RefOrder>19</b:RefOrder>
  </b:Source>
  <b:Source>
    <b:Tag>פינ18</b:Tag>
    <b:SourceType>DocumentFromInternetSite</b:SourceType>
    <b:Guid>{93ADB0E7-C475-4AF3-AD94-8BEAFAC593CD}</b:Guid>
    <b:LCID>0</b:LCID>
    <b:Author>
      <b:Author>
        <b:NameList>
          <b:Person>
            <b:Last>יחזקאלי</b:Last>
            <b:First>פיני</b:First>
          </b:Person>
        </b:NameList>
      </b:Author>
    </b:Author>
    <b:Title>ארגוני הפשע הערביים: המרחק הדק בין פשיעה לטרור</b:Title>
    <b:Year>2018</b:Year>
    <b:InternetSiteTitle>ייצור יידע</b:InternetSiteTitle>
    <b:Month>נובמבר</b:Month>
    <b:Day>26</b:Day>
    <b:YearAccessed>2019</b:YearAccessed>
    <b:MonthAccessed>ינואר</b:MonthAccessed>
    <b:DayAccessed>29</b:DayAccessed>
    <b:URL>http://www.ידע.com</b:URL>
    <b:RefOrder>11</b:RefOrder>
  </b:Source>
  <b:Source>
    <b:Tag>פינ181</b:Tag>
    <b:SourceType>DocumentFromInternetSite</b:SourceType>
    <b:Guid>{552D558B-D2EC-44A7-9E32-33D7F5C59631}</b:Guid>
    <b:LCID>0</b:LCID>
    <b:Author>
      <b:Author>
        <b:NameList>
          <b:Person>
            <b:Last>יחזקאלי</b:Last>
            <b:First>פיני</b:First>
          </b:Person>
        </b:NameList>
      </b:Author>
    </b:Author>
    <b:Title>קוטייר עודה: אין קווים אדומים!</b:Title>
    <b:InternetSiteTitle>ייצור יידע</b:InternetSiteTitle>
    <b:Year>2018</b:Year>
    <b:Month>ינואר</b:Month>
    <b:Day>8</b:Day>
    <b:YearAccessed>2019</b:YearAccessed>
    <b:MonthAccessed>ינואר</b:MonthAccessed>
    <b:DayAccessed>29</b:DayAccessed>
    <b:URL>http://www.ידע.com</b:URL>
    <b:RefOrder>28</b:RefOrder>
  </b:Source>
  <b:Source>
    <b:Tag>פינ141</b:Tag>
    <b:SourceType>DocumentFromInternetSite</b:SourceType>
    <b:Guid>{7C397E12-C762-4325-99BE-CFB48F87DB2F}</b:Guid>
    <b:LCID>0</b:LCID>
    <b:Author>
      <b:Author>
        <b:NameList>
          <b:Person>
            <b:Last>יחזקאלי</b:Last>
            <b:First>פיני</b:First>
          </b:Person>
        </b:NameList>
      </b:Author>
    </b:Author>
    <b:Title>התוצאות הבלתי צפויות</b:Title>
    <b:InternetSiteTitle>ייצור ידע</b:InternetSiteTitle>
    <b:Year>2014</b:Year>
    <b:Month>אפריל</b:Month>
    <b:Day>12</b:Day>
    <b:YearAccessed>2019</b:YearAccessed>
    <b:MonthAccessed>ינואר</b:MonthAccessed>
    <b:DayAccessed>29</b:DayAccessed>
    <b:URL>http://www.ידע.com</b:URL>
    <b:RefOrder>27</b:RefOrder>
  </b:Source>
  <b:Source>
    <b:Tag>יני17</b:Tag>
    <b:SourceType>DocumentFromInternetSite</b:SourceType>
    <b:Guid>{ED92165D-1923-4EB4-98CF-F2CB84F2231C}</b:Guid>
    <b:LCID>0</b:LCID>
    <b:Author>
      <b:Author>
        <b:NameList>
          <b:Person>
            <b:Last>קובוביץ</b:Last>
            <b:First>יניב</b:First>
          </b:Person>
        </b:NameList>
      </b:Author>
    </b:Author>
    <b:Title>ארגוני הפשיעה נכנסו, המשטרה נעלמה ומליציית שמירה תפסה את מקומה: חומר הבעירה של כפר קאסם</b:Title>
    <b:InternetSiteTitle>'הארץ'</b:InternetSiteTitle>
    <b:Year>2017</b:Year>
    <b:Month>יוני</b:Month>
    <b:Day>7</b:Day>
    <b:YearAccessed>2019</b:YearAccessed>
    <b:MonthAccessed>ינואר</b:MonthAccessed>
    <b:DayAccessed>29</b:DayAccessed>
    <b:URL>https://www.haaretz.co.il/news/law/.premium-1.4156212</b:URL>
    <b:RefOrder>38</b:RefOrder>
  </b:Source>
  <b:Source>
    <b:Tag>מבק08</b:Tag>
    <b:SourceType>Report</b:SourceType>
    <b:Guid>{AC956F24-1449-4332-B5C6-FDC7F43B3B10}</b:Guid>
    <b:LCID>0</b:LCID>
    <b:Author>
      <b:Author>
        <b:Corporate>מבקר המדינה</b:Corporate>
      </b:Author>
    </b:Author>
    <b:Title>דו"ח שנתי 59ב</b:Title>
    <b:Year>2008</b:Year>
    <b:Publisher>מבקר המדינה</b:Publisher>
    <b:City>ירושלים</b:City>
    <b:RefOrder>26</b:RefOrder>
  </b:Source>
  <b:Source>
    <b:Tag>אבי12</b:Tag>
    <b:SourceType>JournalArticle</b:SourceType>
    <b:Guid>{EA4BEAD0-C67E-4025-8506-7591A72D3647}</b:Guid>
    <b:LCID>0</b:LCID>
    <b:Author>
      <b:Author>
        <b:NameList>
          <b:Person>
            <b:Last>אבי ברוכמן</b:Last>
            <b:First>מיכל</b:First>
            <b:Middle>דיין-בן זקרי, טלי גורן</b:Middle>
          </b:Person>
        </b:NameList>
      </b:Author>
    </b:Author>
    <b:Title>שיפור אמון הציבור - האתגר של משטרת ישראל</b:Title>
    <b:Year>2012</b:Year>
    <b:JournalName>העיקר במחקר / משטרת ישראל</b:JournalName>
    <b:Pages>9-23</b:Pages>
    <b:RefOrder>23</b:RefOrder>
  </b:Source>
  <b:Source>
    <b:Tag>שטי17</b:Tag>
    <b:SourceType>Report</b:SourceType>
    <b:Guid>{3E408B67-EC94-482A-BE63-6F4262F7E15E}</b:Guid>
    <b:LCID>0</b:LCID>
    <b:Author>
      <b:Author>
        <b:NameList>
          <b:Person>
            <b:Last>שטיין</b:Last>
            <b:First>רסול</b:First>
            <b:Middle>סעדה ועדי</b:Middle>
          </b:Person>
        </b:NameList>
      </b:Author>
    </b:Author>
    <b:Title>מדד הביטחון האישי- אלימות פשיעה ושיטור ביישובים הערביים</b:Title>
    <b:Year>2017</b:Year>
    <b:Publisher>יוזמות קרן אברהם</b:Publisher>
    <b:City>לוד</b:City>
    <b:RefOrder>39</b:RefOrder>
  </b:Source>
  <b:Source>
    <b:Tag>ARa01</b:Tag>
    <b:SourceType>JournalArticle</b:SourceType>
    <b:Guid>{2F20699E-C482-4840-B3D0-EBFBBE627747}</b:Guid>
    <b:LCID>0</b:LCID>
    <b:Author>
      <b:Author>
        <b:NameList>
          <b:Person>
            <b:Last>A.Ratthner</b:Last>
            <b:First>D.Yagil,</b:First>
            <b:Middle>&amp; A.Ppedazur</b:Middle>
          </b:Person>
        </b:NameList>
      </b:Author>
    </b:Author>
    <b:Title>Not bound by the law: Legal disobedience in Israeli society</b:Title>
    <b:Year>2001</b:Year>
    <b:JournalName>Behavioral Sciences and the law</b:JournalName>
    <b:Pages>265-283</b:Pages>
    <b:RefOrder>25</b:RefOrder>
  </b:Source>
  <b:Source>
    <b:Tag>סלי18</b:Tag>
    <b:SourceType>Interview</b:SourceType>
    <b:Guid>{C2C183F4-0C61-4039-A117-1503AE9E956D}</b:Guid>
    <b:LCID>0</b:LCID>
    <b:Author>
      <b:Interviewee>
        <b:NameList>
          <b:Person>
            <b:Last>סלים גומד</b:Last>
            <b:First>פעיל</b:First>
            <b:Middle>פוליטי וחברתי בנצרת</b:Middle>
          </b:Person>
        </b:NameList>
      </b:Interviewee>
      <b:Interviewer>
        <b:NameList>
          <b:Person>
            <b:Last>חדד</b:Last>
            <b:First>יגאל</b:First>
          </b:Person>
        </b:NameList>
      </b:Interviewer>
    </b:Author>
    <b:Title>אלימות ונשק בחברה הערבית</b:Title>
    <b:Year>2018</b:Year>
    <b:Month>12</b:Month>
    <b:Day>18</b:Day>
    <b:RefOrder>30</b:RefOrder>
  </b:Source>
  <b:Source>
    <b:Tag>רפק19</b:Tag>
    <b:SourceType>Interview</b:SourceType>
    <b:Guid>{7F435C9A-4425-406C-9178-424956168B82}</b:Guid>
    <b:LCID>0</b:LCID>
    <b:Author>
      <b:Interviewee>
        <b:NameList>
          <b:Person>
            <b:Last>במביליה</b:Last>
            <b:First>רפ"ק</b:First>
            <b:Middle>עו"ד ג'ורג'</b:Middle>
          </b:Person>
        </b:NameList>
      </b:Interviewee>
      <b:Interviewer>
        <b:NameList>
          <b:Person>
            <b:Last>חדד</b:Last>
            <b:First>יגאל</b:First>
          </b:Person>
        </b:NameList>
      </b:Interviewer>
    </b:Author>
    <b:Title>עבירות כלכליות וכלים לתקיפתן</b:Title>
    <b:Year>2019</b:Year>
    <b:Month>ינואר</b:Month>
    <b:Day>13</b:Day>
    <b:RefOrder>40</b:RefOrder>
  </b:Source>
  <b:Source>
    <b:Tag>רסו18</b:Tag>
    <b:SourceType>Interview</b:SourceType>
    <b:Guid>{7F7BC845-D749-4612-B2EC-E1EDDA072C72}</b:Guid>
    <b:LCID>0</b:LCID>
    <b:Author>
      <b:Interviewee>
        <b:NameList>
          <b:Person>
            <b:Last>לוין</b:Last>
            <b:First>רסול</b:First>
            <b:Middle>סעדה ורות</b:Middle>
          </b:Person>
        </b:NameList>
      </b:Interviewee>
      <b:Interviewer>
        <b:NameList>
          <b:Person>
            <b:Last>חדד</b:Last>
            <b:First>יגאל</b:First>
          </b:Person>
        </b:NameList>
      </b:Interviewer>
    </b:Author>
    <b:Title>פעילות קרן אברהם בתחום חברה בטוחה</b:Title>
    <b:Year>2018</b:Year>
    <b:Month>נובמבר</b:Month>
    <b:Day>29</b:Day>
    <b:RefOrder>31</b:RefOrder>
  </b:Source>
  <b:Source>
    <b:Tag>נצם19</b:Tag>
    <b:SourceType>Interview</b:SourceType>
    <b:Guid>{BE54AE4B-E1B0-4856-9EFF-44E96C92B189}</b:Guid>
    <b:LCID>0</b:LCID>
    <b:Author>
      <b:Interviewee>
        <b:NameList>
          <b:Person>
            <b:Last>עזרא</b:Last>
            <b:First>נצ"ם</b:First>
            <b:Middle>יגאל</b:Middle>
          </b:Person>
        </b:NameList>
      </b:Interviewee>
      <b:Interviewer>
        <b:NameList>
          <b:Person>
            <b:Last>חדד</b:Last>
            <b:First>יגאל</b:First>
          </b:Person>
        </b:NameList>
      </b:Interviewer>
    </b:Author>
    <b:Title>ק' אח"ם וראש ימ"ר מרכז - אלימות ונשק בחברה הערבית</b:Title>
    <b:Year>2019</b:Year>
    <b:Month>ינואר</b:Month>
    <b:Day>30</b:Day>
    <b:RefOrder>14</b:RefOrder>
  </b:Source>
  <b:Source>
    <b:Tag>עוד16</b:Tag>
    <b:SourceType>DocumentFromInternetSite</b:SourceType>
    <b:Guid>{E0E1872D-72F6-401D-BF87-1B380F0F6EAE}</b:Guid>
    <b:LCID>0</b:LCID>
    <b:Author>
      <b:Author>
        <b:NameList>
          <b:Person>
            <b:Last>רגב</b:Last>
            <b:First>עו"ד</b:First>
            <b:Middle>יאיר</b:Middle>
          </b:Person>
        </b:NameList>
      </b:Author>
    </b:Author>
    <b:Title>השוק האפור</b:Title>
    <b:Year>2016</b:Year>
    <b:Month>אפריל</b:Month>
    <b:Day>9</b:Day>
    <b:InternetSiteTitle>ייצור ידע</b:InternetSiteTitle>
    <b:YearAccessed>2019</b:YearAccessed>
    <b:MonthAccessed>פברואר</b:MonthAccessed>
    <b:DayAccessed>3</b:DayAccessed>
    <b:URL>http://www.ידע.com</b:URL>
    <b:RefOrder>29</b:RefOrder>
  </b:Source>
  <b:Source>
    <b:Tag>עוד07</b:Tag>
    <b:SourceType>ArticleInAPeriodical</b:SourceType>
    <b:Guid>{967B03E6-A7D3-4E87-8180-80FD3A0AA77B}</b:Guid>
    <b:LCID>0</b:LCID>
    <b:Author>
      <b:Author>
        <b:NameList>
          <b:Person>
            <b:Last>שפר</b:Last>
            <b:First>עו"ד</b:First>
            <b:Middle>יהודה</b:Middle>
          </b:Person>
        </b:NameList>
      </b:Author>
    </b:Author>
    <b:Title>העבירות שבחוק איסור הלבנת הון</b:Title>
    <b:Year>2007</b:Year>
    <b:Month>ינואר</b:Month>
    <b:PeriodicalTitle>המשפט - כתב העת המשפטי של המכללה למנהל</b:PeriodicalTitle>
    <b:Pages>555-581</b:Pages>
    <b:RefOrder>32</b:RefOrder>
  </b:Source>
  <b:Source>
    <b:Tag>וינ17</b:Tag>
    <b:SourceType>DocumentFromInternetSite</b:SourceType>
    <b:Guid>{C0BD121F-AD96-4900-878E-3A762AB8EA34}</b:Guid>
    <b:LCID>0</b:LCID>
    <b:Author>
      <b:Author>
        <b:NameList>
          <b:Person>
            <b:Last>-וינרב</b:Last>
            <b:First>אלה</b:First>
            <b:Middle>לוי</b:Middle>
          </b:Person>
        </b:NameList>
      </b:Author>
    </b:Author>
    <b:Title>קק"ל שילמה מיליוני שקלים דמי חסות למשפחת פשע בצפון</b:Title>
    <b:Year>2017</b:Year>
    <b:Month>פברואר</b:Month>
    <b:Day>19</b:Day>
    <b:InternetSiteTitle>גלובס</b:InternetSiteTitle>
    <b:YearAccessed>2019</b:YearAccessed>
    <b:MonthAccessed>פברואר</b:MonthAccessed>
    <b:DayAccessed>4</b:DayAccessed>
    <b:URL>https://www.globes.co.il/news/article.aspx?did=1001177493</b:URL>
    <b:RefOrder>41</b:RefOrder>
  </b:Source>
  <b:Source>
    <b:Tag>שוק15</b:Tag>
    <b:SourceType>DocumentFromInternetSite</b:SourceType>
    <b:Guid>{BA8D3846-DE2D-4224-B1E4-BECCDD65C0A5}</b:Guid>
    <b:LCID>0</b:LCID>
    <b:Author>
      <b:Author>
        <b:NameList>
          <b:Person>
            <b:Last>שדה</b:Last>
            <b:First>שוקי</b:First>
          </b:Person>
        </b:NameList>
      </b:Author>
    </b:Author>
    <b:Title>הפחד, האיומים והמיליארדים: פתאום נופלים עליך עבריינים - וזה לא נגמר בלקיחת כסף.</b:Title>
    <b:InternetSiteTitle>דה מרקר</b:InternetSiteTitle>
    <b:Year>2015</b:Year>
    <b:Month>אוקטובר</b:Month>
    <b:Day>9</b:Day>
    <b:YearAccessed>2019</b:YearAccessed>
    <b:MonthAccessed>פברואר</b:MonthAccessed>
    <b:DayAccessed>4</b:DayAccessed>
    <b:URL>https://www.themarker.com/markerweek/1.2737970</b:URL>
    <b:RefOrder>42</b:RefOrder>
  </b:Source>
  <b:Source>
    <b:Tag>משה12</b:Tag>
    <b:SourceType>DocumentFromInternetSite</b:SourceType>
    <b:Guid>{CCFF1660-59F9-4752-B1E3-D80B3217737F}</b:Guid>
    <b:LCID>0</b:LCID>
    <b:Author>
      <b:Author>
        <b:NameList>
          <b:Person>
            <b:Last>כהן</b:Last>
            <b:First>משה</b:First>
          </b:Person>
        </b:NameList>
      </b:Author>
    </b:Author>
    <b:Title>הכבוד וביטוי בפתגם הערבי</b:Title>
    <b:InternetSiteTitle>האגודה הישראלית ללימודי המזרח התיכון והאיסלאם (אילמ"א)</b:InternetSiteTitle>
    <b:Year>2012</b:Year>
    <b:Month>ספטמבר</b:Month>
    <b:Day>18</b:Day>
    <b:YearAccessed>2019</b:YearAccessed>
    <b:MonthAccessed>פברואר</b:MonthAccessed>
    <b:DayAccessed>4</b:DayAccessed>
    <b:URL>https://www.meisai.org.il</b:URL>
    <b:RefOrder>43</b:RefOrder>
  </b:Source>
  <b:Source>
    <b:Tag>רלה17</b:Tag>
    <b:SourceType>Book</b:SourceType>
    <b:Guid>{AC3DBC1E-129D-451C-8EF3-9F8E033DC0E1}</b:Guid>
    <b:LCID>0</b:LCID>
    <b:Author>
      <b:Author>
        <b:NameList>
          <b:Person>
            <b:Last>מזלי</b:Last>
            <b:First>רלה</b:First>
          </b:Person>
        </b:NameList>
      </b:Author>
    </b:Author>
    <b:Title>לא נצור: נשק קל במרחב האזרחי</b:Title>
    <b:Year>2017</b:Year>
    <b:City>תל אביב</b:City>
    <b:Publisher>אשה לאשה - מרכז פמיניסטי</b:Publisher>
    <b:RefOrder>44</b:RefOrder>
  </b:Source>
  <b:Source>
    <b:Tag>משט18</b:Tag>
    <b:SourceType>Report</b:SourceType>
    <b:Guid>{A56EA115-2D9D-497D-B067-5F2144737ACD}</b:Guid>
    <b:LCID>0</b:LCID>
    <b:Author>
      <b:Author>
        <b:Corporate>משטרת ישראל</b:Corporate>
      </b:Author>
    </b:Author>
    <b:Title>שנתון סטטיסטי משטרת ישראל - 2017</b:Title>
    <b:Year>2018</b:Year>
    <b:City>ירושלים</b:City>
    <b:Publisher>משטרת ישראל</b:Publisher>
    <b:RefOrder>24</b:RefOrder>
  </b:Source>
  <b:Source>
    <b:Tag>נעם16</b:Tag>
    <b:SourceType>Report</b:SourceType>
    <b:Guid>{3FE7E8B5-0742-4EA9-A3D5-EDAE1E79748C}</b:Guid>
    <b:LCID>0</b:LCID>
    <b:Author>
      <b:Author>
        <b:NameList>
          <b:Person>
            <b:Last>נעם זוסמן</b:Last>
            <b:First>יונתן</b:First>
            <b:Middle>וודבריג', סאמי מיעארי</b:Middle>
          </b:Person>
        </b:NameList>
      </b:Author>
    </b:Author>
    <b:Title>ממדי הפשיעה בישראל בשנים 2010-1990  תוך התמקדות בחברה הערבית </b:Title>
    <b:Year>2016</b:Year>
    <b:Publisher>המכון הישראלי לדמוקרטיה</b:Publisher>
    <b:City>ירושלים</b:City>
    <b:RefOrder>13</b:RefOrder>
  </b:Source>
  <b:Source>
    <b:Tag>Bad07</b:Tag>
    <b:SourceType>JournalArticle</b:SourceType>
    <b:Guid>{FF643C1F-90A3-44F7-B20F-34B15D2230C6}</b:Guid>
    <b:LCID>0</b:LCID>
    <b:Author>
      <b:Author>
        <b:NameList>
          <b:Person>
            <b:Last>Wettzer</b:Last>
            <b:First>Hasisi</b:First>
            <b:Middle>&amp;</b:Middle>
          </b:Person>
        </b:NameList>
      </b:Author>
    </b:Author>
    <b:Title>Police relations with arabs and jews in Israel</b:Title>
    <b:Year>2007</b:Year>
    <b:JournalName>British journal of criminology</b:JournalName>
    <b:Pages>728-745</b:Pages>
    <b:RefOrder>15</b:RefOrder>
  </b:Source>
  <b:Source>
    <b:Tag>Bad08</b:Tag>
    <b:SourceType>JournalArticle</b:SourceType>
    <b:Guid>{4EEAAF05-6EBA-4074-96AD-ED5FAC5FCF0B}</b:Guid>
    <b:LCID>0</b:LCID>
    <b:Author>
      <b:Author>
        <b:NameList>
          <b:Person>
            <b:Last>Hasisi</b:Last>
            <b:First>Badi</b:First>
          </b:Person>
        </b:NameList>
      </b:Author>
    </b:Author>
    <b:Title>Police Politics, and Culture in a Deeply Divided Society</b:Title>
    <b:JournalName>Journal of Criminal Low and Criminology</b:JournalName>
    <b:Year>2008</b:Year>
    <b:Pages>1119-1145</b:Pages>
    <b:RefOrder>45</b:RefOrder>
  </b:Source>
  <b:Source>
    <b:Tag>המר16</b:Tag>
    <b:SourceType>Report</b:SourceType>
    <b:Guid>{4B4DFC01-D329-4CDB-B916-160EE686A2C2}</b:Guid>
    <b:LCID>0</b:LCID>
    <b:Author>
      <b:Author>
        <b:Corporate>המרכז הלאומי לחקר טראומה ורפואה דחופה ומכון גרטנר לחקר אפידמיולוגיה ומדיניות בריאות</b:Corporate>
      </b:Author>
    </b:Author>
    <b:Title>פגיעות טראומה בישראל 2010 עד 2015 - דו"ח לאומה</b:Title>
    <b:Year>2016</b:Year>
    <b:Publisher>משרד הבריאות</b:Publisher>
    <b:City>מרכז רפואי שיבא - תל השומר</b:City>
    <b:RefOrder>46</b:RefOrder>
  </b:Source>
  <b:Source>
    <b:Tag>unk17</b:Tag>
    <b:SourceType>InternetSite</b:SourceType>
    <b:Guid>{1B66FFC2-A22D-4AE5-B29B-3CE5809F101A}</b:Guid>
    <b:LCID>0</b:LCID>
    <b:Author>
      <b:Author>
        <b:NameList>
          <b:Person>
            <b:Last>unknown</b:Last>
          </b:Person>
        </b:NameList>
      </b:Author>
    </b:Author>
    <b:Title>how to turn an airsoft gun into a real gun</b:Title>
    <b:Year>2017</b:Year>
    <b:Month>sep</b:Month>
    <b:Day>21</b:Day>
    <b:InternetSiteTitle>Youtube</b:InternetSiteTitle>
    <b:YearAccessed>2019</b:YearAccessed>
    <b:MonthAccessed>feb</b:MonthAccessed>
    <b:DayAccessed>22</b:DayAccessed>
    <b:URL>https://www.youtube.com/watch?v=u0XdImZI_dU</b:URL>
    <b:RefOrder>47</b:RefOrder>
  </b:Source>
  <b:Source>
    <b:Tag>הכר17</b:Tag>
    <b:SourceType>Case</b:SourceType>
    <b:Guid>{27D7A9BF-92AE-4F76-899E-F25DDC4EDDC2}</b:Guid>
    <b:LCID>0</b:LCID>
    <b:Title>הכרעת דין - מדינת ישראל נגד זועבי</b:Title>
    <b:Year>2017</b:Year>
    <b:Month>אוגוסט</b:Month>
    <b:Day>2017</b:Day>
    <b:CaseNumber>ת"פ 29984-08-16</b:CaseNumber>
    <b:Court>בית המשפט המחוזי באר שבע</b:Court>
    <b:RefOrder>48</b:RefOrder>
  </b:Source>
  <b:Source>
    <b:Tag>דני17</b:Tag>
    <b:SourceType>Film</b:SourceType>
    <b:Guid>{4360C94B-91FB-4505-AE2E-356BF4A05E5F}</b:Guid>
    <b:LCID>0</b:LCID>
    <b:Title>כאן 11 - שטח הפקר: גניבות נשק מצה"ל</b:Title>
    <b:Year>2017</b:Year>
    <b:Author>
      <b:Director>
        <b:NameList>
          <b:Person>
            <b:Last>נחנסון</b:Last>
            <b:First>דניאל</b:First>
          </b:Person>
        </b:NameList>
      </b:Director>
    </b:Author>
    <b:RefOrder>49</b:RefOrder>
  </b:Source>
  <b:Source>
    <b:Tag>מיכ19</b:Tag>
    <b:SourceType>DocumentFromInternetSite</b:SourceType>
    <b:Guid>{AA01170F-AA17-46C4-A896-BB5B6F7AF5B3}</b:Guid>
    <b:LCID>0</b:LCID>
    <b:Title>בימ"ש על הקלות הבלתי נסבלת שבה כלי נשק מגיעים מצה"ל לעבריינים</b:Title>
    <b:Author>
      <b:Author>
        <b:NameList>
          <b:Person>
            <b:Last>פרוסומושקין</b:Last>
            <b:First>מיכאל</b:First>
          </b:Person>
        </b:NameList>
      </b:Author>
    </b:Author>
    <b:Year>2019</b:Year>
    <b:InternetSiteTitle>פוסטה</b:InternetSiteTitle>
    <b:Month>ינואר</b:Month>
    <b:Day>15</b:Day>
    <b:YearAccessed>2019</b:YearAccessed>
    <b:MonthAccessed>פברואר</b:MonthAccessed>
    <b:DayAccessed>25</b:DayAccessed>
    <b:URL>http://www.posta.co.il/article/23235</b:URL>
    <b:RefOrder>50</b:RefOrder>
  </b:Source>
  <b:Source>
    <b:Tag>מבק14</b:Tag>
    <b:SourceType>Report</b:SourceType>
    <b:Guid>{1AF67578-464A-4011-BFBF-21369B912093}</b:Guid>
    <b:LCID>0</b:LCID>
    <b:Author>
      <b:Author>
        <b:Corporate>מבקר המדינה</b:Corporate>
      </b:Author>
    </b:Author>
    <b:Title>רישוי כלי ירייה והפיקוח על החזקתם - דו"ח שנתי 64ג'</b:Title>
    <b:Year>2014</b:Year>
    <b:Publisher>מבקר המדינה</b:Publisher>
    <b:City>ירושלים</b:City>
    <b:RefOrder>51</b:RefOrder>
  </b:Source>
  <b:Source>
    <b:Tag>חסן19</b:Tag>
    <b:SourceType>InternetSite</b:SourceType>
    <b:Guid>{1B18A4ED-FEAF-4C42-B7E1-7F38F0BCC3B1}</b:Guid>
    <b:LCID>0</b:LCID>
    <b:Author>
      <b:Author>
        <b:NameList>
          <b:Person>
            <b:Last>שעלאן</b:Last>
            <b:First>חסן</b:First>
          </b:Person>
        </b:NameList>
      </b:Author>
    </b:Author>
    <b:Title>כעס בטירה על שרשרת מעשי הרצח והאלימות: "לטפל בנשק הלא-חוקי"</b:Title>
    <b:Year>2019</b:Year>
    <b:InternetSiteTitle>y.net</b:InternetSiteTitle>
    <b:Month>פברואר</b:Month>
    <b:Day>24</b:Day>
    <b:YearAccessed>2019</b:YearAccessed>
    <b:MonthAccessed>פברואר</b:MonthAccessed>
    <b:DayAccessed>27</b:DayAccessed>
    <b:URL>https://www.ynet.co.il/articles/0,7340,L-5469183,00.html</b:URL>
    <b:RefOrder>52</b:RefOrder>
  </b:Source>
  <b:Source>
    <b:Tag>ועד18</b:Tag>
    <b:SourceType>Misc</b:SourceType>
    <b:Guid>{EC865CAD-93D0-48B5-B90F-EA50A9EDCAD3}</b:Guid>
    <b:LCID>0</b:LCID>
    <b:Author>
      <b:Author>
        <b:Corporate>ועדת הפנים ואיכות הסביבה של הכנסת</b:Corporate>
      </b:Author>
    </b:Author>
    <b:Title>ועדת הפנים ואיכות הסביבה של הכנסת</b:Title>
    <b:Year>2018</b:Year>
    <b:Month>פברואר</b:Month>
    <b:Day>12</b:Day>
    <b:PublicationTitle>פרוטוקול 559: סיכום ישיבת ועדת הפנים ואיכות הסביבה</b:PublicationTitle>
    <b:City>ירושלים</b:City>
    <b:Publisher>הכנסת ה 20</b:Publisher>
    <b:RefOrder>53</b:RefOrder>
  </b:Source>
  <b:Source>
    <b:Tag>ועד14</b:Tag>
    <b:SourceType>Misc</b:SourceType>
    <b:Guid>{BA6F19DA-F275-44B5-BBAC-00CE73161902}</b:Guid>
    <b:LCID>0</b:LCID>
    <b:Author>
      <b:Author>
        <b:Corporate>ועדת הפנים והגנת הסביבה של הכנסת</b:Corporate>
      </b:Author>
    </b:Author>
    <b:Title>פרוטוקול 378</b:Title>
    <b:PublicationTitle>סיכום ישיבת ועדת הפנים והגנת הסביבה בנושא מצב הביטחון במגזר הערבי בכלל ובטייבה בפרט</b:PublicationTitle>
    <b:Year>2014</b:Year>
    <b:Month>ספטמבר</b:Month>
    <b:Day>8</b:Day>
    <b:City>ירושלים</b:City>
    <b:Publisher>הכנסת</b:Publisher>
    <b:RefOrder>54</b:RefOrder>
  </b:Source>
  <b:Source>
    <b:Tag>יחז14</b:Tag>
    <b:SourceType>InternetSite</b:SourceType>
    <b:Guid>{46C4F686-4287-42AC-9F68-0164DAE61D53}</b:Guid>
    <b:LCID>0</b:LCID>
    <b:Author>
      <b:Author>
        <b:NameList>
          <b:Person>
            <b:Last>יחזקאלי</b:Last>
            <b:First>פיני</b:First>
          </b:Person>
        </b:NameList>
      </b:Author>
    </b:Author>
    <b:Title>טרור ופשיעה</b:Title>
    <b:InternetSiteTitle>ייצור ידע</b:InternetSiteTitle>
    <b:Year>2014</b:Year>
    <b:Month>מאי</b:Month>
    <b:Day>24</b:Day>
    <b:YearAccessed>2019</b:YearAccessed>
    <b:MonthAccessed>פברואר</b:MonthAccessed>
    <b:DayAccessed>27</b:DayAccessed>
    <b:URL>http://www.xn--7dbl2a.com/2014/05/24/%D7%98%D7%A8%D7%95%D7%A8-%D7%95%D7%A4%D7%A9%D7%99%D7%A2%D7%94/#sthash.D9enb49Q.GX0TSe42.dpbs</b:URL>
    <b:RefOrder>55</b:RefOrder>
  </b:Source>
  <b:Source>
    <b:Tag>עמי11</b:Tag>
    <b:SourceType>JournalArticle</b:SourceType>
    <b:Guid>{6F6F4F62-5B0F-4E84-9C05-567699587A47}</b:Guid>
    <b:LCID>0</b:LCID>
    <b:Author>
      <b:Author>
        <b:NameList>
          <b:Person>
            <b:Last>עמידרור</b:Last>
            <b:First>יעקב</b:First>
          </b:Person>
        </b:NameList>
      </b:Author>
    </b:Author>
    <b:Title>מהו ביטחון לאומי?</b:Title>
    <b:Year>2011</b:Year>
    <b:JournalName>מבוא לביטחון לאומי</b:JournalName>
    <b:Pages>7-20</b:Pages>
    <b:RefOrder>56</b:RefOrder>
  </b:Source>
  <b:Source>
    <b:Tag>מנח01</b:Tag>
    <b:SourceType>JournalArticle</b:SourceType>
    <b:Guid>{CEAE7CF0-81FC-4AB4-8CF3-4EA47B22CF3C}</b:Guid>
    <b:LCID>0</b:LCID>
    <b:Author>
      <b:Author>
        <b:NameList>
          <b:Person>
            <b:Last>אמיר</b:Last>
            <b:First>מנחם</b:First>
          </b:Person>
        </b:NameList>
      </b:Author>
    </b:Author>
    <b:Title>ארגוני טרור וארגוני פשע מאורגן: הדמיון, השוני והקשר ביניהם</b:Title>
    <b:JournalName>משטרה וחברה</b:JournalName>
    <b:Year>2001</b:Year>
    <b:Pages>107-131</b:Pages>
    <b:RefOrder>10</b:RefOrder>
  </b:Source>
  <b:Source>
    <b:Tag>אחי18</b:Tag>
    <b:SourceType>InternetSite</b:SourceType>
    <b:Guid>{CA44B4F5-FF88-4289-9587-11B81072B774}</b:Guid>
    <b:LCID>0</b:LCID>
    <b:Author>
      <b:Author>
        <b:NameList>
          <b:Person>
            <b:Last>ראב"ד</b:Last>
            <b:First>אחי"ה</b:First>
          </b:Person>
        </b:NameList>
      </b:Author>
    </b:Author>
    <b:Title>14 שנות מאסר לתושב רג'ר שהבריח מטעני חבלה של חיזבאללה לישראל</b:Title>
    <b:Year>2018</b:Year>
    <b:InternetSiteTitle>Ynet</b:InternetSiteTitle>
    <b:Month>פברואר</b:Month>
    <b:Day>6</b:Day>
    <b:YearAccessed>2019</b:YearAccessed>
    <b:MonthAccessed>פברואר</b:MonthAccessed>
    <b:DayAccessed>28</b:DayAccessed>
    <b:URL>https://www.ynet.co.il/articles/0,7340,L-5094065,00.html</b:URL>
    <b:RefOrder>57</b:RefOrder>
  </b:Source>
  <b:Source>
    <b:Tag>Bre15</b:Tag>
    <b:SourceType>ArticleInAPeriodical</b:SourceType>
    <b:Guid>{BFE0D6B6-385F-4BDD-B85D-9FBBF8C734B2}</b:Guid>
    <b:LCID>0</b:LCID>
    <b:Author>
      <b:Author>
        <b:NameList>
          <b:Person>
            <b:Last>Brent L. Smith</b:Last>
            <b:First>Jeff</b:First>
            <b:Middle>Gruenewald, Paxton Roberts and Kelly R. Damphousse</b:Middle>
          </b:Person>
        </b:NameList>
      </b:Author>
    </b:Author>
    <b:Title>The Emergence of lone wolf terrorism: Patterns of behaviorand implications for intervention</b:Title>
    <b:Year>2015</b:Year>
    <b:Month>Sep.</b:Month>
    <b:Day>11</b:Day>
    <b:PeriodicalTitle>Terrorism and Counterterrorism Today. Sociology of Crime, Law and Deviance</b:PeriodicalTitle>
    <b:Pages>91-110</b:Pages>
    <b:RefOrder>58</b:RefOrder>
  </b:Source>
  <b:Source>
    <b:Tag>Ton14</b:Tag>
    <b:SourceType>JournalArticle</b:SourceType>
    <b:Guid>{08C788F3-6186-4EC8-9845-A41ABC3D492C}</b:Guid>
    <b:LCID>0</b:LCID>
    <b:Author>
      <b:Author>
        <b:NameList>
          <b:Person>
            <b:Last>Tony Lemieux</b:Last>
            <b:First>Jarret</b:First>
            <b:Middle>Brachman, Jason Levit, Jay Wood</b:Middle>
          </b:Person>
        </b:NameList>
      </b:Author>
    </b:Author>
    <b:Title>Inspire Magazine: A Critical Analysis of its Significance and Potential Impact Through the lens of the information, Motivation and Behavioral Skills Model</b:Title>
    <b:Year>2014</b:Year>
    <b:Pages>1-18</b:Pages>
    <b:JournalName>Terrorism and Political Violance</b:JournalName>
    <b:RefOrder>59</b:RefOrder>
  </b:Source>
  <b:Source>
    <b:Tag>אחי181</b:Tag>
    <b:SourceType>InternetSite</b:SourceType>
    <b:Guid>{DCC0860B-190C-4D6F-8B83-279173200EF1}</b:Guid>
    <b:LCID>0</b:LCID>
    <b:Author>
      <b:Author>
        <b:NameList>
          <b:Person>
            <b:Last>ראב"ד</b:Last>
            <b:First>אחיה</b:First>
          </b:Person>
        </b:NameList>
      </b:Author>
    </b:Author>
    <b:Title>"רצח רק בשל שנאתו ליהודים" : מאסר עולם ועוד 22 שנים בכלא למחבל מחיפה</b:Title>
    <b:Year>2018</b:Year>
    <b:InternetSiteTitle>Y.net</b:InternetSiteTitle>
    <b:Month>אוקטובר</b:Month>
    <b:Day>23</b:Day>
    <b:YearAccessed>2019</b:YearAccessed>
    <b:MonthAccessed>מרץ</b:MonthAccessed>
    <b:DayAccessed>1</b:DayAccessed>
    <b:URL>https://www.ynet.co.il/articles/0,7340,L-5377668,00.html</b:URL>
    <b:RefOrder>60</b:RefOrder>
  </b:Source>
  <b:Source>
    <b:Tag>שיר17</b:Tag>
    <b:SourceType>Misc</b:SourceType>
    <b:Guid>{DB0F30CC-8091-4192-92D3-CCC805EEB2B5}</b:Guid>
    <b:LCID>0</b:LCID>
    <b:Author>
      <b:Author>
        <b:Corporate>שירות הביטחון הכללי</b:Corporate>
      </b:Author>
    </b:Author>
    <b:Title>הודעת דוברות</b:Title>
    <b:Year>2017</b:Year>
    <b:Month>ינואר</b:Month>
    <b:Day>30</b:Day>
    <b:PublicationTitle>פוענח פיגוע הירי בחיפה(3.1.17)</b:PublicationTitle>
    <b:Publisher>שירות הביטחון הכללי</b:Publisher>
    <b:RefOrder>61</b:RefOrder>
  </b:Source>
  <b:Source>
    <b:Tag>מאי16</b:Tag>
    <b:SourceType>DocumentFromInternetSite</b:SourceType>
    <b:Guid>{49FB376B-AF87-4AFC-939D-2461B2747353}</b:Guid>
    <b:LCID>0</b:LCID>
    <b:Author>
      <b:Author>
        <b:NameList>
          <b:Person>
            <b:Last>אלרן</b:Last>
            <b:First>מאיר</b:First>
          </b:Person>
        </b:NameList>
      </b:Author>
    </b:Author>
    <b:Title>נשאת מלחם, טרוריסטי אסטרטגי?</b:Title>
    <b:Year>2016</b:Year>
    <b:Month>ינואר</b:Month>
    <b:Day>14</b:Day>
    <b:InternetSiteTitle>Y.net</b:InternetSiteTitle>
    <b:YearAccessed>2019</b:YearAccessed>
    <b:MonthAccessed>מרץ</b:MonthAccessed>
    <b:DayAccessed>1</b:DayAccessed>
    <b:URL>https://www.ynet.co.il/articles/0,7340,L-4752793,00.html</b:URL>
    <b:RefOrder>62</b:RefOrder>
  </b:Source>
  <b:Source>
    <b:Tag>אבי17</b:Tag>
    <b:SourceType>DocumentFromInternetSite</b:SourceType>
    <b:Guid>{463BF3AA-9202-4AF2-B99E-D451C9343F59}</b:Guid>
    <b:LCID>0</b:LCID>
    <b:Author>
      <b:Author>
        <b:NameList>
          <b:Person>
            <b:Last>יששכרוב</b:Last>
            <b:First>אבי</b:First>
          </b:Person>
        </b:NameList>
      </b:Author>
    </b:Author>
    <b:Title>לא "עוד מסע הרג": המחבלים מהר הבית ניסו להצית את המזרח התיכון</b:Title>
    <b:InternetSiteTitle>חדשות וואלה</b:InternetSiteTitle>
    <b:Year>2017</b:Year>
    <b:Month>יולי</b:Month>
    <b:Day>14</b:Day>
    <b:YearAccessed>2019</b:YearAccessed>
    <b:MonthAccessed>מרץ</b:MonthAccessed>
    <b:DayAccessed>1</b:DayAccessed>
    <b:URL>https://news.walla.co.il/item/3080876</b:URL>
    <b:RefOrder>63</b:RefOrder>
  </b:Source>
  <b:Source>
    <b:Tag>Gab12</b:Tag>
    <b:SourceType>ArticleInAPeriodical</b:SourceType>
    <b:Guid>{2855A955-DB1D-4729-817D-715BD3612093}</b:Guid>
    <b:LCID>0</b:LCID>
    <b:Author>
      <b:Author>
        <b:NameList>
          <b:Person>
            <b:Last>Weimann</b:Last>
            <b:First>Gabriel</b:First>
          </b:Person>
        </b:NameList>
      </b:Author>
    </b:Author>
    <b:Title>Lone Wolves in Cyberspace</b:Title>
    <b:PeriodicalTitle>Journal of Terrorism Research</b:PeriodicalTitle>
    <b:Year>2012</b:Year>
    <b:Pages>75-90</b:Pages>
    <b:RefOrder>64</b:RefOrder>
  </b:Source>
  <b:Source>
    <b:Tag>שאו17</b:Tag>
    <b:SourceType>ArticleInAPeriodical</b:SourceType>
    <b:Guid>{6037A1F3-8EFB-49BC-9315-834D116EE50F}</b:Guid>
    <b:LCID>0</b:LCID>
    <b:Author>
      <b:Author>
        <b:NameList>
          <b:Person>
            <b:Last>שאול ברטל</b:Last>
            <b:First>הלל</b:First>
            <b:Middle>פריש</b:Middle>
          </b:Person>
        </b:NameList>
      </b:Author>
    </b:Author>
    <b:Title>האומנם טרור של בודדים? גליי הפיגועים  2015-2008 </b:Title>
    <b:Year>2017</b:Year>
    <b:Month>מאי</b:Month>
    <b:PeriodicalTitle>עיונים בביטחון המזרח התיכון 132</b:PeriodicalTitle>
    <b:RefOrder>65</b:RefOrder>
  </b:Source>
  <b:Source>
    <b:Tag>אור17</b:Tag>
    <b:SourceType>DocumentFromInternetSite</b:SourceType>
    <b:Guid>{8BC5AD2D-3991-417F-9BBE-FDEC9F2995E2}</b:Guid>
    <b:LCID>0</b:LCID>
    <b:Author>
      <b:Author>
        <b:NameList>
          <b:Person>
            <b:Last>פרלוב</b:Last>
            <b:First>אורית</b:First>
          </b:Person>
        </b:NameList>
      </b:Author>
    </b:Author>
    <b:Title>מעבר לרשת, מגמות שיח ברשתות החברתיות בעולם הערבי</b:Title>
    <b:Year>2017</b:Year>
    <b:Month>ספטמבר</b:Month>
    <b:Day>15</b:Day>
    <b:InternetSiteTitle>המכון למחקרי ביטחון לאומי INSS</b:InternetSiteTitle>
    <b:YearAccessed>2019</b:YearAccessed>
    <b:MonthAccessed>מרץ</b:MonthAccessed>
    <b:DayAccessed>11</b:DayAccessed>
    <b:URL>https://www.inss.org.il/he/wp-content/uploads/sites/2/2017/09/%D7%A1%D7%A4%D7%98%D7%9E%D7%91%D7%A8-2017.pdf</b:URL>
    <b:RefOrder>66</b:RefOrder>
  </b:Source>
  <b:Source>
    <b:Tag>משב</b:Tag>
    <b:SourceType>JournalArticle</b:SourceType>
    <b:Guid>{40D5B92D-904D-454A-8C3C-D3C7DB9E04E2}</b:Guid>
    <b:LCID>0</b:LCID>
    <b:Author>
      <b:Author>
        <b:NameList>
          <b:Person>
            <b:Last>קינן</b:Last>
            <b:First>משה</b:First>
          </b:Person>
        </b:NameList>
      </b:Author>
    </b:Author>
    <b:Title>העוצמה החברתית והביטחון הלאומי</b:Title>
    <b:JournalName>מבוא לביטחון לאומי</b:JournalName>
    <b:Pages>70-82</b:Pages>
    <b:Year>2011</b:Year>
    <b:RefOrder>67</b:RefOrder>
  </b:Source>
  <b:Source>
    <b:Tag>משה17</b:Tag>
    <b:SourceType>JournalArticle</b:SourceType>
    <b:Guid>{AD8CCE2F-16B6-4EE2-BE04-B8AFD1B02598}</b:Guid>
    <b:LCID>0</b:LCID>
    <b:Author>
      <b:Author>
        <b:NameList>
          <b:Person>
            <b:Last>יעלון</b:Last>
            <b:First>משה</b:First>
          </b:Person>
        </b:NameList>
      </b:Author>
    </b:Author>
    <b:Title>רכיבים פנימיים של החוסן הלאומי</b:Title>
    <b:JournalName>הערכה אסטרטגית לישראל, המכון למחקרי ביטחון לאומי</b:JournalName>
    <b:Year>2017</b:Year>
    <b:Pages>209-212</b:Pages>
    <b:RefOrder>68</b:RefOrder>
  </b:Source>
  <b:Source>
    <b:Tag>אפר17</b:Tag>
    <b:SourceType>JournalArticle</b:SourceType>
    <b:Guid>{B0433711-7F2C-4D0F-BAA7-6E7FEC43587E}</b:Guid>
    <b:LCID>0</b:LCID>
    <b:Author>
      <b:Author>
        <b:NameList>
          <b:Person>
            <b:Last>אפרים לביא</b:Last>
            <b:First>מאיר</b:First>
            <b:Middle>אלרן, מוחמד אבו נסרה</b:Middle>
          </b:Person>
        </b:NameList>
      </b:Author>
    </b:Author>
    <b:Title>תופעות שנאה וגזענות בין יהודים וערבים בישראל: מאפיינים, השלכות ודרכי התמודדות</b:Title>
    <b:JournalName>הערכה אסטרטגית לישראל 2017, המכון למחקרי ביטחון לאומי</b:JournalName>
    <b:Year>2017</b:Year>
    <b:Pages>201-208</b:Pages>
    <b:RefOrder>69</b:RefOrder>
  </b:Source>
  <b:Source>
    <b:Tag>ניצ19</b:Tag>
    <b:SourceType>Interview</b:SourceType>
    <b:Guid>{3E9CCD88-6FBC-4369-80A4-4F628085C72D}</b:Guid>
    <b:LCID>0</b:LCID>
    <b:Author>
      <b:Interviewee>
        <b:NameList>
          <b:Person>
            <b:Last>אסור</b:Last>
            <b:First>ניצב</b:First>
            <b:Middle>אלון</b:Middle>
          </b:Person>
        </b:NameList>
      </b:Interviewee>
      <b:Interviewer>
        <b:NameList>
          <b:Person>
            <b:Last>חדד</b:Last>
            <b:First>יגאל</b:First>
          </b:Person>
        </b:NameList>
      </b:Interviewer>
    </b:Author>
    <b:Title>ראיון בנושא נשק ואמצעי לחימה בחברה הערבית</b:Title>
    <b:Year>2019</b:Year>
    <b:Month>פברואר</b:Month>
    <b:Day>25</b:Day>
    <b:RefOrder>70</b:RefOrder>
  </b:Source>
  <b:Source>
    <b:Tag>The85</b:Tag>
    <b:SourceType>JournalArticle</b:SourceType>
    <b:Guid>{CFF768AF-61D3-405C-9D24-573755B426C7}</b:Guid>
    <b:LCID>0</b:LCID>
    <b:Author>
      <b:Author>
        <b:NameList>
          <b:Person>
            <b:Last>Skocpol</b:Last>
            <b:First>Theda</b:First>
          </b:Person>
        </b:NameList>
      </b:Author>
    </b:Author>
    <b:Title>Bringing the state back in: Strategies of Analysis in Current Research </b:Title>
    <b:Year>1985</b:Year>
    <b:JournalName>Bringing the state back in (Cambridge University Press)</b:JournalName>
    <b:RefOrder>71</b:RefOrder>
  </b:Source>
  <b:Source>
    <b:Tag>הוו14</b:Tag>
    <b:SourceType>Report</b:SourceType>
    <b:Guid>{5AB8D643-B9F0-4AE0-A340-47199FE104E1}</b:Guid>
    <b:LCID>0</b:LCID>
    <b:Author>
      <b:Author>
        <b:Corporate>הוועדה לצמצום היקף השימוש במזומן בראשות מנכ"ל משרד ראש הממשלה</b:Corporate>
      </b:Author>
    </b:Author>
    <b:Title>הוועדה לבחינת צמצום היקף השימוש במזומן</b:Title>
    <b:Year>2014</b:Year>
    <b:Publisher>ממשלת ישראל</b:Publisher>
    <b:City>ירושלים</b:City>
    <b:RefOrder>72</b:RefOrder>
  </b:Source>
  <b:Source>
    <b:Tag>פינ16</b:Tag>
    <b:SourceType>InternetSite</b:SourceType>
    <b:Guid>{5AC2665F-8219-41BD-B3A2-86F9C34BECBE}</b:Guid>
    <b:LCID>0</b:LCID>
    <b:Author>
      <b:Author>
        <b:NameList>
          <b:Person>
            <b:Last>יחזקאלי</b:Last>
            <b:First>פיני</b:First>
          </b:Person>
        </b:NameList>
      </b:Author>
    </b:Author>
    <b:Title>מניעת פשיעה מצבית</b:Title>
    <b:Year>2016</b:Year>
    <b:InternetSiteTitle>ייצור ידע</b:InternetSiteTitle>
    <b:Month>ינואר</b:Month>
    <b:Day>10</b:Day>
    <b:YearAccessed>2019</b:YearAccessed>
    <b:MonthAccessed>מרץ</b:MonthAccessed>
    <b:DayAccessed>20</b:DayAccessed>
    <b:URL>http://www.xn--7dbl2a.com/wiki/%D7%9E%D7%95%D7%A9%D7%92%D7%99%D7%9D-%D7%91%D7%90%D7%9B%D7%99%D7%A4%D7%AA-%D7%97%D7%95%D7%A7-wiki/%D7%9E%D7%A0%D7%99%D7%A2%D7%AA-%D7%A4%D7%A9%D7%99%D7%A2%D7%94-%D7%9E%D7%A6%D7%91%D7%99%D7%AA/#sthash.BTyDk7Bh.dpbs</b:URL>
    <b:RefOrder>73</b:RefOrder>
  </b:Source>
  <b:Source>
    <b:Tag>נתנ08</b:Tag>
    <b:SourceType>Case</b:SourceType>
    <b:Guid>{8D96ED14-A3F7-4E3F-884A-A616EEB7EB72}</b:Guid>
    <b:LCID>0</b:LCID>
    <b:Title>ע"פ 3361/08 נתנאל לייבוביץ נגד מדינת ישראל</b:Title>
    <b:CaseNumber>3361/08</b:CaseNumber>
    <b:Court>עליון</b:Court>
    <b:Year>2008</b:Year>
    <b:Month>יולי</b:Month>
    <b:Day>27</b:Day>
    <b:RefOrder>74</b:RefOrder>
  </b:Source>
  <b:Source>
    <b:Tag>מדי10</b:Tag>
    <b:SourceType>Case</b:SourceType>
    <b:Guid>{37C61E91-30F6-42CA-8B28-D09C58C078B9}</b:Guid>
    <b:LCID>0</b:LCID>
    <b:Title>ע"פ 3416/09 מדינת ישראל נגד מחמוד חרבוש</b:Title>
    <b:Year>2010</b:Year>
    <b:Month>ספטמבר</b:Month>
    <b:Day>9</b:Day>
    <b:CaseNumber>8416/09</b:CaseNumber>
    <b:Court>עליון</b:Court>
    <b:RefOrder>75</b:RefOrder>
  </b:Source>
  <b:Source>
    <b:Tag>מדי18</b:Tag>
    <b:SourceType>Misc</b:SourceType>
    <b:Guid>{D4D3BCD6-CC2B-43FF-AF26-357059AD1052}</b:Guid>
    <b:LCID>0</b:LCID>
    <b:Author>
      <b:Author>
        <b:Corporate>מדינת ישראל - משרד המשפטים</b:Corporate>
      </b:Author>
    </b:Author>
    <b:Title>תזכיר חוק</b:Title>
    <b:PublicationTitle>תזכיר חוק העונשין (תיקון מס'...) (שימוש בנשק חם), התשע"ח- 2018.</b:PublicationTitle>
    <b:Year>2018</b:Year>
    <b:CountryRegion>ישראל</b:CountryRegion>
    <b:Publisher>משרד המשפטים</b:Publisher>
    <b:Month>פברואר</b:Month>
    <b:Day>26</b:Day>
    <b:City>ירושלים</b:City>
    <b:RefOrder>76</b:RefOrder>
  </b:Source>
  <b:Source>
    <b:Tag>מדי16</b:Tag>
    <b:SourceType>Misc</b:SourceType>
    <b:Guid>{1144A0E6-A1E6-4C00-BF2D-5B5F38359101}</b:Guid>
    <b:LCID>0</b:LCID>
    <b:Author>
      <b:Author>
        <b:Corporate>מדינת ישראל - משרד המשפטים, פרקליט המדינה</b:Corporate>
      </b:Author>
    </b:Author>
    <b:Title>הנחיית פרקליט המדינה</b:Title>
    <b:PublicationTitle>מדיניות ענישה בעבירות נשק ומטעני חבלה</b:PublicationTitle>
    <b:Year>2016</b:Year>
    <b:Month>אוגוסט</b:Month>
    <b:Day>7</b:Day>
    <b:City>ירושלים</b:City>
    <b:Publisher>משרד המשפטים- פרקליטות המדינה</b:Publisher>
    <b:RefOrder>77</b:RefOrder>
  </b:Source>
  <b:Source>
    <b:Tag>משר18</b:Tag>
    <b:SourceType>Misc</b:SourceType>
    <b:Guid>{43E1B965-9745-4076-8955-7BE45D187503}</b:Guid>
    <b:LCID>0</b:LCID>
    <b:Author>
      <b:Author>
        <b:Corporate>משרד החינוך - השירות הפסיכולוגי ייעוצי </b:Corporate>
      </b:Author>
    </b:Author>
    <b:Title>קידום אקלים וצמצום אלימות בחברה הערבית</b:Title>
    <b:Year>2018</b:Year>
    <b:Month>אוגוסט</b:Month>
    <b:CountryRegion>ישראל</b:CountryRegion>
    <b:RefOrder>78</b:RefOrder>
  </b:Source>
  <b:Source>
    <b:Tag>משר17</b:Tag>
    <b:SourceType>Misc</b:SourceType>
    <b:Guid>{FAE50DBC-BA0A-4EA6-AF55-B38CEFF92C7E}</b:Guid>
    <b:LCID>0</b:LCID>
    <b:Author>
      <b:Author>
        <b:Corporate>משרד החינוך - לשכת המנכ"ל</b:Corporate>
      </b:Author>
    </b:Author>
    <b:Title>החברה הערבית בישראל - מצגת לדיון הנהלת משרד החינוך</b:Title>
    <b:Year>2017</b:Year>
    <b:Month>אוגוסט</b:Month>
    <b:CountryRegion>ישראל</b:CountryRegion>
    <b:RefOrder>79</b:RefOrder>
  </b:Source>
  <b:Source>
    <b:Tag>משר181</b:Tag>
    <b:SourceType>Misc</b:SourceType>
    <b:Guid>{12CD9A97-A3EA-4567-B360-E60D1DF54CB5}</b:Guid>
    <b:LCID>0</b:LCID>
    <b:Author>
      <b:Author>
        <b:NameList>
          <b:Person>
            <b:Last>המנכ"ל</b:Last>
            <b:First>משרד</b:First>
            <b:Middle>החינוך - לשכת</b:Middle>
          </b:Person>
        </b:NameList>
      </b:Author>
    </b:Author>
    <b:Title>ישיבת הנהלה- 14 בנובמבר 2018</b:Title>
    <b:PublicationTitle>התרחבות תופעת האלימות בבחירות לרשויות המקומיות הערביות והשפעתה על מוסדות החינוך בחברה הערבית</b:PublicationTitle>
    <b:Year>2018</b:Year>
    <b:CountryRegion>ירושלים</b:CountryRegion>
    <b:RefOrder>80</b:RefOrder>
  </b:Source>
  <b:Source>
    <b:Tag>עבד18</b:Tag>
    <b:SourceType>Interview</b:SourceType>
    <b:Guid>{28619574-5FCF-4006-AE28-C1BC9FF1ED4F}</b:Guid>
    <b:LCID>0</b:LCID>
    <b:Author>
      <b:Interviewee>
        <b:NameList>
          <b:Person>
            <b:Last>ח'טיב</b:Last>
            <b:First>עבדאללה</b:First>
          </b:Person>
        </b:NameList>
      </b:Interviewee>
      <b:Interviewer>
        <b:NameList>
          <b:Person>
            <b:Last>חדד</b:Last>
            <b:First>יגאל</b:First>
          </b:Person>
        </b:NameList>
      </b:Interviewer>
    </b:Author>
    <b:Title>הממונה על החינוך הערבי במשרד החינוך - מדיניות משרד החינוך בנושא טיפול באלימות ובנשק בחברה הערבית</b:Title>
    <b:Year>2018</b:Year>
    <b:Month>12</b:Month>
    <b:Day>23</b:Day>
    <b:RefOrder>81</b:RefOrder>
  </b:Source>
  <b:Source>
    <b:Tag>משר16</b:Tag>
    <b:SourceType>Report</b:SourceType>
    <b:Guid>{37949952-A96E-42B5-BC31-E7CE2F053338}</b:Guid>
    <b:LCID>0</b:LCID>
    <b:Author>
      <b:Author>
        <b:Corporate>משרד ראש הממשלה, משרד האוצר, המשרד לשוויון חברתי</b:Corporate>
      </b:Author>
    </b:Author>
    <b:Title>תכנית מערכתית לשילוב כלכלי של החברה הערבית</b:Title>
    <b:Year>2016</b:Year>
    <b:City>ירושלים</b:City>
    <b:Publisher>ממשלת ישראל</b:Publisher>
    <b:RefOrder>16</b:RefOrder>
  </b:Source>
  <b:Source>
    <b:Tag>רזי07</b:Tag>
    <b:SourceType>Book</b:SourceType>
    <b:Guid>{4BD889DD-5C13-468F-AFB9-FD0ECD84D4E5}</b:Guid>
    <b:LCID>0</b:LCID>
    <b:Author>
      <b:Author>
        <b:NameList>
          <b:Person>
            <b:Last>פנחס יחזקאלי</b:Last>
            <b:First>רזי</b:First>
            <b:Middle>עפרון</b:Middle>
          </b:Person>
        </b:NameList>
      </b:Author>
    </b:Author>
    <b:Title>העולם איננו לינארי</b:Title>
    <b:Year>2007</b:Year>
    <b:Publisher>משרד הביטחון</b:Publisher>
    <b:RefOrder>82</b:RefOrder>
  </b:Source>
  <b:Source>
    <b:Tag>פיט08</b:Tag>
    <b:SourceType>Book</b:SourceType>
    <b:Guid>{7FC73612-F6D9-4E3B-BC5E-D867A3402E07}</b:Guid>
    <b:LCID>0</b:LCID>
    <b:Author>
      <b:Author>
        <b:NameList>
          <b:Person>
            <b:Last>סנג'י</b:Last>
            <b:First>פיטר</b:First>
            <b:Middle>מ.</b:Middle>
          </b:Person>
        </b:NameList>
      </b:Author>
    </b:Author>
    <b:Title>הארגון הלומד</b:Title>
    <b:Year>2008</b:Year>
    <b:City>ניו-יורק</b:City>
    <b:Publisher>מטר</b:Publisher>
    <b:RefOrder>83</b:RefOrder>
  </b:Source>
  <b:Source>
    <b:Tag>שמע01</b:Tag>
    <b:SourceType>Book</b:SourceType>
    <b:Guid>{AD7B9718-2689-4274-8FE6-E80825489AD8}</b:Guid>
    <b:LCID>0</b:LCID>
    <b:Author>
      <b:Author>
        <b:NameList>
          <b:Person>
            <b:Last>נווה</b:Last>
            <b:First>שמעון</b:First>
          </b:Person>
        </b:NameList>
      </b:Author>
    </b:Author>
    <b:Title>אמנות המערכה</b:Title>
    <b:Year>2001</b:Year>
    <b:Publisher>משרד הביטחון, צה"ל - "מערכות"</b:Publisher>
    <b:RefOrder>84</b:RefOrder>
  </b:Source>
  <b:Source>
    <b:Tag>ישר19</b:Tag>
    <b:SourceType>Misc</b:SourceType>
    <b:Guid>{DD7E6B9B-9E69-4113-9A87-193590F5D8BA}</b:Guid>
    <b:LCID>0</b:LCID>
    <b:Author>
      <b:Author>
        <b:Corporate>אג"ת משטרת ישראל</b:Corporate>
      </b:Author>
    </b:Author>
    <b:Title>תכנית אמון להפעלת ובניין הכוח</b:Title>
    <b:Year>2016</b:Year>
    <b:Publisher>מסמך פנימי משטרת ישראל</b:Publisher>
    <b:Month>מרץ</b:Month>
    <b:RefOrder>85</b:RefOrder>
  </b:Source>
  <b:Source>
    <b:Tag>חטי</b:Tag>
    <b:SourceType>Misc</b:SourceType>
    <b:Guid>{E0085FAC-057B-444D-994A-9E1DCBED151D}</b:Guid>
    <b:LCID>0</b:LCID>
    <b:Author>
      <b:Author>
        <b:Corporate>חטיבת המודיעין משטרת ישראל</b:Corporate>
      </b:Author>
    </b:Author>
    <b:Title>הערכת המודיעין 2019 - אלימות ואמצעי לחימה</b:Title>
    <b:Publisher>מסמך פנימי - משטרת ישראל</b:Publisher>
    <b:Year>2019</b:Year>
    <b:RefOrder>86</b:RefOrder>
  </b:Source>
  <b:Source>
    <b:Tag>ברק17</b:Tag>
    <b:SourceType>JournalArticle</b:SourceType>
    <b:Guid>{6620997B-B1A9-4211-B3BD-512AE8CD5858}</b:Guid>
    <b:LCID>0</b:LCID>
    <b:Author>
      <b:Author>
        <b:NameList>
          <b:Person>
            <b:Last>לוי-אריאל</b:Last>
            <b:First>ברק</b:First>
            <b:Middle>אריאל ויעל</b:Middle>
          </b:Person>
        </b:NameList>
      </b:Author>
    </b:Author>
    <b:Title>התבוננות מחודשת במוסד ההרתעה (ובדרכים ליצירת הרתעה יעילה)</b:Title>
    <b:Year>2017</b:Year>
    <b:JournalName>משפט חברה ותרבות - אוניברסיטת ת"א</b:JournalName>
    <b:Pages>83-133</b:Pages>
    <b:RefOrder>87</b:RefOrder>
  </b:Source>
  <b:Source>
    <b:Tag>חגי16</b:Tag>
    <b:SourceType>Book</b:SourceType>
    <b:Guid>{1CD514B2-07C2-4222-842E-1AED6D007D97}</b:Guid>
    <b:LCID>0</b:LCID>
    <b:Author>
      <b:Author>
        <b:NameList>
          <b:Person>
            <b:Last>לרנאו</b:Last>
            <b:First>חגית</b:First>
          </b:Person>
        </b:NameList>
      </b:Author>
    </b:Author>
    <b:Title>עבריינות ואכיפת חוק</b:Title>
    <b:Year>2016</b:Year>
    <b:Publisher>פרדס הוצאה לאור</b:Publisher>
    <b:RefOrder>88</b:RefOrder>
  </b:Source>
  <b:Source>
    <b:Tag>גדע82</b:Tag>
    <b:SourceType>Book</b:SourceType>
    <b:Guid>{4D278080-3DE6-4BEA-9644-84FD43857548}</b:Guid>
    <b:LCID>0</b:LCID>
    <b:Author>
      <b:Author>
        <b:NameList>
          <b:Person>
            <b:Last>יניב</b:Last>
            <b:First>גדעון</b:First>
          </b:Person>
        </b:NameList>
      </b:Author>
    </b:Author>
    <b:Title>מבוא לכלכלה - מיקרו</b:Title>
    <b:Year>1982</b:Year>
    <b:City>תל אביב</b:City>
    <b:Publisher>האוניברסיטה הפתוחה</b:Publisher>
    <b:RefOrder>89</b:RefOrder>
  </b:Source>
  <b:Source>
    <b:Tag>מדי17</b:Tag>
    <b:SourceType>Case</b:SourceType>
    <b:Guid>{B57304AD-4790-46FC-B4D2-5F9677B949FD}</b:Guid>
    <b:LCID>0</b:LCID>
    <b:Title>מדינת ישראל נגד דיאב בן סעד קהמוז ואח'</b:Title>
    <b:CaseNumber>7249-10-16 תפ"ח</b:CaseNumber>
    <b:Court>מחוזי נצרת</b:Court>
    <b:Year>2017</b:Year>
    <b:Month>דצמבר</b:Month>
    <b:Day>7</b:Day>
    <b:RefOrder>90</b:RefOrder>
  </b:Source>
</b:Sources>
</file>

<file path=customXml/itemProps1.xml><?xml version="1.0" encoding="utf-8"?>
<ds:datastoreItem xmlns:ds="http://schemas.openxmlformats.org/officeDocument/2006/customXml" ds:itemID="{C6C30C27-6DFA-4337-A240-078C96CD0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250</TotalTime>
  <Pages>1</Pages>
  <Words>9868</Words>
  <Characters>49340</Characters>
  <Application>Microsoft Office Word</Application>
  <DocSecurity>0</DocSecurity>
  <Lines>411</Lines>
  <Paragraphs>118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59090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vinnyc18@gmail.com</dc:creator>
  <cp:lastModifiedBy>User</cp:lastModifiedBy>
  <cp:revision>10</cp:revision>
  <cp:lastPrinted>2019-04-12T15:06:00Z</cp:lastPrinted>
  <dcterms:created xsi:type="dcterms:W3CDTF">2019-04-12T11:09:00Z</dcterms:created>
  <dcterms:modified xsi:type="dcterms:W3CDTF">2019-04-12T15:18:00Z</dcterms:modified>
</cp:coreProperties>
</file>