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אוניברסיטת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חיפה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1"/>
        </w:rPr>
        <w:t xml:space="preserve">הפקולטה</w:t>
      </w:r>
      <w:r w:rsidDel="00000000" w:rsidR="00000000" w:rsidRPr="00000000">
        <w:rPr>
          <w:b w:val="1"/>
          <w:sz w:val="40"/>
          <w:szCs w:val="40"/>
          <w:rtl w:val="1"/>
        </w:rPr>
        <w:t xml:space="preserve"> </w:t>
      </w:r>
      <w:r w:rsidDel="00000000" w:rsidR="00000000" w:rsidRPr="00000000">
        <w:rPr>
          <w:b w:val="1"/>
          <w:sz w:val="40"/>
          <w:szCs w:val="40"/>
          <w:rtl w:val="1"/>
        </w:rPr>
        <w:t xml:space="preserve">למשפטים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מבוא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למשפט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ציבורי</w:t>
      </w:r>
      <w:r w:rsidDel="00000000" w:rsidR="00000000" w:rsidRPr="00000000">
        <w:rPr>
          <w:b w:val="1"/>
          <w:sz w:val="36"/>
          <w:szCs w:val="36"/>
          <w:rtl w:val="1"/>
        </w:rPr>
        <w:t xml:space="preserve">, </w:t>
      </w:r>
      <w:r w:rsidDel="00000000" w:rsidR="00000000" w:rsidRPr="00000000">
        <w:rPr>
          <w:b w:val="1"/>
          <w:sz w:val="36"/>
          <w:szCs w:val="36"/>
          <w:rtl w:val="1"/>
        </w:rPr>
        <w:t xml:space="preserve">תשפ</w:t>
      </w:r>
      <w:r w:rsidDel="00000000" w:rsidR="00000000" w:rsidRPr="00000000">
        <w:rPr>
          <w:b w:val="1"/>
          <w:sz w:val="36"/>
          <w:szCs w:val="36"/>
          <w:rtl w:val="1"/>
        </w:rPr>
        <w:t xml:space="preserve">"</w:t>
      </w:r>
      <w:r w:rsidDel="00000000" w:rsidR="00000000" w:rsidRPr="00000000">
        <w:rPr>
          <w:b w:val="1"/>
          <w:sz w:val="36"/>
          <w:szCs w:val="36"/>
          <w:rtl w:val="1"/>
        </w:rPr>
        <w:t xml:space="preserve">א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מרצה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פרופ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'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אמנון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רייכמן</w:t>
      </w:r>
    </w:p>
    <w:p w:rsidR="00000000" w:rsidDel="00000000" w:rsidP="00000000" w:rsidRDefault="00000000" w:rsidRPr="00000000" w14:paraId="00000005">
      <w:pPr>
        <w:bidi w:val="1"/>
        <w:spacing w:after="0" w:line="360" w:lineRule="auto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עוזרי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הוראה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360" w:lineRule="auto"/>
        <w:jc w:val="center"/>
        <w:rPr/>
      </w:pPr>
      <w:r w:rsidDel="00000000" w:rsidR="00000000" w:rsidRPr="00000000">
        <w:rPr>
          <w:rtl w:val="1"/>
        </w:rPr>
        <w:t xml:space="preserve">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פאדי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מקלדה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גב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אסתי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רשרגוביץ</w:t>
      </w:r>
      <w:r w:rsidDel="00000000" w:rsidR="00000000" w:rsidRPr="00000000">
        <w:rPr>
          <w:rtl w:val="1"/>
        </w:rPr>
        <w:t xml:space="preserve">'</w:t>
      </w:r>
    </w:p>
    <w:p w:rsidR="00000000" w:rsidDel="00000000" w:rsidP="00000000" w:rsidRDefault="00000000" w:rsidRPr="00000000" w14:paraId="00000007">
      <w:pPr>
        <w:keepNext w:val="1"/>
        <w:tabs>
          <w:tab w:val="left" w:pos="26"/>
          <w:tab w:val="left" w:pos="206"/>
        </w:tabs>
        <w:bidi w:val="1"/>
        <w:spacing w:after="0" w:line="240" w:lineRule="auto"/>
        <w:ind w:left="26" w:right="360" w:hanging="36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bidi w:val="1"/>
        <w:spacing w:after="120" w:line="360" w:lineRule="auto"/>
        <w:ind w:left="22" w:hanging="357"/>
        <w:jc w:val="both"/>
        <w:rPr>
          <w:b w:val="1"/>
        </w:rPr>
      </w:pPr>
      <w:r w:rsidDel="00000000" w:rsidR="00000000" w:rsidRPr="00000000">
        <w:rPr>
          <w:b w:val="1"/>
          <w:rtl w:val="1"/>
        </w:rPr>
        <w:t xml:space="preserve">הנחיות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לתלמידים</w:t>
      </w:r>
    </w:p>
    <w:p w:rsidR="00000000" w:rsidDel="00000000" w:rsidP="00000000" w:rsidRDefault="00000000" w:rsidRPr="00000000" w14:paraId="00000009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כללי</w:t>
      </w:r>
    </w:p>
    <w:p w:rsidR="00000000" w:rsidDel="00000000" w:rsidP="00000000" w:rsidRDefault="00000000" w:rsidRPr="00000000" w14:paraId="0000000A">
      <w:pPr>
        <w:bidi w:val="1"/>
        <w:spacing w:after="120" w:line="360" w:lineRule="auto"/>
        <w:jc w:val="both"/>
        <w:rPr/>
      </w:pP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ציבורי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יינתן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בהיקף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4 </w:t>
      </w:r>
      <w:r w:rsidDel="00000000" w:rsidR="00000000" w:rsidRPr="00000000">
        <w:rPr>
          <w:rtl w:val="1"/>
        </w:rPr>
        <w:t xml:space="preserve">נ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יתקיימו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מפגשים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מועדיהם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בימי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שני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השעות</w:t>
      </w:r>
      <w:r w:rsidDel="00000000" w:rsidR="00000000" w:rsidRPr="00000000">
        <w:rPr>
          <w:rtl w:val="1"/>
        </w:rPr>
        <w:t xml:space="preserve"> 13:00-16:15. </w:t>
      </w:r>
      <w:r w:rsidDel="00000000" w:rsidR="00000000" w:rsidRPr="00000000">
        <w:rPr>
          <w:rtl w:val="1"/>
        </w:rPr>
        <w:t xml:space="preserve">תוכנית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הרצאות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יידרשו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תשובות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לתרגילים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הפירוט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שלהלן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מרכיבי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הציון</w:t>
      </w:r>
    </w:p>
    <w:p w:rsidR="00000000" w:rsidDel="00000000" w:rsidP="00000000" w:rsidRDefault="00000000" w:rsidRPr="00000000" w14:paraId="0000000C">
      <w:pPr>
        <w:bidi w:val="1"/>
        <w:spacing w:after="120" w:line="360" w:lineRule="auto"/>
        <w:jc w:val="both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הציון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הכולל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בקורס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בנוי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המרכיבים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הבאים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79"/>
        </w:numPr>
        <w:bidi w:val="1"/>
        <w:spacing w:after="120" w:line="360" w:lineRule="auto"/>
        <w:ind w:left="357" w:hanging="357"/>
        <w:jc w:val="both"/>
        <w:rPr/>
      </w:pPr>
      <w:r w:rsidDel="00000000" w:rsidR="00000000" w:rsidRPr="00000000">
        <w:rPr>
          <w:b w:val="1"/>
          <w:rtl w:val="1"/>
        </w:rPr>
        <w:t xml:space="preserve">תרגיל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סמכות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הליך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שיקול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דעת</w:t>
      </w:r>
      <w:r w:rsidDel="00000000" w:rsidR="00000000" w:rsidRPr="00000000">
        <w:rPr>
          <w:b w:val="1"/>
          <w:rtl w:val="1"/>
        </w:rPr>
        <w:t xml:space="preserve">) – 15%.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7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70%.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numPr>
          <w:ilvl w:val="0"/>
          <w:numId w:val="79"/>
        </w:numPr>
        <w:bidi w:val="1"/>
        <w:spacing w:after="120" w:line="360" w:lineRule="auto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השתתפות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פעילה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ומושכלת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בשיעורים</w:t>
      </w:r>
      <w:r w:rsidDel="00000000" w:rsidR="00000000" w:rsidRPr="00000000">
        <w:rPr>
          <w:rtl w:val="1"/>
        </w:rPr>
        <w:t xml:space="preserve"> – 15%.</w:t>
      </w:r>
    </w:p>
    <w:p w:rsidR="00000000" w:rsidDel="00000000" w:rsidP="00000000" w:rsidRDefault="00000000" w:rsidRPr="00000000" w14:paraId="00000010">
      <w:pPr>
        <w:numPr>
          <w:ilvl w:val="0"/>
          <w:numId w:val="79"/>
        </w:numPr>
        <w:bidi w:val="1"/>
        <w:spacing w:after="120" w:line="360" w:lineRule="auto"/>
        <w:ind w:left="360" w:hanging="360"/>
        <w:jc w:val="both"/>
        <w:rPr/>
      </w:pPr>
      <w:r w:rsidDel="00000000" w:rsidR="00000000" w:rsidRPr="00000000">
        <w:rPr>
          <w:rtl w:val="1"/>
        </w:rPr>
        <w:t xml:space="preserve">רשות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מטלת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מחקר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ציון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מגן</w:t>
      </w:r>
      <w:r w:rsidDel="00000000" w:rsidR="00000000" w:rsidRPr="00000000">
        <w:rPr>
          <w:rtl w:val="1"/>
        </w:rPr>
        <w:t xml:space="preserve"> 20%.</w:t>
      </w:r>
    </w:p>
    <w:p w:rsidR="00000000" w:rsidDel="00000000" w:rsidP="00000000" w:rsidRDefault="00000000" w:rsidRPr="00000000" w14:paraId="00000011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(80%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מהציון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הסופי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בקורס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):</w:t>
      </w:r>
    </w:p>
    <w:p w:rsidR="00000000" w:rsidDel="00000000" w:rsidP="00000000" w:rsidRDefault="00000000" w:rsidRPr="00000000" w14:paraId="00000012">
      <w:pPr>
        <w:bidi w:val="1"/>
        <w:spacing w:after="120" w:line="360" w:lineRule="auto"/>
        <w:jc w:val="both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שיקבעו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מסכמת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8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36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תרגילים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4">
      <w:pPr>
        <w:bidi w:val="1"/>
        <w:spacing w:after="120" w:line="360" w:lineRule="auto"/>
        <w:ind w:left="360" w:firstLine="0"/>
        <w:jc w:val="both"/>
        <w:rPr/>
      </w:pP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יתפרסמו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ומטלה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מסכמת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מבוסס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אירוע</w:t>
      </w:r>
      <w:r w:rsidDel="00000000" w:rsidR="00000000" w:rsidRPr="00000000">
        <w:rPr>
          <w:rtl w:val="1"/>
        </w:rPr>
        <w:t xml:space="preserve">) </w:t>
      </w:r>
      <w:r w:rsidDel="00000000" w:rsidR="00000000" w:rsidRPr="00000000">
        <w:rPr>
          <w:rtl w:val="1"/>
        </w:rPr>
        <w:t xml:space="preserve">המעלה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ולנתח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המצוי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במקרים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המתאימים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מכסת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שתוגדר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בתרגיל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שוליים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טכניות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).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תרגיל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תצורפנה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מפורטות</w:t>
      </w:r>
      <w:r w:rsidDel="00000000" w:rsidR="00000000" w:rsidRPr="00000000">
        <w:rPr>
          <w:rtl w:val="1"/>
        </w:rPr>
        <w:t xml:space="preserve">; </w:t>
      </w:r>
      <w:r w:rsidDel="00000000" w:rsidR="00000000" w:rsidRPr="00000000">
        <w:rPr>
          <w:rtl w:val="1"/>
        </w:rPr>
        <w:t xml:space="preserve">אין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במחקר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עצמאי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spacing w:after="120" w:line="360" w:lineRule="auto"/>
        <w:ind w:left="360" w:firstLine="0"/>
        <w:jc w:val="both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מועדי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הגשת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התרגילים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9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תרגיל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tab/>
        <w:t xml:space="preserve">   07/12/2020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069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  <w:tab/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10/02/2021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לתיאום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מזכירות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המב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069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01/02/2021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לתיאום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מזכירות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המב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מחקר</w:t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המעניקה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2000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שיבחר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שתוביל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יאוחר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1"/>
        </w:rPr>
        <w:t xml:space="preserve">מתאריך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רייכמן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יפורטו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ותינתן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לשאילת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ידרשו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נתקלו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משלבת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בתוכה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המבצעי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הבמאי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מחמד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ניסה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השתלשלות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האירועים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לביקורת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שהתירה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הקרנתו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ברגשות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לחלופין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המחקר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ביטחונית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והשיקולים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שעמדו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לנגד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גיבושו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פקודת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-1948,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ובמהלך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שעסק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בהשפעת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מידתיותו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נוכחות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בשיעורים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והתכוננות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לקראתם</w:t>
      </w:r>
    </w:p>
    <w:p w:rsidR="00000000" w:rsidDel="00000000" w:rsidP="00000000" w:rsidRDefault="00000000" w:rsidRPr="00000000" w14:paraId="0000001C">
      <w:pPr>
        <w:bidi w:val="1"/>
        <w:spacing w:after="120" w:line="360" w:lineRule="auto"/>
        <w:jc w:val="both"/>
        <w:rPr/>
      </w:pP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נוכחים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פרונטלי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וירטואלי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ההרצאות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ולהתכונן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לקראתן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הכנה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הרלוונטיים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והגעה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להרצאה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עיבוד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מסוים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אלו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1D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קריאה</w:t>
      </w:r>
    </w:p>
    <w:p w:rsidR="00000000" w:rsidDel="00000000" w:rsidP="00000000" w:rsidRDefault="00000000" w:rsidRPr="00000000" w14:paraId="0000001E">
      <w:pPr>
        <w:bidi w:val="1"/>
        <w:spacing w:after="120" w:line="360" w:lineRule="auto"/>
        <w:jc w:val="both"/>
        <w:rPr/>
      </w:pPr>
      <w:r w:rsidDel="00000000" w:rsidR="00000000" w:rsidRPr="00000000">
        <w:rPr>
          <w:rtl w:val="1"/>
        </w:rPr>
        <w:t xml:space="preserve">השיעור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יתרכז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בנושאים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הכפופים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לשינויים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הסמסטר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המקורות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הכלולים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ברשימת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הקריאה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מצויים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0"/>
        </w:rPr>
        <w:t xml:space="preserve">moodle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בספריה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ובמאגרי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המידע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המשפטיים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העניין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אתר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הקורס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(moodle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bidi w:val="1"/>
        <w:spacing w:after="120" w:line="360" w:lineRule="auto"/>
        <w:jc w:val="both"/>
        <w:rPr>
          <w:b w:val="1"/>
        </w:rPr>
      </w:pP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יגובה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אינטרנט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אינטראקטיבי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ימסרו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חומרים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הקשורים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הקורס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הודעות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שוטפות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נוספים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הרלוונטיים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התקין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התלמידים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להתעדכן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באופן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שוטף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הפרסומים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באתר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1"/>
        <w:widowControl w:val="1"/>
        <w:numPr>
          <w:ilvl w:val="0"/>
          <w:numId w:val="7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bidi w:val="1"/>
        <w:spacing w:after="120" w:before="0" w:line="360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פניות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לסגל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ההוראה</w:t>
      </w:r>
    </w:p>
    <w:p w:rsidR="00000000" w:rsidDel="00000000" w:rsidP="00000000" w:rsidRDefault="00000000" w:rsidRPr="00000000" w14:paraId="00000022">
      <w:pPr>
        <w:bidi w:val="1"/>
        <w:spacing w:after="120" w:line="360" w:lineRule="auto"/>
        <w:jc w:val="both"/>
        <w:rPr/>
      </w:pPr>
      <w:r w:rsidDel="00000000" w:rsidR="00000000" w:rsidRPr="00000000">
        <w:rPr>
          <w:rtl w:val="1"/>
        </w:rPr>
        <w:t xml:space="preserve">בסמסטר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', </w:t>
      </w:r>
      <w:r w:rsidDel="00000000" w:rsidR="00000000" w:rsidRPr="00000000">
        <w:rPr>
          <w:rtl w:val="1"/>
        </w:rPr>
        <w:t xml:space="preserve">פרופ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רייכמן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יקיים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שבועית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zoom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משעה</w:t>
      </w:r>
      <w:r w:rsidDel="00000000" w:rsidR="00000000" w:rsidRPr="00000000">
        <w:rPr>
          <w:rtl w:val="1"/>
        </w:rPr>
        <w:t xml:space="preserve"> 21:15-22:15, </w:t>
      </w:r>
      <w:r w:rsidDel="00000000" w:rsidR="00000000" w:rsidRPr="00000000">
        <w:rPr>
          <w:rtl w:val="1"/>
        </w:rPr>
        <w:t xml:space="preserve">בתיאום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מראש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שעת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למתן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מענה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שאלה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דיון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ורצון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להעמיק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בחומר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הנלמד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כמו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עוזרי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יקיימו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לצורך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הצגת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פתרון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התרגילים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במועדים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שיפורסמו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   </w:t>
      </w:r>
    </w:p>
    <w:p w:rsidR="00000000" w:rsidDel="00000000" w:rsidP="00000000" w:rsidRDefault="00000000" w:rsidRPr="00000000" w14:paraId="00000023">
      <w:pPr>
        <w:bidi w:val="1"/>
        <w:spacing w:after="120" w:line="360" w:lineRule="auto"/>
        <w:jc w:val="both"/>
        <w:rPr/>
      </w:pPr>
      <w:r w:rsidDel="00000000" w:rsidR="00000000" w:rsidRPr="00000000">
        <w:rPr>
          <w:rtl w:val="1"/>
        </w:rPr>
        <w:t xml:space="preserve">לפניות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מחוץ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הקבלה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מוזמנים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ליצור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עוזרי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ההוראה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באמצעות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האלקטרוני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לציין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בכותרת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הדוא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u w:val="single"/>
          <w:rtl w:val="1"/>
        </w:rPr>
        <w:t xml:space="preserve">משפט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ציבורי</w:t>
      </w:r>
      <w:r w:rsidDel="00000000" w:rsidR="00000000" w:rsidRPr="00000000">
        <w:rPr>
          <w:rtl w:val="0"/>
        </w:rPr>
        <w:t xml:space="preserve">"):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רשרגוביץ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hyperlink r:id="rId7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563c1"/>
            <w:sz w:val="24"/>
            <w:szCs w:val="24"/>
            <w:highlight w:val="white"/>
            <w:u w:val="single"/>
            <w:vertAlign w:val="baseline"/>
            <w:rtl w:val="0"/>
          </w:rPr>
          <w:t xml:space="preserve">estherashbar@gmail.com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פאדי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מקלדה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hyperlink r:id="rId8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403fadim@gmail.com</w:t>
        </w:r>
      </w:hyperlink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bidiVisual w:val="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5"/>
        <w:gridCol w:w="3005"/>
        <w:gridCol w:w="3006"/>
        <w:tblGridChange w:id="0">
          <w:tblGrid>
            <w:gridCol w:w="3005"/>
            <w:gridCol w:w="3005"/>
            <w:gridCol w:w="3006"/>
          </w:tblGrid>
        </w:tblGridChange>
      </w:tblGrid>
      <w:tr>
        <w:tc>
          <w:tcPr/>
          <w:p w:rsidR="00000000" w:rsidDel="00000000" w:rsidP="00000000" w:rsidRDefault="00000000" w:rsidRPr="00000000" w14:paraId="0000002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360" w:lineRule="auto"/>
              <w:ind w:left="360" w:right="0" w:hanging="36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מפגש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מס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'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360" w:lineRule="auto"/>
              <w:ind w:left="360" w:right="0" w:hanging="36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תאריך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360" w:lineRule="auto"/>
              <w:ind w:left="360" w:right="0" w:hanging="360"/>
              <w:jc w:val="center"/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נושאי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השיעור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09.11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1"/>
              <w:keepLines w:val="1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הסמכות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במשפט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הציבורי</w:t>
            </w:r>
          </w:p>
          <w:p w:rsidR="00000000" w:rsidDel="00000000" w:rsidP="00000000" w:rsidRDefault="00000000" w:rsidRPr="00000000" w14:paraId="0000002C">
            <w:pPr>
              <w:keepNext w:val="1"/>
              <w:keepLines w:val="1"/>
              <w:widowControl w:val="1"/>
              <w:numPr>
                <w:ilvl w:val="0"/>
                <w:numId w:val="2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הזזת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הסמכות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16.11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1"/>
              <w:keepLines w:val="1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תחולה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בזמן</w:t>
            </w:r>
          </w:p>
          <w:p w:rsidR="00000000" w:rsidDel="00000000" w:rsidP="00000000" w:rsidRDefault="00000000" w:rsidRPr="00000000" w14:paraId="00000030">
            <w:pPr>
              <w:keepNext w:val="1"/>
              <w:keepLines w:val="1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תחולה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23.11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1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כצ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ט</w:t>
            </w:r>
          </w:p>
          <w:p w:rsidR="00000000" w:rsidDel="00000000" w:rsidP="00000000" w:rsidRDefault="00000000" w:rsidRPr="00000000" w14:paraId="00000034">
            <w:pPr>
              <w:keepNext w:val="1"/>
              <w:keepLines w:val="1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שיקול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דעת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מינהלי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30.11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1"/>
              <w:keepLines w:val="1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איזונים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וסבירות</w:t>
            </w:r>
          </w:p>
          <w:p w:rsidR="00000000" w:rsidDel="00000000" w:rsidP="00000000" w:rsidRDefault="00000000" w:rsidRPr="00000000" w14:paraId="00000038">
            <w:pPr>
              <w:keepNext w:val="1"/>
              <w:keepLines w:val="1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הממשלה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07.12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1"/>
              <w:keepLines w:val="1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הכנסת</w:t>
            </w:r>
          </w:p>
          <w:p w:rsidR="00000000" w:rsidDel="00000000" w:rsidP="00000000" w:rsidRDefault="00000000" w:rsidRPr="00000000" w14:paraId="0000003C">
            <w:pPr>
              <w:keepNext w:val="1"/>
              <w:keepLines w:val="1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היועמ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והרשות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השופטת</w:t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14.12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1"/>
              <w:keepLines w:val="1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המהפכה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החוקתית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21.12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1"/>
              <w:keepLines w:val="1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פרשנות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חוקתית</w:t>
            </w:r>
          </w:p>
          <w:p w:rsidR="00000000" w:rsidDel="00000000" w:rsidP="00000000" w:rsidRDefault="00000000" w:rsidRPr="00000000" w14:paraId="00000043">
            <w:pPr>
              <w:keepNext w:val="1"/>
              <w:keepLines w:val="1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חוקה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מטריאלית</w:t>
            </w:r>
          </w:p>
        </w:tc>
      </w:tr>
      <w:tr>
        <w:tc>
          <w:tcPr/>
          <w:p w:rsidR="00000000" w:rsidDel="00000000" w:rsidP="00000000" w:rsidRDefault="00000000" w:rsidRPr="00000000" w14:paraId="0000004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04.01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1"/>
              <w:keepLines w:val="1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פסקת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ההגבלה</w:t>
            </w:r>
          </w:p>
          <w:p w:rsidR="00000000" w:rsidDel="00000000" w:rsidP="00000000" w:rsidRDefault="00000000" w:rsidRPr="00000000" w14:paraId="00000047">
            <w:pPr>
              <w:keepNext w:val="1"/>
              <w:keepLines w:val="1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פסקת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ההתגברות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11.01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1"/>
              <w:keepLines w:val="1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האדם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וזכותו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גופו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והזכות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להליך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הוגן</w:t>
            </w:r>
          </w:p>
          <w:p w:rsidR="00000000" w:rsidDel="00000000" w:rsidP="00000000" w:rsidRDefault="00000000" w:rsidRPr="00000000" w14:paraId="0000004B">
            <w:pPr>
              <w:keepNext w:val="1"/>
              <w:keepLines w:val="1"/>
              <w:widowControl w:val="1"/>
              <w:numPr>
                <w:ilvl w:val="0"/>
                <w:numId w:val="1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חופש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הביטוי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וההפגנה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18.01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1"/>
              <w:keepLines w:val="1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הזכות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לבחור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ולהיבחר</w:t>
            </w:r>
          </w:p>
          <w:p w:rsidR="00000000" w:rsidDel="00000000" w:rsidP="00000000" w:rsidRDefault="00000000" w:rsidRPr="00000000" w14:paraId="0000004F">
            <w:pPr>
              <w:keepNext w:val="1"/>
              <w:keepLines w:val="1"/>
              <w:widowControl w:val="1"/>
              <w:numPr>
                <w:ilvl w:val="0"/>
                <w:numId w:val="4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חופש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הדת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המצפון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והפרטיות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25.01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1"/>
              <w:keepLines w:val="1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זכויות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בעתות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חירום</w:t>
            </w:r>
          </w:p>
          <w:p w:rsidR="00000000" w:rsidDel="00000000" w:rsidP="00000000" w:rsidRDefault="00000000" w:rsidRPr="00000000" w14:paraId="00000053">
            <w:pPr>
              <w:keepNext w:val="1"/>
              <w:keepLines w:val="1"/>
              <w:widowControl w:val="1"/>
              <w:numPr>
                <w:ilvl w:val="0"/>
                <w:numId w:val="4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זכויות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חברתיות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1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center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1"/>
              <w:keepLines w:val="1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אפליה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שוויון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והעדפה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מתקנת</w:t>
            </w:r>
          </w:p>
          <w:p w:rsidR="00000000" w:rsidDel="00000000" w:rsidP="00000000" w:rsidRDefault="00000000" w:rsidRPr="00000000" w14:paraId="00000057">
            <w:pPr>
              <w:keepNext w:val="1"/>
              <w:keepLines w:val="1"/>
              <w:widowControl w:val="1"/>
              <w:numPr>
                <w:ilvl w:val="0"/>
                <w:numId w:val="4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bidi w:val="1"/>
              <w:spacing w:after="120" w:before="0" w:line="240" w:lineRule="auto"/>
              <w:ind w:left="360" w:right="0" w:hanging="360"/>
              <w:jc w:val="left"/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סעדים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ועילות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סף</w:t>
            </w:r>
            <w:r w:rsidDel="00000000" w:rsidR="00000000" w:rsidRPr="00000000">
              <w:rPr>
                <w:rFonts w:ascii="David" w:cs="David" w:eastAsia="David" w:hAnsi="Davi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bidi w:val="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jc w:val="center"/>
        <w:rPr>
          <w:b w:val="1"/>
          <w:color w:val="000000"/>
        </w:rPr>
      </w:pPr>
      <w:r w:rsidDel="00000000" w:rsidR="00000000" w:rsidRPr="00000000">
        <w:rPr>
          <w:sz w:val="36"/>
          <w:szCs w:val="36"/>
          <w:rtl w:val="1"/>
        </w:rPr>
        <w:t xml:space="preserve">רשימת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קריאה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6758/01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ליפשיץ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258 (2005):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8-2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22-20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1/49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רנו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המשטרה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80 (1949):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2, 5,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יצחק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57-49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(2010).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אצילה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והיעזרות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באחר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31, 33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-2001.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678/88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ורדים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האוצר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501 (1989):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6-1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2303/90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פיליפוביץ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410 (1992):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18-15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9370/07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דולב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הבריאות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29.12.2009):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10, 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ריבלין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תחילת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וביטול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3081/95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רומיאו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המדעית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ההסתדרות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הרפואית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177 (1996):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6-3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6971/11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איתנית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02.04.2013):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38-37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799/80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שללם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פקיד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הרישוי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317 (1981):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10-8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1613/91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765 (1992):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11-8, 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ושומרון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1308/17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סלואד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:(9.6.2020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31-32.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2164/09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מתנדבים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26.12.2011):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2-1,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6-7,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כידוע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13.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7186/06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מלינובסקי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29.12.2009):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62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2838/95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גרינברג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1 (1997):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2, 5,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4, 13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דורנר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9-5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גולדברג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862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9518/16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05.09.2017): 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כצ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וייצוג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קדומה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ומשוא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5-1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והנמקות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8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2-1, 10-8, 14, 17(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531/79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תקווה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תקווה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566 (1980):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4-2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4914/94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טרנר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771 (1995):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17-16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7-4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גולדברג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8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228-08-14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שושני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11.02.2016):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8, 10, 13-12.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3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11745/04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הסביבה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הארצית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4.9.2008):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15, 19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גיבוש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392/72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ולבניה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חיפה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764 (1973):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תקציר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1-8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987/94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יורונט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(1992)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412 (1994):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1, 3, 5-7,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9, 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0" w:before="0" w:line="276" w:lineRule="auto"/>
        <w:ind w:left="644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3299/93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ויכסלבאום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195 (1995):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תמצית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דורנר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0" w:before="0" w:line="276" w:lineRule="auto"/>
        <w:ind w:left="644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0" w:before="0" w:line="276" w:lineRule="auto"/>
        <w:ind w:left="502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465/89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רסקין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(1990):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3-2, 5, 8, 11-10, 18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0" w:before="0" w:line="276" w:lineRule="auto"/>
        <w:ind w:left="1440" w:right="0" w:firstLine="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וסבירות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סבירותה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והיקפה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9D">
      <w:pPr>
        <w:numPr>
          <w:ilvl w:val="0"/>
          <w:numId w:val="19"/>
        </w:numPr>
        <w:bidi w:val="1"/>
        <w:spacing w:line="240" w:lineRule="auto"/>
        <w:ind w:left="644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6163/92 </w:t>
      </w:r>
      <w:r w:rsidDel="00000000" w:rsidR="00000000" w:rsidRPr="00000000">
        <w:rPr>
          <w:b w:val="1"/>
          <w:rtl w:val="1"/>
        </w:rPr>
        <w:t xml:space="preserve">אייזנברג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הבינוי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והשיכון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</w:t>
      </w:r>
      <w:r w:rsidDel="00000000" w:rsidR="00000000" w:rsidRPr="00000000">
        <w:rPr>
          <w:rtl w:val="1"/>
        </w:rPr>
        <w:t xml:space="preserve">(2) 229, </w:t>
      </w:r>
      <w:r w:rsidDel="00000000" w:rsidR="00000000" w:rsidRPr="00000000">
        <w:rPr>
          <w:rtl w:val="1"/>
        </w:rPr>
        <w:t xml:space="preserve">תקציר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</w:t>
      </w:r>
      <w:r w:rsidDel="00000000" w:rsidR="00000000" w:rsidRPr="00000000">
        <w:rPr>
          <w:rtl w:val="1"/>
        </w:rPr>
        <w:t xml:space="preserve">' 35-33, 42, 45-49 –51-55, 64-65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 (1993). </w:t>
      </w:r>
    </w:p>
    <w:p w:rsidR="00000000" w:rsidDel="00000000" w:rsidP="00000000" w:rsidRDefault="00000000" w:rsidRPr="00000000" w14:paraId="0000009E">
      <w:pPr>
        <w:numPr>
          <w:ilvl w:val="0"/>
          <w:numId w:val="19"/>
        </w:numPr>
        <w:tabs>
          <w:tab w:val="left" w:pos="26"/>
        </w:tabs>
        <w:bidi w:val="1"/>
        <w:spacing w:after="120" w:line="240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8397/06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אדוארדו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</w:t>
      </w:r>
      <w:r w:rsidDel="00000000" w:rsidR="00000000" w:rsidRPr="00000000">
        <w:rPr>
          <w:rtl w:val="1"/>
        </w:rPr>
        <w:t xml:space="preserve">(2) 198 (2007): </w:t>
      </w:r>
      <w:r w:rsidDel="00000000" w:rsidR="00000000" w:rsidRPr="00000000">
        <w:rPr>
          <w:rtl w:val="1"/>
        </w:rPr>
        <w:t xml:space="preserve">תקציר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</w:t>
      </w:r>
      <w:r w:rsidDel="00000000" w:rsidR="00000000" w:rsidRPr="00000000">
        <w:rPr>
          <w:rtl w:val="1"/>
        </w:rPr>
        <w:t xml:space="preserve">' 9, 11, 14-13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בייניש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0"/>
          <w:numId w:val="19"/>
        </w:numPr>
        <w:bidi w:val="1"/>
        <w:spacing w:after="120" w:line="240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1514/01 </w:t>
      </w:r>
      <w:r w:rsidDel="00000000" w:rsidR="00000000" w:rsidRPr="00000000">
        <w:rPr>
          <w:b w:val="1"/>
          <w:rtl w:val="1"/>
        </w:rPr>
        <w:t xml:space="preserve">גור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אריה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הרשות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השנייה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לטלוויזיה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ולרדיו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</w:t>
      </w:r>
      <w:r w:rsidDel="00000000" w:rsidR="00000000" w:rsidRPr="00000000">
        <w:rPr>
          <w:rtl w:val="1"/>
        </w:rPr>
        <w:t xml:space="preserve">(4) 267 (2001): </w:t>
      </w:r>
      <w:r w:rsidDel="00000000" w:rsidR="00000000" w:rsidRPr="00000000">
        <w:rPr>
          <w:rtl w:val="1"/>
        </w:rPr>
        <w:t xml:space="preserve">פתיח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6, 8, 11, 13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0">
      <w:pPr>
        <w:numPr>
          <w:ilvl w:val="0"/>
          <w:numId w:val="19"/>
        </w:numPr>
        <w:tabs>
          <w:tab w:val="left" w:pos="26"/>
        </w:tabs>
        <w:bidi w:val="1"/>
        <w:spacing w:after="120" w:line="240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5853/07 </w:t>
      </w:r>
      <w:r w:rsidDel="00000000" w:rsidR="00000000" w:rsidRPr="00000000">
        <w:rPr>
          <w:b w:val="1"/>
          <w:rtl w:val="1"/>
        </w:rPr>
        <w:t xml:space="preserve">אמונה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תנועת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האישה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הדתית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לאומית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ראש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סב</w:t>
      </w:r>
      <w:r w:rsidDel="00000000" w:rsidR="00000000" w:rsidRPr="00000000">
        <w:rPr>
          <w:rtl w:val="1"/>
        </w:rPr>
        <w:t xml:space="preserve">(3) 445 (2007):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9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גרוניס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A1">
      <w:pPr>
        <w:tabs>
          <w:tab w:val="left" w:pos="26"/>
        </w:tabs>
        <w:bidi w:val="1"/>
        <w:spacing w:after="120" w:line="240" w:lineRule="auto"/>
        <w:ind w:left="64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"/>
        </w:tabs>
        <w:bidi w:val="1"/>
        <w:spacing w:after="120" w:before="0" w:line="240" w:lineRule="auto"/>
        <w:ind w:left="502" w:right="0" w:hanging="360"/>
        <w:jc w:val="both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A3">
      <w:pPr>
        <w:numPr>
          <w:ilvl w:val="0"/>
          <w:numId w:val="65"/>
        </w:numPr>
        <w:tabs>
          <w:tab w:val="left" w:pos="26"/>
        </w:tabs>
        <w:bidi w:val="1"/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5757/04 </w:t>
      </w:r>
      <w:r w:rsidDel="00000000" w:rsidR="00000000" w:rsidRPr="00000000">
        <w:rPr>
          <w:b w:val="1"/>
          <w:rtl w:val="1"/>
        </w:rPr>
        <w:t xml:space="preserve">הס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סגן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הרמטכ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נט</w:t>
      </w:r>
      <w:r w:rsidDel="00000000" w:rsidR="00000000" w:rsidRPr="00000000">
        <w:rPr>
          <w:rtl w:val="1"/>
        </w:rPr>
        <w:t xml:space="preserve">(6) 97,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5-1, 13-12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לוי</w:t>
      </w:r>
      <w:r w:rsidDel="00000000" w:rsidR="00000000" w:rsidRPr="00000000">
        <w:rPr>
          <w:rtl w:val="1"/>
        </w:rPr>
        <w:t xml:space="preserve"> (2005). </w:t>
      </w:r>
    </w:p>
    <w:p w:rsidR="00000000" w:rsidDel="00000000" w:rsidP="00000000" w:rsidRDefault="00000000" w:rsidRPr="00000000" w14:paraId="000000A4">
      <w:pPr>
        <w:tabs>
          <w:tab w:val="left" w:pos="26"/>
        </w:tabs>
        <w:bidi w:val="1"/>
        <w:spacing w:after="0" w:line="360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שיורית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והסדרים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ראשוניים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[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דרעי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פנחסי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3, 4, 7, 13, 30, 34-31, 39-37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3267/97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481 (1998):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26-24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4374/15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27.03.2016):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רובינשטיין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8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2918/93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832 (1993):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גולדברג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בנוגע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למינויים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2-1.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5167/00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וייס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455 (2001):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4, 6, 10-8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3094/93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404 (1993):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10-9, 14, 17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08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ניגוד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עניינים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1,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4885/03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העופות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14 (2004):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6, 9-8, 22-16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8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2144/20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23.03.2020):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11-7,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971/99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(6) 117 (2002):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35, 43-42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5853/07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האישה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445 (2007):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26-25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פרוקצ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highlight w:val="cyan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והיקף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וביקורת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6, 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7(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התשמ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-1984.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C5">
      <w:pPr>
        <w:numPr>
          <w:ilvl w:val="0"/>
          <w:numId w:val="49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935/89 </w:t>
      </w:r>
      <w:r w:rsidDel="00000000" w:rsidR="00000000" w:rsidRPr="00000000">
        <w:rPr>
          <w:b w:val="1"/>
          <w:rtl w:val="1"/>
        </w:rPr>
        <w:t xml:space="preserve">גנור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היועץ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(2) 485 (1990):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מהרציו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48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C6">
      <w:pPr>
        <w:numPr>
          <w:ilvl w:val="0"/>
          <w:numId w:val="49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4646/08 </w:t>
      </w:r>
      <w:r w:rsidDel="00000000" w:rsidR="00000000" w:rsidRPr="00000000">
        <w:rPr>
          <w:b w:val="1"/>
          <w:rtl w:val="1"/>
        </w:rPr>
        <w:t xml:space="preserve">לביא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ראש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הממשלה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12.10.2008):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2-1, 34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ביניש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C7">
      <w:pPr>
        <w:numPr>
          <w:ilvl w:val="0"/>
          <w:numId w:val="49"/>
        </w:numPr>
        <w:bidi w:val="1"/>
        <w:spacing w:after="0" w:line="276" w:lineRule="auto"/>
        <w:ind w:left="644" w:hanging="360"/>
        <w:rPr>
          <w:u w:val="none"/>
        </w:rPr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4956/20 </w:t>
      </w:r>
      <w:r w:rsidDel="00000000" w:rsidR="00000000" w:rsidRPr="00000000">
        <w:rPr>
          <w:b w:val="1"/>
          <w:rtl w:val="1"/>
        </w:rPr>
        <w:t xml:space="preserve">התנועה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למען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איכות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השלטון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בישראל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כנסת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ישראל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20.08.20);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9029/16 </w:t>
      </w:r>
      <w:r w:rsidDel="00000000" w:rsidR="00000000" w:rsidRPr="00000000">
        <w:rPr>
          <w:b w:val="1"/>
          <w:rtl w:val="1"/>
        </w:rPr>
        <w:t xml:space="preserve">אבירם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1.2.2017). (</w:t>
      </w:r>
      <w:r w:rsidDel="00000000" w:rsidR="00000000" w:rsidRPr="00000000">
        <w:rPr>
          <w:rtl w:val="1"/>
        </w:rPr>
        <w:t xml:space="preserve">סיכום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נמצא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במודל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C8">
      <w:pPr>
        <w:bidi w:val="1"/>
        <w:spacing w:after="120" w:line="276" w:lineRule="auto"/>
        <w:ind w:left="644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bidi w:val="1"/>
        <w:spacing w:after="12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276" w:lineRule="auto"/>
        <w:ind w:left="502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ספרות</w:t>
      </w:r>
    </w:p>
    <w:p w:rsidR="00000000" w:rsidDel="00000000" w:rsidP="00000000" w:rsidRDefault="00000000" w:rsidRPr="00000000" w14:paraId="000000CB">
      <w:pPr>
        <w:numPr>
          <w:ilvl w:val="0"/>
          <w:numId w:val="50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הנחיות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יועמ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' 152(2) </w:t>
      </w:r>
      <w:r w:rsidDel="00000000" w:rsidR="00000000" w:rsidRPr="00000000">
        <w:rPr>
          <w:rtl w:val="1"/>
        </w:rPr>
        <w:t xml:space="preserve">לפקודת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הפלילי</w:t>
      </w:r>
      <w:r w:rsidDel="00000000" w:rsidR="00000000" w:rsidRPr="00000000">
        <w:rPr>
          <w:rtl w:val="1"/>
        </w:rPr>
        <w:t xml:space="preserve">, 1936 (</w:t>
      </w:r>
      <w:r w:rsidDel="00000000" w:rsidR="00000000" w:rsidRPr="00000000">
        <w:rPr>
          <w:rtl w:val="1"/>
        </w:rPr>
        <w:t xml:space="preserve">יחסי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הטבע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CC">
      <w:pPr>
        <w:numPr>
          <w:ilvl w:val="0"/>
          <w:numId w:val="50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דו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שמגר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12-13 (</w:t>
      </w:r>
      <w:r w:rsidDel="00000000" w:rsidR="00000000" w:rsidRPr="00000000">
        <w:rPr>
          <w:rtl w:val="1"/>
        </w:rPr>
        <w:t xml:space="preserve">פסקאות</w:t>
      </w:r>
      <w:r w:rsidDel="00000000" w:rsidR="00000000" w:rsidRPr="00000000">
        <w:rPr>
          <w:rtl w:val="1"/>
        </w:rPr>
        <w:t xml:space="preserve"> 8-9) </w:t>
      </w:r>
    </w:p>
    <w:p w:rsidR="00000000" w:rsidDel="00000000" w:rsidP="00000000" w:rsidRDefault="00000000" w:rsidRPr="00000000" w14:paraId="000000CD">
      <w:pPr>
        <w:bidi w:val="1"/>
        <w:spacing w:after="0" w:line="276" w:lineRule="auto"/>
        <w:ind w:left="644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</w:p>
    <w:p w:rsidR="00000000" w:rsidDel="00000000" w:rsidP="00000000" w:rsidRDefault="00000000" w:rsidRPr="00000000" w14:paraId="000000CF">
      <w:pPr>
        <w:numPr>
          <w:ilvl w:val="0"/>
          <w:numId w:val="51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1622/00 </w:t>
      </w:r>
      <w:r w:rsidDel="00000000" w:rsidR="00000000" w:rsidRPr="00000000">
        <w:rPr>
          <w:b w:val="1"/>
          <w:rtl w:val="1"/>
        </w:rPr>
        <w:t xml:space="preserve">יצחק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נשיא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ביהמ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העליון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</w:t>
      </w:r>
      <w:r w:rsidDel="00000000" w:rsidR="00000000" w:rsidRPr="00000000">
        <w:rPr>
          <w:rtl w:val="1"/>
        </w:rPr>
        <w:t xml:space="preserve">(2) 54 (2000):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, 4, 7, 13-12.</w:t>
      </w:r>
    </w:p>
    <w:p w:rsidR="00000000" w:rsidDel="00000000" w:rsidP="00000000" w:rsidRDefault="00000000" w:rsidRPr="00000000" w14:paraId="000000D0">
      <w:pPr>
        <w:numPr>
          <w:ilvl w:val="0"/>
          <w:numId w:val="51"/>
        </w:numPr>
        <w:bidi w:val="1"/>
        <w:spacing w:after="0" w:line="276" w:lineRule="auto"/>
        <w:ind w:left="644" w:hanging="360"/>
        <w:rPr>
          <w:u w:val="single"/>
        </w:rPr>
      </w:pPr>
      <w:r w:rsidDel="00000000" w:rsidR="00000000" w:rsidRPr="00000000">
        <w:rPr>
          <w:rtl w:val="1"/>
        </w:rPr>
        <w:t xml:space="preserve">בד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 2461/05 </w:t>
      </w:r>
      <w:r w:rsidDel="00000000" w:rsidR="00000000" w:rsidRPr="00000000">
        <w:rPr>
          <w:b w:val="1"/>
          <w:rtl w:val="1"/>
        </w:rPr>
        <w:t xml:space="preserve">שרת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השופטת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כהן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,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(1) 403 (2006):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3-1, 94, 102-100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+ 12.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המהפכה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עידני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0"/>
          <w:numId w:val="33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ההכרזה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הקמת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D5">
      <w:pPr>
        <w:numPr>
          <w:ilvl w:val="0"/>
          <w:numId w:val="33"/>
        </w:numPr>
        <w:bidi w:val="1"/>
        <w:spacing w:after="0" w:line="276" w:lineRule="auto"/>
        <w:ind w:left="644" w:hanging="360"/>
        <w:rPr/>
      </w:pP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 5, 1743 (</w:t>
      </w:r>
      <w:r w:rsidDel="00000000" w:rsidR="00000000" w:rsidRPr="00000000">
        <w:rPr>
          <w:rtl w:val="1"/>
        </w:rPr>
        <w:t xml:space="preserve">התש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). (</w:t>
      </w: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הכנסת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ביוני</w:t>
      </w:r>
      <w:r w:rsidDel="00000000" w:rsidR="00000000" w:rsidRPr="00000000">
        <w:rPr>
          <w:rtl w:val="1"/>
        </w:rPr>
        <w:t xml:space="preserve"> 1950 </w:t>
      </w:r>
      <w:r w:rsidDel="00000000" w:rsidR="00000000" w:rsidRPr="00000000">
        <w:rPr>
          <w:rtl w:val="1"/>
        </w:rPr>
        <w:t xml:space="preserve">המוכרת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החלטת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הררי</w:t>
      </w:r>
      <w:r w:rsidDel="00000000" w:rsidR="00000000" w:rsidRPr="00000000">
        <w:rPr>
          <w:rtl w:val="1"/>
        </w:rPr>
        <w:t xml:space="preserve">").</w:t>
      </w:r>
    </w:p>
    <w:p w:rsidR="00000000" w:rsidDel="00000000" w:rsidP="00000000" w:rsidRDefault="00000000" w:rsidRPr="00000000" w14:paraId="000000D6">
      <w:pPr>
        <w:numPr>
          <w:ilvl w:val="0"/>
          <w:numId w:val="33"/>
        </w:numPr>
        <w:bidi w:val="1"/>
        <w:spacing w:after="0" w:before="120" w:line="276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חופש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העיסוק</w:t>
      </w:r>
      <w:r w:rsidDel="00000000" w:rsidR="00000000" w:rsidRPr="00000000">
        <w:rPr>
          <w:rtl w:val="1"/>
        </w:rPr>
        <w:t xml:space="preserve">.*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-154"/>
        </w:tabs>
        <w:bidi w:val="1"/>
        <w:spacing w:after="0" w:before="0" w:line="276" w:lineRule="auto"/>
        <w:ind w:left="644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בקיאות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הקודמים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הנוסחים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באוקטובר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1996.</w:t>
      </w:r>
    </w:p>
    <w:p w:rsidR="00000000" w:rsidDel="00000000" w:rsidP="00000000" w:rsidRDefault="00000000" w:rsidRPr="00000000" w14:paraId="000000D8">
      <w:pPr>
        <w:numPr>
          <w:ilvl w:val="0"/>
          <w:numId w:val="33"/>
        </w:numPr>
        <w:bidi w:val="1"/>
        <w:spacing w:after="0" w:before="120" w:line="276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וחירותו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בקיאות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נדרשת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בנוסחו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הקודם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מיום</w:t>
      </w:r>
      <w:r w:rsidDel="00000000" w:rsidR="00000000" w:rsidRPr="00000000">
        <w:rPr>
          <w:rtl w:val="1"/>
        </w:rPr>
        <w:t xml:space="preserve"> 17 </w:t>
      </w:r>
      <w:r w:rsidDel="00000000" w:rsidR="00000000" w:rsidRPr="00000000">
        <w:rPr>
          <w:rtl w:val="1"/>
        </w:rPr>
        <w:t xml:space="preserve">במרץ</w:t>
      </w:r>
      <w:r w:rsidDel="00000000" w:rsidR="00000000" w:rsidRPr="00000000">
        <w:rPr>
          <w:rtl w:val="1"/>
        </w:rPr>
        <w:t xml:space="preserve"> 1992.)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DA">
      <w:pPr>
        <w:numPr>
          <w:ilvl w:val="0"/>
          <w:numId w:val="68"/>
        </w:numPr>
        <w:bidi w:val="1"/>
        <w:spacing w:after="0" w:before="120" w:line="276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7/48 </w:t>
      </w:r>
      <w:r w:rsidDel="00000000" w:rsidR="00000000" w:rsidRPr="00000000">
        <w:rPr>
          <w:b w:val="1"/>
          <w:rtl w:val="1"/>
        </w:rPr>
        <w:t xml:space="preserve">אלכרבוטלי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5 (1949):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4-1, 12. </w:t>
      </w:r>
    </w:p>
    <w:p w:rsidR="00000000" w:rsidDel="00000000" w:rsidP="00000000" w:rsidRDefault="00000000" w:rsidRPr="00000000" w14:paraId="000000DB">
      <w:pPr>
        <w:numPr>
          <w:ilvl w:val="0"/>
          <w:numId w:val="68"/>
        </w:numPr>
        <w:bidi w:val="1"/>
        <w:spacing w:after="0" w:before="120" w:line="276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98/69  </w:t>
      </w:r>
      <w:r w:rsidDel="00000000" w:rsidR="00000000" w:rsidRPr="00000000">
        <w:rPr>
          <w:b w:val="1"/>
          <w:rtl w:val="1"/>
        </w:rPr>
        <w:t xml:space="preserve">ברגמן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האוצר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כג</w:t>
      </w:r>
      <w:r w:rsidDel="00000000" w:rsidR="00000000" w:rsidRPr="00000000">
        <w:rPr>
          <w:rtl w:val="1"/>
        </w:rPr>
        <w:t xml:space="preserve">(1) 693 (1969).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טענתו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השניה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משלבי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החקיקה</w:t>
      </w:r>
      <w:r w:rsidDel="00000000" w:rsidR="00000000" w:rsidRPr="00000000">
        <w:rPr>
          <w:rtl w:val="1"/>
        </w:rPr>
        <w:t xml:space="preserve">, 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5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ועתה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לשאלה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העיקרית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רצונו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הבודד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המצביע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הרשימה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עמ</w:t>
      </w:r>
      <w:r w:rsidDel="00000000" w:rsidR="00000000" w:rsidRPr="00000000">
        <w:rPr>
          <w:rtl w:val="1"/>
        </w:rPr>
        <w:t xml:space="preserve">' 8 </w:t>
      </w:r>
      <w:r w:rsidDel="00000000" w:rsidR="00000000" w:rsidRPr="00000000">
        <w:rPr>
          <w:rtl w:val="1"/>
        </w:rPr>
        <w:t xml:space="preserve">החל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יוצא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איפוא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הסוף</w:t>
      </w:r>
      <w:r w:rsidDel="00000000" w:rsidR="00000000" w:rsidRPr="00000000">
        <w:rPr>
          <w:rtl w:val="1"/>
        </w:rPr>
        <w:t xml:space="preserve">). </w:t>
      </w:r>
    </w:p>
    <w:p w:rsidR="00000000" w:rsidDel="00000000" w:rsidP="00000000" w:rsidRDefault="00000000" w:rsidRPr="00000000" w14:paraId="000000DC">
      <w:pPr>
        <w:numPr>
          <w:ilvl w:val="0"/>
          <w:numId w:val="68"/>
        </w:numPr>
        <w:bidi w:val="1"/>
        <w:spacing w:after="0" w:before="120" w:line="276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6055/95 </w:t>
      </w:r>
      <w:r w:rsidDel="00000000" w:rsidR="00000000" w:rsidRPr="00000000">
        <w:rPr>
          <w:b w:val="1"/>
          <w:rtl w:val="1"/>
        </w:rPr>
        <w:t xml:space="preserve">צמח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נג</w:t>
      </w:r>
      <w:r w:rsidDel="00000000" w:rsidR="00000000" w:rsidRPr="00000000">
        <w:rPr>
          <w:rtl w:val="1"/>
        </w:rPr>
        <w:t xml:space="preserve">(5) 241 (1999):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2-1, 38-39, 41- 43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59" w:lineRule="auto"/>
        <w:ind w:left="502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ספרות</w:t>
      </w:r>
    </w:p>
    <w:p w:rsidR="00000000" w:rsidDel="00000000" w:rsidP="00000000" w:rsidRDefault="00000000" w:rsidRPr="00000000" w14:paraId="000000DE">
      <w:pPr>
        <w:numPr>
          <w:ilvl w:val="0"/>
          <w:numId w:val="66"/>
        </w:numPr>
        <w:bidi w:val="1"/>
        <w:spacing w:after="0" w:before="120" w:line="276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דוד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קרצמר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מברגמן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וקול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לבנק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המזרחי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הדרך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לביקורת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שיפוטית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הפוגעים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בזכויות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אדם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b w:val="1"/>
          <w:rtl w:val="1"/>
        </w:rPr>
        <w:t xml:space="preserve">משפטים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כח</w:t>
      </w:r>
      <w:r w:rsidDel="00000000" w:rsidR="00000000" w:rsidRPr="00000000">
        <w:rPr>
          <w:rtl w:val="1"/>
        </w:rPr>
        <w:t xml:space="preserve"> 359, 373-378 (1997).</w:t>
      </w:r>
    </w:p>
    <w:p w:rsidR="00000000" w:rsidDel="00000000" w:rsidP="00000000" w:rsidRDefault="00000000" w:rsidRPr="00000000" w14:paraId="000000DF">
      <w:pPr>
        <w:bidi w:val="1"/>
        <w:spacing w:after="0" w:before="120" w:line="276" w:lineRule="auto"/>
        <w:ind w:left="149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פרשנות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E2">
      <w:pPr>
        <w:numPr>
          <w:ilvl w:val="0"/>
          <w:numId w:val="38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212/03 </w:t>
      </w:r>
      <w:r w:rsidDel="00000000" w:rsidR="00000000" w:rsidRPr="00000000">
        <w:rPr>
          <w:b w:val="1"/>
          <w:rtl w:val="1"/>
        </w:rPr>
        <w:t xml:space="preserve">חרות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התנועה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הלאומית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יו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ועדת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הבחירות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המרכזית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לכנסת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השש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עשר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</w:t>
      </w:r>
      <w:r w:rsidDel="00000000" w:rsidR="00000000" w:rsidRPr="00000000">
        <w:rPr>
          <w:rtl w:val="1"/>
        </w:rPr>
        <w:t xml:space="preserve">(1) 750 (2003):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5-1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3">
      <w:pPr>
        <w:numPr>
          <w:ilvl w:val="0"/>
          <w:numId w:val="38"/>
        </w:numPr>
        <w:bidi w:val="1"/>
        <w:spacing w:after="0" w:before="120" w:line="240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בש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537/95 </w:t>
      </w:r>
      <w:r w:rsidDel="00000000" w:rsidR="00000000" w:rsidRPr="00000000">
        <w:rPr>
          <w:b w:val="1"/>
          <w:rtl w:val="1"/>
        </w:rPr>
        <w:t xml:space="preserve">גנימאת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מדינת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מט</w:t>
      </w:r>
      <w:r w:rsidDel="00000000" w:rsidR="00000000" w:rsidRPr="00000000">
        <w:rPr>
          <w:rtl w:val="1"/>
        </w:rPr>
        <w:t xml:space="preserve">(3) 355 (1995): </w:t>
      </w:r>
      <w:r w:rsidDel="00000000" w:rsidR="00000000" w:rsidRPr="00000000">
        <w:rPr>
          <w:rtl w:val="1"/>
        </w:rPr>
        <w:t xml:space="preserve">רקע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הרציו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20-22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4">
      <w:pPr>
        <w:numPr>
          <w:ilvl w:val="0"/>
          <w:numId w:val="38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4466/16 </w:t>
      </w:r>
      <w:r w:rsidDel="00000000" w:rsidR="00000000" w:rsidRPr="00000000">
        <w:rPr>
          <w:b w:val="1"/>
          <w:rtl w:val="1"/>
        </w:rPr>
        <w:t xml:space="preserve">מוחמד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עליאן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</w:t>
      </w:r>
      <w:r w:rsidDel="00000000" w:rsidR="00000000" w:rsidRPr="00000000">
        <w:rPr>
          <w:b w:val="1"/>
          <w:rtl w:val="1"/>
        </w:rPr>
        <w:t xml:space="preserve">-6 </w:t>
      </w:r>
      <w:r w:rsidDel="00000000" w:rsidR="00000000" w:rsidRPr="00000000">
        <w:rPr>
          <w:b w:val="1"/>
          <w:rtl w:val="1"/>
        </w:rPr>
        <w:t xml:space="preserve">אחרים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מפקד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כוחות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המערבית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14.12.2017):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</w:t>
      </w:r>
      <w:r w:rsidDel="00000000" w:rsidR="00000000" w:rsidRPr="00000000">
        <w:rPr>
          <w:rtl w:val="1"/>
        </w:rPr>
        <w:t xml:space="preserve">' 18-20, 24-26, 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דנציגר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502" w:right="72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10190/17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והשומרון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מוחמד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עליאן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9.9.2019):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2-1, 12, 24-20, 36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7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מטריאלית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ועקרונות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והאופן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משתקפים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0EA">
      <w:pPr>
        <w:numPr>
          <w:ilvl w:val="0"/>
          <w:numId w:val="44"/>
        </w:numPr>
        <w:bidi w:val="1"/>
        <w:spacing w:line="240" w:lineRule="auto"/>
        <w:ind w:left="644" w:hanging="360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התש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-1950.</w:t>
      </w:r>
    </w:p>
    <w:p w:rsidR="00000000" w:rsidDel="00000000" w:rsidP="00000000" w:rsidRDefault="00000000" w:rsidRPr="00000000" w14:paraId="000000EB">
      <w:pPr>
        <w:numPr>
          <w:ilvl w:val="0"/>
          <w:numId w:val="44"/>
        </w:numPr>
        <w:bidi w:val="1"/>
        <w:spacing w:after="0" w:before="120" w:line="240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מדינת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היהודי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EC">
      <w:pPr>
        <w:bidi w:val="1"/>
        <w:spacing w:after="0" w:before="120" w:line="240" w:lineRule="auto"/>
        <w:ind w:left="644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1/65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ירדור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365 (1965):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זוסמן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F">
      <w:pPr>
        <w:numPr>
          <w:ilvl w:val="0"/>
          <w:numId w:val="43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6698/95 </w:t>
      </w:r>
      <w:r w:rsidDel="00000000" w:rsidR="00000000" w:rsidRPr="00000000">
        <w:rPr>
          <w:b w:val="1"/>
          <w:rtl w:val="1"/>
        </w:rPr>
        <w:t xml:space="preserve">קעדאן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מינהל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מקרקעי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נד</w:t>
      </w:r>
      <w:r w:rsidDel="00000000" w:rsidR="00000000" w:rsidRPr="00000000">
        <w:rPr>
          <w:rtl w:val="1"/>
        </w:rPr>
        <w:t xml:space="preserve">(1) 258 (2000):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32-31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numPr>
          <w:ilvl w:val="0"/>
          <w:numId w:val="43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5026/04 </w:t>
      </w:r>
      <w:r w:rsidDel="00000000" w:rsidR="00000000" w:rsidRPr="00000000">
        <w:rPr>
          <w:b w:val="1"/>
          <w:rtl w:val="1"/>
        </w:rPr>
        <w:t xml:space="preserve">דיזיין</w:t>
      </w:r>
      <w:r w:rsidDel="00000000" w:rsidR="00000000" w:rsidRPr="00000000">
        <w:rPr>
          <w:b w:val="1"/>
          <w:rtl w:val="1"/>
        </w:rPr>
        <w:t xml:space="preserve"> 22 - </w:t>
      </w:r>
      <w:r w:rsidDel="00000000" w:rsidR="00000000" w:rsidRPr="00000000">
        <w:rPr>
          <w:b w:val="1"/>
          <w:rtl w:val="1"/>
        </w:rPr>
        <w:t xml:space="preserve">שארקדלוקס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רהיטים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מ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רוזנצווייג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(1) 38 (2005):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15-14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1">
      <w:pPr>
        <w:numPr>
          <w:ilvl w:val="0"/>
          <w:numId w:val="43"/>
        </w:numPr>
        <w:bidi w:val="1"/>
        <w:spacing w:after="0" w:before="120" w:line="240" w:lineRule="auto"/>
        <w:ind w:left="644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142/89 </w:t>
      </w:r>
      <w:r w:rsidDel="00000000" w:rsidR="00000000" w:rsidRPr="00000000">
        <w:rPr>
          <w:b w:val="1"/>
          <w:rtl w:val="1"/>
        </w:rPr>
        <w:t xml:space="preserve">תנועת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לאו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יושב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ראש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הכנסת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מד</w:t>
      </w:r>
      <w:r w:rsidDel="00000000" w:rsidR="00000000" w:rsidRPr="00000000">
        <w:rPr>
          <w:rtl w:val="1"/>
        </w:rPr>
        <w:t xml:space="preserve">(3) 529 (1990):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25,27,30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2">
      <w:pPr>
        <w:numPr>
          <w:ilvl w:val="0"/>
          <w:numId w:val="43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2597/99 </w:t>
      </w:r>
      <w:r w:rsidDel="00000000" w:rsidR="00000000" w:rsidRPr="00000000">
        <w:rPr>
          <w:b w:val="1"/>
          <w:rtl w:val="1"/>
        </w:rPr>
        <w:t xml:space="preserve">טושביים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הפנים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נח</w:t>
      </w:r>
      <w:r w:rsidDel="00000000" w:rsidR="00000000" w:rsidRPr="00000000">
        <w:rPr>
          <w:rtl w:val="1"/>
        </w:rPr>
        <w:t xml:space="preserve">(5) 412 (2005):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19-13, 25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5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גרוניס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15.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ההגבלה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המנגנון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החקיקתי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והתנאים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9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העיסוק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2109/20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26.04.2020):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15, 22, 26-25, 28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466/07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גלאון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44 (2012):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14-13, 22, 29, 34-33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2056/04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הכפר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סוריק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807 (2004):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36, 38, 40, 42-41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953/87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פורז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309 (1988):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35-31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1030/99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(3) 640 (2002):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32-31, 41-36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ההתגברות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הפוגע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העיסוק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ההתגברות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נאמן</w:t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44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7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4676/94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15 (1996):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13, 15, 22-20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וזכותו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גופו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הוגן</w:t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72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10B">
      <w:pPr>
        <w:numPr>
          <w:ilvl w:val="0"/>
          <w:numId w:val="54"/>
        </w:numPr>
        <w:bidi w:val="1"/>
        <w:spacing w:line="276" w:lineRule="auto"/>
        <w:ind w:left="644" w:hanging="360"/>
        <w:rPr>
          <w:u w:val="single"/>
        </w:rPr>
      </w:pP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יסוד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כבוד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האדם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וחירותו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76" w:lineRule="auto"/>
        <w:ind w:left="502" w:right="72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0D">
      <w:pPr>
        <w:numPr>
          <w:ilvl w:val="0"/>
          <w:numId w:val="52"/>
        </w:numPr>
        <w:bidi w:val="1"/>
        <w:spacing w:after="0" w:before="120" w:line="276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355/79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קטלן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הסוהר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לד</w:t>
      </w:r>
      <w:r w:rsidDel="00000000" w:rsidR="00000000" w:rsidRPr="00000000">
        <w:rPr>
          <w:rtl w:val="1"/>
        </w:rPr>
        <w:t xml:space="preserve">(3) 294 (1980):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1-2, 9,10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0E">
      <w:pPr>
        <w:numPr>
          <w:ilvl w:val="0"/>
          <w:numId w:val="52"/>
        </w:numPr>
        <w:bidi w:val="1"/>
        <w:spacing w:after="0" w:before="120" w:line="276" w:lineRule="auto"/>
        <w:ind w:left="644" w:right="720" w:hanging="360"/>
        <w:jc w:val="both"/>
        <w:rPr>
          <w:b w:val="1"/>
          <w:color w:val="000000"/>
          <w:u w:val="none"/>
        </w:rPr>
      </w:pPr>
      <w:r w:rsidDel="00000000" w:rsidR="00000000" w:rsidRPr="00000000">
        <w:rPr>
          <w:color w:val="000000"/>
          <w:u w:val="none"/>
          <w:rtl w:val="1"/>
        </w:rPr>
        <w:t xml:space="preserve">ע</w:t>
      </w:r>
      <w:r w:rsidDel="00000000" w:rsidR="00000000" w:rsidRPr="00000000">
        <w:rPr>
          <w:color w:val="000000"/>
          <w:u w:val="none"/>
          <w:rtl w:val="1"/>
        </w:rPr>
        <w:t xml:space="preserve">"</w:t>
      </w:r>
      <w:r w:rsidDel="00000000" w:rsidR="00000000" w:rsidRPr="00000000">
        <w:rPr>
          <w:color w:val="000000"/>
          <w:u w:val="none"/>
          <w:rtl w:val="1"/>
        </w:rPr>
        <w:t xml:space="preserve">א</w:t>
      </w:r>
      <w:r w:rsidDel="00000000" w:rsidR="00000000" w:rsidRPr="00000000">
        <w:rPr>
          <w:color w:val="000000"/>
          <w:u w:val="none"/>
          <w:rtl w:val="1"/>
        </w:rPr>
        <w:t xml:space="preserve"> 10064/02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u w:val="none"/>
          <w:rtl w:val="1"/>
        </w:rPr>
        <w:t xml:space="preserve">"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מגדל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" 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חברה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לביטוח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נ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' 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רים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אבו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 </w:t>
      </w:r>
      <w:r w:rsidDel="00000000" w:rsidR="00000000" w:rsidRPr="00000000">
        <w:rPr>
          <w:b w:val="1"/>
          <w:color w:val="000000"/>
          <w:u w:val="none"/>
          <w:rtl w:val="1"/>
        </w:rPr>
        <w:t xml:space="preserve">חנא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u w:val="none"/>
          <w:rtl w:val="1"/>
        </w:rPr>
        <w:t xml:space="preserve"> (</w:t>
      </w:r>
      <w:r w:rsidDel="00000000" w:rsidR="00000000" w:rsidRPr="00000000">
        <w:rPr>
          <w:color w:val="000000"/>
          <w:u w:val="none"/>
          <w:rtl w:val="1"/>
        </w:rPr>
        <w:t xml:space="preserve">פורסם</w:t>
      </w:r>
      <w:r w:rsidDel="00000000" w:rsidR="00000000" w:rsidRPr="00000000">
        <w:rPr>
          <w:color w:val="000000"/>
          <w:u w:val="none"/>
          <w:rtl w:val="1"/>
        </w:rPr>
        <w:t xml:space="preserve"> </w:t>
      </w:r>
      <w:r w:rsidDel="00000000" w:rsidR="00000000" w:rsidRPr="00000000">
        <w:rPr>
          <w:color w:val="000000"/>
          <w:u w:val="none"/>
          <w:rtl w:val="1"/>
        </w:rPr>
        <w:t xml:space="preserve">בנבו</w:t>
      </w:r>
      <w:r w:rsidDel="00000000" w:rsidR="00000000" w:rsidRPr="00000000">
        <w:rPr>
          <w:color w:val="000000"/>
          <w:u w:val="none"/>
          <w:rtl w:val="1"/>
        </w:rPr>
        <w:t xml:space="preserve">, 27.9.2005): </w:t>
      </w:r>
      <w:r w:rsidDel="00000000" w:rsidR="00000000" w:rsidRPr="00000000">
        <w:rPr>
          <w:color w:val="000000"/>
          <w:u w:val="none"/>
          <w:rtl w:val="1"/>
        </w:rPr>
        <w:t xml:space="preserve">פס</w:t>
      </w:r>
      <w:r w:rsidDel="00000000" w:rsidR="00000000" w:rsidRPr="00000000">
        <w:rPr>
          <w:color w:val="000000"/>
          <w:u w:val="none"/>
          <w:rtl w:val="1"/>
        </w:rPr>
        <w:t xml:space="preserve">' 3-1, </w:t>
      </w:r>
      <w:r w:rsidDel="00000000" w:rsidR="00000000" w:rsidRPr="00000000">
        <w:rPr>
          <w:color w:val="000000"/>
          <w:u w:val="none"/>
          <w:rtl w:val="1"/>
        </w:rPr>
        <w:t xml:space="preserve">פס</w:t>
      </w:r>
      <w:r w:rsidDel="00000000" w:rsidR="00000000" w:rsidRPr="00000000">
        <w:rPr>
          <w:color w:val="000000"/>
          <w:u w:val="none"/>
          <w:rtl w:val="1"/>
        </w:rPr>
        <w:t xml:space="preserve">' 33 </w:t>
      </w:r>
      <w:r w:rsidDel="00000000" w:rsidR="00000000" w:rsidRPr="00000000">
        <w:rPr>
          <w:color w:val="000000"/>
          <w:u w:val="none"/>
          <w:rtl w:val="1"/>
        </w:rPr>
        <w:t xml:space="preserve">לפסק</w:t>
      </w:r>
      <w:r w:rsidDel="00000000" w:rsidR="00000000" w:rsidRPr="00000000">
        <w:rPr>
          <w:color w:val="000000"/>
          <w:u w:val="none"/>
          <w:rtl w:val="1"/>
        </w:rPr>
        <w:t xml:space="preserve">-</w:t>
      </w:r>
      <w:r w:rsidDel="00000000" w:rsidR="00000000" w:rsidRPr="00000000">
        <w:rPr>
          <w:color w:val="000000"/>
          <w:u w:val="none"/>
          <w:rtl w:val="1"/>
        </w:rPr>
        <w:t xml:space="preserve">דינו</w:t>
      </w:r>
      <w:r w:rsidDel="00000000" w:rsidR="00000000" w:rsidRPr="00000000">
        <w:rPr>
          <w:color w:val="000000"/>
          <w:u w:val="none"/>
          <w:rtl w:val="1"/>
        </w:rPr>
        <w:t xml:space="preserve"> </w:t>
      </w:r>
      <w:r w:rsidDel="00000000" w:rsidR="00000000" w:rsidRPr="00000000">
        <w:rPr>
          <w:color w:val="000000"/>
          <w:u w:val="none"/>
          <w:rtl w:val="1"/>
        </w:rPr>
        <w:t xml:space="preserve">של</w:t>
      </w:r>
      <w:r w:rsidDel="00000000" w:rsidR="00000000" w:rsidRPr="00000000">
        <w:rPr>
          <w:color w:val="000000"/>
          <w:u w:val="none"/>
          <w:rtl w:val="1"/>
        </w:rPr>
        <w:t xml:space="preserve"> </w:t>
      </w:r>
      <w:r w:rsidDel="00000000" w:rsidR="00000000" w:rsidRPr="00000000">
        <w:rPr>
          <w:color w:val="000000"/>
          <w:u w:val="none"/>
          <w:rtl w:val="1"/>
        </w:rPr>
        <w:t xml:space="preserve">השופט</w:t>
      </w:r>
      <w:r w:rsidDel="00000000" w:rsidR="00000000" w:rsidRPr="00000000">
        <w:rPr>
          <w:color w:val="000000"/>
          <w:u w:val="none"/>
          <w:rtl w:val="1"/>
        </w:rPr>
        <w:t xml:space="preserve"> </w:t>
      </w:r>
      <w:r w:rsidDel="00000000" w:rsidR="00000000" w:rsidRPr="00000000">
        <w:rPr>
          <w:color w:val="000000"/>
          <w:u w:val="none"/>
          <w:rtl w:val="1"/>
        </w:rPr>
        <w:t xml:space="preserve">ריבלין</w:t>
      </w:r>
      <w:r w:rsidDel="00000000" w:rsidR="00000000" w:rsidRPr="00000000">
        <w:rPr>
          <w:color w:val="000000"/>
          <w:u w:val="no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52"/>
        </w:numPr>
        <w:bidi w:val="1"/>
        <w:spacing w:after="0" w:before="120" w:line="276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8077/08 </w:t>
      </w:r>
      <w:r w:rsidDel="00000000" w:rsidR="00000000" w:rsidRPr="00000000">
        <w:rPr>
          <w:b w:val="1"/>
          <w:rtl w:val="1"/>
        </w:rPr>
        <w:t xml:space="preserve">אוניברסיטת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חיפה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לירן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הרוש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30.12.2012):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כ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ל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10">
      <w:pPr>
        <w:numPr>
          <w:ilvl w:val="0"/>
          <w:numId w:val="52"/>
        </w:numPr>
        <w:bidi w:val="1"/>
        <w:spacing w:after="0" w:line="276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366/03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עמותת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מחויבות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לשלום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וצדק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חברתי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האוצר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12.12.2005):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9-7, 16, 23, 22 20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11">
      <w:pPr>
        <w:bidi w:val="1"/>
        <w:spacing w:after="0" w:before="120" w:line="276" w:lineRule="auto"/>
        <w:ind w:righ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וההפגנה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10203/03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(4) 715 (2008):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+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15-13, 19-18, 37-36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פרוקצ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numPr>
          <w:ilvl w:val="0"/>
          <w:numId w:val="7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6536/17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לאיכות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08.10.2017):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20-18, 22, 26-24, 27, 38, 41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643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316/03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בכרי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לביקורת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סרטים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249 (2003):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10-9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דורנר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8, 10, 13-12, 15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פרוקצ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ולהיבחר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מעמדה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המנגנונים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להגבלתה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[42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8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המפלגות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-1991.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7504/95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יאסין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רשם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המפלגות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(2) 45 (1996):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7, 9, 14-12, 20-19, 22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8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11280/02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הבחירות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המרכזית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השש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אחמד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טיבי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(4) 1 (2003):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29-28, 32-31, 46-39.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3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5744/16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27.05.2018):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13, 16-15, 30-29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המצפון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והפרטיות</w:t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2" w:right="72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29">
      <w:pPr>
        <w:numPr>
          <w:ilvl w:val="0"/>
          <w:numId w:val="56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 4201/09 </w:t>
      </w:r>
      <w:r w:rsidDel="00000000" w:rsidR="00000000" w:rsidRPr="00000000">
        <w:rPr>
          <w:b w:val="1"/>
          <w:rtl w:val="1"/>
        </w:rPr>
        <w:t xml:space="preserve">מדאבה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מחמוד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ראיק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שירות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בתי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הסוהר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24.3.2010):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ט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</w:t>
      </w:r>
      <w:r w:rsidDel="00000000" w:rsidR="00000000" w:rsidRPr="00000000">
        <w:rPr>
          <w:rtl w:val="1"/>
        </w:rPr>
        <w:t xml:space="preserve">' 2-3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ריבלין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A">
      <w:pPr>
        <w:numPr>
          <w:ilvl w:val="0"/>
          <w:numId w:val="56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7622/02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זונשיין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הפרקליט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הצבאי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הראשי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נז</w:t>
      </w:r>
      <w:r w:rsidDel="00000000" w:rsidR="00000000" w:rsidRPr="00000000">
        <w:rPr>
          <w:rtl w:val="1"/>
        </w:rPr>
        <w:t xml:space="preserve">(1) 726 (2002):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1, 8-11, 14-16. </w:t>
      </w:r>
    </w:p>
    <w:p w:rsidR="00000000" w:rsidDel="00000000" w:rsidP="00000000" w:rsidRDefault="00000000" w:rsidRPr="00000000" w14:paraId="0000012B">
      <w:pPr>
        <w:numPr>
          <w:ilvl w:val="0"/>
          <w:numId w:val="56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בש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7917/19 </w:t>
      </w:r>
      <w:r w:rsidDel="00000000" w:rsidR="00000000" w:rsidRPr="00000000">
        <w:rPr>
          <w:b w:val="1"/>
          <w:rtl w:val="1"/>
        </w:rPr>
        <w:t xml:space="preserve">יונתן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אוריך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מדינת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25.12.2019):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1, 12, 15, 19, 38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אלרון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2C">
      <w:pPr>
        <w:numPr>
          <w:ilvl w:val="0"/>
          <w:numId w:val="56"/>
        </w:numPr>
        <w:bidi w:val="1"/>
        <w:spacing w:after="0" w:before="120" w:line="240" w:lineRule="auto"/>
        <w:ind w:left="644" w:right="720" w:hanging="360"/>
        <w:jc w:val="both"/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5016/96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חורב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התחבורה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נא</w:t>
      </w:r>
      <w:r w:rsidDel="00000000" w:rsidR="00000000" w:rsidRPr="00000000">
        <w:rPr>
          <w:rtl w:val="1"/>
        </w:rPr>
        <w:t xml:space="preserve">(4) 1 (1996):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 16, 18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אור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502" w:right="72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</w:p>
    <w:p w:rsidR="00000000" w:rsidDel="00000000" w:rsidP="00000000" w:rsidRDefault="00000000" w:rsidRPr="00000000" w14:paraId="0000012E">
      <w:pPr>
        <w:numPr>
          <w:ilvl w:val="0"/>
          <w:numId w:val="59"/>
        </w:numPr>
        <w:bidi w:val="1"/>
        <w:spacing w:after="0" w:before="120" w:line="240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נויה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רימלט</w:t>
      </w:r>
      <w:r w:rsidDel="00000000" w:rsidR="00000000" w:rsidRPr="00000000">
        <w:rPr>
          <w:rtl w:val="1"/>
        </w:rPr>
        <w:t xml:space="preserve"> "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מצפון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מגדו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ושוויון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גלגוליה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סרבנות</w:t>
      </w:r>
      <w:r w:rsidDel="00000000" w:rsidR="00000000" w:rsidRPr="00000000">
        <w:rPr>
          <w:rtl w:val="1"/>
        </w:rPr>
        <w:t xml:space="preserve">־</w:t>
      </w:r>
      <w:r w:rsidDel="00000000" w:rsidR="00000000" w:rsidRPr="00000000">
        <w:rPr>
          <w:rtl w:val="1"/>
        </w:rPr>
        <w:t xml:space="preserve">המצפון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חוק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ביטחון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לבג</w:t>
      </w:r>
      <w:r w:rsidDel="00000000" w:rsidR="00000000" w:rsidRPr="00000000">
        <w:rPr>
          <w:rtl w:val="1"/>
        </w:rPr>
        <w:t xml:space="preserve">״</w:t>
      </w:r>
      <w:r w:rsidDel="00000000" w:rsidR="00000000" w:rsidRPr="00000000">
        <w:rPr>
          <w:rtl w:val="1"/>
        </w:rPr>
        <w:t xml:space="preserve">צ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מילוא</w:t>
      </w:r>
      <w:r w:rsidDel="00000000" w:rsidR="00000000" w:rsidRPr="00000000">
        <w:rPr>
          <w:rtl w:val="1"/>
        </w:rPr>
        <w:t xml:space="preserve">" </w:t>
      </w:r>
      <w:r w:rsidDel="00000000" w:rsidR="00000000" w:rsidRPr="00000000">
        <w:rPr>
          <w:b w:val="1"/>
          <w:rtl w:val="1"/>
        </w:rPr>
        <w:t xml:space="preserve">עיוני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משפט</w:t>
      </w:r>
      <w:r w:rsidDel="00000000" w:rsidR="00000000" w:rsidRPr="00000000">
        <w:rPr>
          <w:b w:val="1"/>
          <w:rtl w:val="1"/>
        </w:rPr>
        <w:t xml:space="preserve"> </w:t>
      </w:r>
      <w:r w:rsidDel="00000000" w:rsidR="00000000" w:rsidRPr="00000000">
        <w:rPr>
          <w:rtl w:val="1"/>
        </w:rPr>
        <w:t xml:space="preserve">כט</w:t>
      </w:r>
      <w:r w:rsidDel="00000000" w:rsidR="00000000" w:rsidRPr="00000000">
        <w:rPr>
          <w:rtl w:val="1"/>
        </w:rPr>
        <w:t xml:space="preserve">(2) 449, 477-488 (2006).</w:t>
      </w:r>
    </w:p>
    <w:p w:rsidR="00000000" w:rsidDel="00000000" w:rsidP="00000000" w:rsidRDefault="00000000" w:rsidRPr="00000000" w14:paraId="0000012F">
      <w:pPr>
        <w:numPr>
          <w:ilvl w:val="0"/>
          <w:numId w:val="59"/>
        </w:numPr>
        <w:bidi w:val="1"/>
        <w:spacing w:after="0" w:before="120" w:line="240" w:lineRule="auto"/>
        <w:ind w:left="644" w:right="720" w:hanging="360"/>
        <w:jc w:val="both"/>
        <w:rPr>
          <w:color w:val="000000"/>
          <w:u w:val="single"/>
        </w:rPr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4298/93 </w:t>
      </w:r>
      <w:r w:rsidDel="00000000" w:rsidR="00000000" w:rsidRPr="00000000">
        <w:rPr>
          <w:b w:val="1"/>
          <w:rtl w:val="1"/>
        </w:rPr>
        <w:t xml:space="preserve">ג</w:t>
      </w:r>
      <w:r w:rsidDel="00000000" w:rsidR="00000000" w:rsidRPr="00000000">
        <w:rPr>
          <w:b w:val="1"/>
          <w:rtl w:val="1"/>
        </w:rPr>
        <w:t xml:space="preserve">'</w:t>
      </w:r>
      <w:r w:rsidDel="00000000" w:rsidR="00000000" w:rsidRPr="00000000">
        <w:rPr>
          <w:b w:val="1"/>
          <w:rtl w:val="1"/>
        </w:rPr>
        <w:t xml:space="preserve">בארין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החינוך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</w:t>
      </w:r>
      <w:r w:rsidDel="00000000" w:rsidR="00000000" w:rsidRPr="00000000">
        <w:rPr>
          <w:rtl w:val="1"/>
        </w:rPr>
        <w:t xml:space="preserve">(5) 199 (1994):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1-2, 5-7, </w:t>
      </w:r>
      <w:r w:rsidDel="00000000" w:rsidR="00000000" w:rsidRPr="00000000">
        <w:rPr>
          <w:rtl w:val="1"/>
        </w:rPr>
        <w:t xml:space="preserve">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גולדברג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הקורונה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ובשלטון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133">
      <w:pPr>
        <w:numPr>
          <w:ilvl w:val="0"/>
          <w:numId w:val="64"/>
        </w:numPr>
        <w:bidi w:val="1"/>
        <w:spacing w:after="0" w:before="120" w:line="240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2109/20 </w:t>
      </w:r>
      <w:r w:rsidDel="00000000" w:rsidR="00000000" w:rsidRPr="00000000">
        <w:rPr>
          <w:b w:val="1"/>
          <w:rtl w:val="1"/>
        </w:rPr>
        <w:t xml:space="preserve">בן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מאיר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ראש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הממשלה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26.4.2020):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ופס</w:t>
      </w:r>
      <w:r w:rsidDel="00000000" w:rsidR="00000000" w:rsidRPr="00000000">
        <w:rPr>
          <w:rtl w:val="1"/>
        </w:rPr>
        <w:t xml:space="preserve">' 10, 12, 23, 26-25, 40. </w:t>
      </w:r>
    </w:p>
    <w:p w:rsidR="00000000" w:rsidDel="00000000" w:rsidP="00000000" w:rsidRDefault="00000000" w:rsidRPr="00000000" w14:paraId="00000134">
      <w:pPr>
        <w:numPr>
          <w:ilvl w:val="0"/>
          <w:numId w:val="64"/>
        </w:numPr>
        <w:bidi w:val="1"/>
        <w:spacing w:after="0" w:before="120" w:line="240" w:lineRule="auto"/>
        <w:ind w:left="644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3799/02 </w:t>
      </w:r>
      <w:r w:rsidDel="00000000" w:rsidR="00000000" w:rsidRPr="00000000">
        <w:rPr>
          <w:b w:val="1"/>
          <w:rtl w:val="1"/>
        </w:rPr>
        <w:t xml:space="preserve">עדאלה</w:t>
      </w:r>
      <w:r w:rsidDel="00000000" w:rsidR="00000000" w:rsidRPr="00000000">
        <w:rPr>
          <w:b w:val="1"/>
          <w:rtl w:val="1"/>
        </w:rPr>
        <w:t xml:space="preserve"> – </w:t>
      </w:r>
      <w:r w:rsidDel="00000000" w:rsidR="00000000" w:rsidRPr="00000000">
        <w:rPr>
          <w:b w:val="1"/>
          <w:rtl w:val="1"/>
        </w:rPr>
        <w:t xml:space="preserve">המרכז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המשפטי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לזכויות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המיעוט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הערבי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בישראל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אלוף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פיקוד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מרכז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בצה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(3) 67 (2005):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,  25-20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35">
      <w:pPr>
        <w:numPr>
          <w:ilvl w:val="0"/>
          <w:numId w:val="64"/>
        </w:numPr>
        <w:bidi w:val="1"/>
        <w:spacing w:after="120" w:before="120" w:line="240" w:lineRule="auto"/>
        <w:ind w:left="644" w:right="720" w:hanging="360"/>
        <w:rPr>
          <w:b w:val="1"/>
        </w:rPr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320/80 </w:t>
      </w:r>
      <w:r w:rsidDel="00000000" w:rsidR="00000000" w:rsidRPr="00000000">
        <w:rPr>
          <w:b w:val="1"/>
          <w:rtl w:val="1"/>
        </w:rPr>
        <w:t xml:space="preserve">יוסרא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קאסם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קוואסמה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הביטחון</w:t>
      </w:r>
      <w:r w:rsidDel="00000000" w:rsidR="00000000" w:rsidRPr="00000000">
        <w:rPr>
          <w:b w:val="1"/>
          <w:rtl w:val="1"/>
        </w:rPr>
        <w:t xml:space="preserve"> ,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</w:t>
      </w:r>
      <w:r w:rsidDel="00000000" w:rsidR="00000000" w:rsidRPr="00000000">
        <w:rPr>
          <w:rtl w:val="1"/>
        </w:rPr>
        <w:t xml:space="preserve">(3) 113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(1980):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מבוא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הנשיא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לנדוי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בטרם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בוצעו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הגירושים</w:t>
      </w:r>
      <w:r w:rsidDel="00000000" w:rsidR="00000000" w:rsidRPr="00000000">
        <w:rPr>
          <w:rtl w:val="1"/>
        </w:rPr>
        <w:t xml:space="preserve">",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1-3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כהן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64"/>
        </w:numPr>
        <w:bidi w:val="1"/>
        <w:spacing w:after="120" w:before="120" w:line="240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בגץ</w:t>
      </w:r>
      <w:r w:rsidDel="00000000" w:rsidR="00000000" w:rsidRPr="00000000">
        <w:rPr>
          <w:rtl w:val="1"/>
        </w:rPr>
        <w:t xml:space="preserve"> 7220/15 </w:t>
      </w:r>
      <w:r w:rsidDel="00000000" w:rsidR="00000000" w:rsidRPr="00000000">
        <w:rPr>
          <w:b w:val="1"/>
          <w:rtl w:val="1"/>
        </w:rPr>
        <w:t xml:space="preserve">דועאא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עליוה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מפקד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כוחות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בגדה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המערבית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1.12.2015):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1, 18, 21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שהם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1, 4, 7, 8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מזוז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120" w:line="276" w:lineRule="auto"/>
        <w:ind w:left="502" w:right="72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רשות</w:t>
      </w:r>
    </w:p>
    <w:p w:rsidR="00000000" w:rsidDel="00000000" w:rsidP="00000000" w:rsidRDefault="00000000" w:rsidRPr="00000000" w14:paraId="00000138">
      <w:pPr>
        <w:numPr>
          <w:ilvl w:val="0"/>
          <w:numId w:val="86"/>
        </w:numPr>
        <w:bidi w:val="1"/>
        <w:spacing w:after="0" w:before="120" w:line="276" w:lineRule="auto"/>
        <w:ind w:left="644" w:right="720" w:hanging="360"/>
        <w:jc w:val="both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2320/98 </w:t>
      </w:r>
      <w:r w:rsidDel="00000000" w:rsidR="00000000" w:rsidRPr="00000000">
        <w:rPr>
          <w:b w:val="1"/>
          <w:rtl w:val="1"/>
        </w:rPr>
        <w:t xml:space="preserve">אל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1"/>
        </w:rPr>
        <w:t xml:space="preserve">עמלה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מפקד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כוחות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צה</w:t>
      </w:r>
      <w:r w:rsidDel="00000000" w:rsidR="00000000" w:rsidRPr="00000000">
        <w:rPr>
          <w:b w:val="1"/>
          <w:rtl w:val="1"/>
        </w:rPr>
        <w:t xml:space="preserve">"</w:t>
      </w:r>
      <w:r w:rsidDel="00000000" w:rsidR="00000000" w:rsidRPr="00000000">
        <w:rPr>
          <w:b w:val="1"/>
          <w:rtl w:val="1"/>
        </w:rPr>
        <w:t xml:space="preserve">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באזור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יהודה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ושומרון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נב</w:t>
      </w:r>
      <w:r w:rsidDel="00000000" w:rsidR="00000000" w:rsidRPr="00000000">
        <w:rPr>
          <w:rtl w:val="1"/>
        </w:rPr>
        <w:t xml:space="preserve">(3) 346,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3-1, 10-7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זמיר</w:t>
      </w:r>
      <w:r w:rsidDel="00000000" w:rsidR="00000000" w:rsidRPr="00000000">
        <w:rPr>
          <w:rtl w:val="1"/>
        </w:rPr>
        <w:t xml:space="preserve"> (1999).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חברתיות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3162.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10662/04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המוסד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28.03.2012):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26, 34-33, 38-37, 42, 46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ביניש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9535/06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אבו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מסאעד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נציב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05.06.2011): 21-20, 24-23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פרוקצ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7426/08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טבקה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וצדק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אתיופיה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החינוך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820 (2010):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1, 4, 16-15, 19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פרוקצ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אפליה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והעדפה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מתקנת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6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שיווי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האשה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התשי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-1951.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firstLine="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4541/94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מילר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(4) 94 (1995):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14-13, 16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8-7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דורנר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6698/95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קעדאן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(1) 258 (2000):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30-29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644" w:right="0" w:hanging="360"/>
        <w:jc w:val="left"/>
        <w:rPr/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6924/98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(5) 15 (2001):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17, 21, 25-23, 29-28, 34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360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סף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נידונים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והזכות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לגשת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הסעדים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</w:t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חקיקה</w:t>
      </w:r>
    </w:p>
    <w:p w:rsidR="00000000" w:rsidDel="00000000" w:rsidP="00000000" w:rsidRDefault="00000000" w:rsidRPr="00000000" w14:paraId="0000014D">
      <w:pPr>
        <w:numPr>
          <w:ilvl w:val="0"/>
          <w:numId w:val="83"/>
        </w:numPr>
        <w:bidi w:val="1"/>
        <w:spacing w:line="240" w:lineRule="auto"/>
        <w:ind w:left="644" w:hanging="360"/>
        <w:rPr/>
      </w:pPr>
      <w:r w:rsidDel="00000000" w:rsidR="00000000" w:rsidRPr="00000000">
        <w:rPr>
          <w:rtl w:val="1"/>
        </w:rPr>
        <w:t xml:space="preserve">ס</w:t>
      </w:r>
      <w:r w:rsidDel="00000000" w:rsidR="00000000" w:rsidRPr="00000000">
        <w:rPr>
          <w:rtl w:val="1"/>
        </w:rPr>
        <w:t xml:space="preserve">' 4-3 </w:t>
      </w:r>
      <w:r w:rsidDel="00000000" w:rsidR="00000000" w:rsidRPr="00000000">
        <w:rPr>
          <w:rtl w:val="1"/>
        </w:rPr>
        <w:t xml:space="preserve">לתקנות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משפט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לעניינים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מינהליים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סדרי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דין</w:t>
      </w:r>
      <w:r w:rsidDel="00000000" w:rsidR="00000000" w:rsidRPr="00000000">
        <w:rPr>
          <w:rtl w:val="1"/>
        </w:rPr>
        <w:t xml:space="preserve">), </w:t>
      </w:r>
      <w:r w:rsidDel="00000000" w:rsidR="00000000" w:rsidRPr="00000000">
        <w:rPr>
          <w:rtl w:val="1"/>
        </w:rPr>
        <w:t xml:space="preserve">תשס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-2000.</w:t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502" w:right="0" w:hanging="360"/>
        <w:jc w:val="left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פסיקה</w:t>
      </w:r>
    </w:p>
    <w:p w:rsidR="00000000" w:rsidDel="00000000" w:rsidP="00000000" w:rsidRDefault="00000000" w:rsidRPr="00000000" w14:paraId="0000014F">
      <w:pPr>
        <w:numPr>
          <w:ilvl w:val="0"/>
          <w:numId w:val="84"/>
        </w:numPr>
        <w:tabs>
          <w:tab w:val="left" w:pos="26"/>
        </w:tabs>
        <w:bidi w:val="1"/>
        <w:spacing w:after="120" w:line="240" w:lineRule="auto"/>
        <w:ind w:left="644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910/86 </w:t>
      </w:r>
      <w:r w:rsidDel="00000000" w:rsidR="00000000" w:rsidRPr="00000000">
        <w:rPr>
          <w:b w:val="1"/>
          <w:rtl w:val="1"/>
        </w:rPr>
        <w:t xml:space="preserve">רסלר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שר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הביטחון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מב</w:t>
      </w:r>
      <w:r w:rsidDel="00000000" w:rsidR="00000000" w:rsidRPr="00000000">
        <w:rPr>
          <w:rtl w:val="1"/>
        </w:rPr>
        <w:t xml:space="preserve">(2) 441 (1988):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6, 17-16, 29-26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ברק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50">
      <w:pPr>
        <w:numPr>
          <w:ilvl w:val="0"/>
          <w:numId w:val="84"/>
        </w:numPr>
        <w:tabs>
          <w:tab w:val="left" w:pos="386"/>
        </w:tabs>
        <w:bidi w:val="1"/>
        <w:spacing w:after="120" w:line="240" w:lineRule="auto"/>
        <w:ind w:left="644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5551/08 </w:t>
      </w:r>
      <w:r w:rsidDel="00000000" w:rsidR="00000000" w:rsidRPr="00000000">
        <w:rPr>
          <w:b w:val="1"/>
          <w:rtl w:val="1"/>
        </w:rPr>
        <w:t xml:space="preserve">שליט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ממשלת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ישראל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22.6.2008). </w:t>
      </w:r>
    </w:p>
    <w:p w:rsidR="00000000" w:rsidDel="00000000" w:rsidP="00000000" w:rsidRDefault="00000000" w:rsidRPr="00000000" w14:paraId="00000151">
      <w:pPr>
        <w:numPr>
          <w:ilvl w:val="0"/>
          <w:numId w:val="84"/>
        </w:numPr>
        <w:tabs>
          <w:tab w:val="left" w:pos="26"/>
          <w:tab w:val="left" w:pos="386"/>
          <w:tab w:val="left" w:pos="8306"/>
        </w:tabs>
        <w:bidi w:val="1"/>
        <w:spacing w:after="0" w:before="120" w:line="240" w:lineRule="auto"/>
        <w:ind w:left="644" w:right="720" w:hanging="36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רע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 2413/99 </w:t>
      </w:r>
      <w:r w:rsidDel="00000000" w:rsidR="00000000" w:rsidRPr="00000000">
        <w:rPr>
          <w:b w:val="1"/>
          <w:rtl w:val="1"/>
        </w:rPr>
        <w:t xml:space="preserve">טוראי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גיספן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התובע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הצבאי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הראשי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נה</w:t>
      </w:r>
      <w:r w:rsidDel="00000000" w:rsidR="00000000" w:rsidRPr="00000000">
        <w:rPr>
          <w:rtl w:val="1"/>
        </w:rPr>
        <w:t xml:space="preserve">(4) 673 (2001): </w:t>
      </w:r>
      <w:r w:rsidDel="00000000" w:rsidR="00000000" w:rsidRPr="00000000">
        <w:rPr>
          <w:rtl w:val="1"/>
        </w:rPr>
        <w:t xml:space="preserve">עובדות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המקרה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1, 16-14, 22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זמיר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152">
      <w:pPr>
        <w:numPr>
          <w:ilvl w:val="0"/>
          <w:numId w:val="84"/>
        </w:numPr>
        <w:tabs>
          <w:tab w:val="left" w:pos="26"/>
          <w:tab w:val="left" w:pos="8306"/>
        </w:tabs>
        <w:bidi w:val="1"/>
        <w:spacing w:after="0" w:before="120" w:line="240" w:lineRule="auto"/>
        <w:ind w:left="644" w:right="720" w:hanging="360"/>
        <w:rPr/>
      </w:pPr>
      <w:r w:rsidDel="00000000" w:rsidR="00000000" w:rsidRPr="00000000">
        <w:rPr>
          <w:rtl w:val="1"/>
        </w:rPr>
        <w:t xml:space="preserve">בג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ץ</w:t>
      </w:r>
      <w:r w:rsidDel="00000000" w:rsidR="00000000" w:rsidRPr="00000000">
        <w:rPr>
          <w:rtl w:val="1"/>
        </w:rPr>
        <w:t xml:space="preserve"> 7311/02 </w:t>
      </w:r>
      <w:r w:rsidDel="00000000" w:rsidR="00000000" w:rsidRPr="00000000">
        <w:rPr>
          <w:b w:val="1"/>
          <w:rtl w:val="1"/>
        </w:rPr>
        <w:t xml:space="preserve">האגודה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לסיוע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ולהגנה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זכויות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הבדואים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בישראל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</w:t>
      </w:r>
      <w:r w:rsidDel="00000000" w:rsidR="00000000" w:rsidRPr="00000000">
        <w:rPr>
          <w:b w:val="1"/>
          <w:rtl w:val="1"/>
        </w:rPr>
        <w:t xml:space="preserve">' </w:t>
      </w:r>
      <w:r w:rsidDel="00000000" w:rsidR="00000000" w:rsidRPr="00000000">
        <w:rPr>
          <w:b w:val="1"/>
          <w:rtl w:val="1"/>
        </w:rPr>
        <w:t xml:space="preserve">עיריית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שבע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פורסם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בנבו</w:t>
      </w:r>
      <w:r w:rsidDel="00000000" w:rsidR="00000000" w:rsidRPr="00000000">
        <w:rPr>
          <w:rtl w:val="1"/>
        </w:rPr>
        <w:t xml:space="preserve">, 22.6.2011): </w:t>
      </w:r>
      <w:r w:rsidDel="00000000" w:rsidR="00000000" w:rsidRPr="00000000">
        <w:rPr>
          <w:rtl w:val="1"/>
        </w:rPr>
        <w:t xml:space="preserve">פס</w:t>
      </w:r>
      <w:r w:rsidDel="00000000" w:rsidR="00000000" w:rsidRPr="00000000">
        <w:rPr>
          <w:rtl w:val="1"/>
        </w:rPr>
        <w:t xml:space="preserve">' 2-1, 11, 19-18 </w:t>
      </w:r>
      <w:r w:rsidDel="00000000" w:rsidR="00000000" w:rsidRPr="00000000">
        <w:rPr>
          <w:rtl w:val="1"/>
        </w:rPr>
        <w:t xml:space="preserve">לפסק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דינו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השופט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</w:t>
      </w:r>
      <w:r w:rsidDel="00000000" w:rsidR="00000000" w:rsidRPr="00000000">
        <w:rPr>
          <w:rtl w:val="1"/>
        </w:rPr>
        <w:t xml:space="preserve">'</w:t>
      </w:r>
      <w:r w:rsidDel="00000000" w:rsidR="00000000" w:rsidRPr="00000000">
        <w:rPr>
          <w:rtl w:val="1"/>
        </w:rPr>
        <w:t xml:space="preserve">ובראן</w:t>
      </w:r>
      <w:r w:rsidDel="00000000" w:rsidR="00000000" w:rsidRPr="00000000">
        <w:rPr>
          <w:rtl w:val="1"/>
        </w:rPr>
        <w:t xml:space="preserve">. </w:t>
      </w:r>
    </w:p>
    <w:sectPr>
      <w:pgSz w:h="16838" w:w="11906"/>
      <w:pgMar w:bottom="1440" w:top="1440" w:left="1440" w:right="144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David"/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7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0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2"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3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34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36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</w:rPr>
    </w:lvl>
  </w:abstractNum>
  <w:abstractNum w:abstractNumId="3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36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</w:rPr>
    </w:lvl>
  </w:abstractNum>
  <w:abstractNum w:abstractNumId="37"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3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cs="Noto Sans Symbols" w:eastAsia="Noto Sans Symbols" w:hAnsi="Noto Sans Symbols"/>
      </w:rPr>
    </w:lvl>
  </w:abstractNum>
  <w:abstractNum w:abstractNumId="38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right"/>
      <w:pPr>
        <w:ind w:left="2084" w:hanging="180"/>
      </w:pPr>
      <w:rPr>
        <w:sz w:val="2"/>
        <w:szCs w:val="2"/>
      </w:rPr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Roman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right"/>
      <w:pPr>
        <w:ind w:left="4244" w:hanging="180"/>
      </w:pPr>
      <w:rPr>
        <w:sz w:val="2"/>
        <w:szCs w:val="2"/>
      </w:rPr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Roman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right"/>
      <w:pPr>
        <w:ind w:left="6404" w:hanging="180"/>
      </w:pPr>
      <w:rPr>
        <w:sz w:val="2"/>
        <w:szCs w:val="2"/>
      </w:rPr>
    </w:lvl>
  </w:abstractNum>
  <w:abstractNum w:abstractNumId="39"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233" w:hanging="360"/>
      </w:pPr>
      <w:rPr/>
    </w:lvl>
    <w:lvl w:ilvl="2">
      <w:start w:val="1"/>
      <w:numFmt w:val="lowerRoman"/>
      <w:lvlText w:val="%3."/>
      <w:lvlJc w:val="right"/>
      <w:pPr>
        <w:ind w:left="1953" w:hanging="180"/>
      </w:pPr>
      <w:rPr/>
    </w:lvl>
    <w:lvl w:ilvl="3">
      <w:start w:val="1"/>
      <w:numFmt w:val="decimal"/>
      <w:lvlText w:val="%4."/>
      <w:lvlJc w:val="left"/>
      <w:pPr>
        <w:ind w:left="2673" w:hanging="360"/>
      </w:pPr>
      <w:rPr/>
    </w:lvl>
    <w:lvl w:ilvl="4">
      <w:start w:val="1"/>
      <w:numFmt w:val="lowerLetter"/>
      <w:lvlText w:val="%5."/>
      <w:lvlJc w:val="left"/>
      <w:pPr>
        <w:ind w:left="3393" w:hanging="360"/>
      </w:pPr>
      <w:rPr/>
    </w:lvl>
    <w:lvl w:ilvl="5">
      <w:start w:val="1"/>
      <w:numFmt w:val="lowerRoman"/>
      <w:lvlText w:val="%6."/>
      <w:lvlJc w:val="right"/>
      <w:pPr>
        <w:ind w:left="4113" w:hanging="180"/>
      </w:pPr>
      <w:rPr/>
    </w:lvl>
    <w:lvl w:ilvl="6">
      <w:start w:val="1"/>
      <w:numFmt w:val="decimal"/>
      <w:lvlText w:val="%7."/>
      <w:lvlJc w:val="left"/>
      <w:pPr>
        <w:ind w:left="4833" w:hanging="360"/>
      </w:pPr>
      <w:rPr/>
    </w:lvl>
    <w:lvl w:ilvl="7">
      <w:start w:val="1"/>
      <w:numFmt w:val="lowerLetter"/>
      <w:lvlText w:val="%8."/>
      <w:lvlJc w:val="left"/>
      <w:pPr>
        <w:ind w:left="5553" w:hanging="360"/>
      </w:pPr>
      <w:rPr/>
    </w:lvl>
    <w:lvl w:ilvl="8">
      <w:start w:val="1"/>
      <w:numFmt w:val="lowerRoman"/>
      <w:lvlText w:val="%9."/>
      <w:lvlJc w:val="right"/>
      <w:pPr>
        <w:ind w:left="6273" w:hanging="180"/>
      </w:pPr>
      <w:rPr/>
    </w:lvl>
  </w:abstractNum>
  <w:abstractNum w:abstractNumId="40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right"/>
      <w:pPr>
        <w:ind w:left="2084" w:hanging="180"/>
      </w:pPr>
      <w:rPr>
        <w:sz w:val="2"/>
        <w:szCs w:val="2"/>
      </w:rPr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Roman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right"/>
      <w:pPr>
        <w:ind w:left="4244" w:hanging="180"/>
      </w:pPr>
      <w:rPr>
        <w:sz w:val="2"/>
        <w:szCs w:val="2"/>
      </w:rPr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Roman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right"/>
      <w:pPr>
        <w:ind w:left="6404" w:hanging="180"/>
      </w:pPr>
      <w:rPr>
        <w:sz w:val="2"/>
        <w:szCs w:val="2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43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4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9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0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2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5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6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57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8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59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60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6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62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63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6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6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right"/>
      <w:pPr>
        <w:ind w:left="2084" w:hanging="180"/>
      </w:pPr>
      <w:rPr>
        <w:sz w:val="2"/>
        <w:szCs w:val="2"/>
      </w:rPr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Roman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right"/>
      <w:pPr>
        <w:ind w:left="4244" w:hanging="180"/>
      </w:pPr>
      <w:rPr>
        <w:sz w:val="2"/>
        <w:szCs w:val="2"/>
      </w:rPr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Roman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right"/>
      <w:pPr>
        <w:ind w:left="6404" w:hanging="180"/>
      </w:pPr>
      <w:rPr>
        <w:sz w:val="2"/>
        <w:szCs w:val="2"/>
      </w:rPr>
    </w:lvl>
  </w:abstractNum>
  <w:abstractNum w:abstractNumId="67">
    <w:lvl w:ilvl="0">
      <w:start w:val="11"/>
      <w:numFmt w:val="decimal"/>
      <w:lvlText w:val="%1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68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Roman"/>
      <w:lvlText w:val="%2."/>
      <w:lvlJc w:val="left"/>
      <w:pPr>
        <w:ind w:left="1364" w:hanging="360"/>
      </w:pPr>
      <w:rPr/>
    </w:lvl>
    <w:lvl w:ilvl="2">
      <w:start w:val="1"/>
      <w:numFmt w:val="decimal"/>
      <w:lvlText w:val="%3."/>
      <w:lvlJc w:val="right"/>
      <w:pPr>
        <w:ind w:left="2084" w:hanging="180"/>
      </w:pPr>
      <w:rPr>
        <w:sz w:val="2"/>
        <w:szCs w:val="2"/>
      </w:rPr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Roman"/>
      <w:lvlText w:val="%5."/>
      <w:lvlJc w:val="left"/>
      <w:pPr>
        <w:ind w:left="3524" w:hanging="360"/>
      </w:pPr>
      <w:rPr/>
    </w:lvl>
    <w:lvl w:ilvl="5">
      <w:start w:val="1"/>
      <w:numFmt w:val="decimal"/>
      <w:lvlText w:val="%6."/>
      <w:lvlJc w:val="right"/>
      <w:pPr>
        <w:ind w:left="4244" w:hanging="180"/>
      </w:pPr>
      <w:rPr>
        <w:sz w:val="2"/>
        <w:szCs w:val="2"/>
      </w:rPr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Roman"/>
      <w:lvlText w:val="%8."/>
      <w:lvlJc w:val="left"/>
      <w:pPr>
        <w:ind w:left="5684" w:hanging="360"/>
      </w:pPr>
      <w:rPr/>
    </w:lvl>
    <w:lvl w:ilvl="8">
      <w:start w:val="1"/>
      <w:numFmt w:val="decimal"/>
      <w:lvlText w:val="%9."/>
      <w:lvlJc w:val="right"/>
      <w:pPr>
        <w:ind w:left="6404" w:hanging="180"/>
      </w:pPr>
      <w:rPr>
        <w:sz w:val="2"/>
        <w:szCs w:val="2"/>
      </w:rPr>
    </w:lvl>
  </w:abstractNum>
  <w:abstractNum w:abstractNumId="69">
    <w:lvl w:ilvl="0">
      <w:start w:val="16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72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73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7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75">
    <w:lvl w:ilvl="0">
      <w:start w:val="13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6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77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8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79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0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8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2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83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84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85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abstractNum w:abstractNumId="86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87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88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89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abstractNum w:abstractNumId="90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3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5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49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6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David" w:cs="David" w:eastAsia="David" w:hAnsi="David"/>
        <w:sz w:val="24"/>
        <w:szCs w:val="24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0" w:default="1">
    <w:name w:val="Normal"/>
    <w:qFormat w:val="1"/>
    <w:pPr>
      <w:bidi w:val="1"/>
    </w:pPr>
  </w:style>
  <w:style w:type="paragraph" w:styleId="2">
    <w:name w:val="heading 2"/>
    <w:basedOn w:val="a0"/>
    <w:next w:val="a0"/>
    <w:link w:val="20"/>
    <w:uiPriority w:val="9"/>
    <w:semiHidden w:val="1"/>
    <w:unhideWhenUsed w:val="1"/>
    <w:qFormat w:val="1"/>
    <w:rsid w:val="00D34160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1" w:default="1">
    <w:name w:val="Default Paragraph Font"/>
    <w:uiPriority w:val="1"/>
    <w:semiHidden w:val="1"/>
    <w:unhideWhenUsed w:val="1"/>
  </w:style>
  <w:style w:type="table" w:styleId="a2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3" w:default="1">
    <w:name w:val="No List"/>
    <w:uiPriority w:val="99"/>
    <w:semiHidden w:val="1"/>
    <w:unhideWhenUsed w:val="1"/>
  </w:style>
  <w:style w:type="paragraph" w:styleId="a4">
    <w:name w:val="List Paragraph"/>
    <w:basedOn w:val="a0"/>
    <w:uiPriority w:val="34"/>
    <w:qFormat w:val="1"/>
    <w:rsid w:val="009853B1"/>
    <w:pPr>
      <w:ind w:left="720"/>
      <w:contextualSpacing w:val="1"/>
    </w:pPr>
  </w:style>
  <w:style w:type="table" w:styleId="a5">
    <w:name w:val="Table Grid"/>
    <w:basedOn w:val="a2"/>
    <w:uiPriority w:val="59"/>
    <w:rsid w:val="00E967E7"/>
    <w:pPr>
      <w:spacing w:after="0" w:line="240" w:lineRule="auto"/>
    </w:pPr>
    <w:rPr>
      <w:rFonts w:asciiTheme="minorHAnsi" w:cstheme="minorBidi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-body" w:customStyle="1">
    <w:name w:val="T-body"/>
    <w:uiPriority w:val="99"/>
    <w:rsid w:val="007E11EB"/>
    <w:pPr>
      <w:bidi w:val="1"/>
      <w:spacing w:after="0" w:line="288" w:lineRule="auto"/>
      <w:jc w:val="both"/>
    </w:pPr>
    <w:rPr>
      <w:rFonts w:ascii="Times New Roman" w:cs="Times New Roman" w:eastAsia="Times New Roman" w:hAnsi="Times New Roman"/>
    </w:rPr>
  </w:style>
  <w:style w:type="character" w:styleId="Hyperlink">
    <w:name w:val="Hyperlink"/>
    <w:basedOn w:val="a1"/>
    <w:uiPriority w:val="99"/>
    <w:unhideWhenUsed w:val="1"/>
    <w:rsid w:val="00806ADA"/>
    <w:rPr>
      <w:color w:val="0563c1" w:themeColor="hyperlink"/>
      <w:u w:val="single"/>
    </w:rPr>
  </w:style>
  <w:style w:type="paragraph" w:styleId="a" w:customStyle="1">
    <w:name w:val="כותרת"/>
    <w:basedOn w:val="2"/>
    <w:qFormat w:val="1"/>
    <w:rsid w:val="00D34160"/>
    <w:pPr>
      <w:numPr>
        <w:numId w:val="67"/>
      </w:numPr>
      <w:spacing w:after="120" w:before="0" w:line="360" w:lineRule="auto"/>
      <w:jc w:val="both"/>
    </w:pPr>
    <w:rPr>
      <w:rFonts w:ascii="David" w:cs="David" w:eastAsia="David" w:hAnsi="David"/>
      <w:bCs w:val="1"/>
      <w:color w:val="auto"/>
      <w:sz w:val="24"/>
      <w:szCs w:val="24"/>
      <w:u w:val="single"/>
    </w:rPr>
  </w:style>
  <w:style w:type="character" w:styleId="20" w:customStyle="1">
    <w:name w:val="כותרת 2 תו"/>
    <w:basedOn w:val="a1"/>
    <w:link w:val="2"/>
    <w:uiPriority w:val="9"/>
    <w:semiHidden w:val="1"/>
    <w:rsid w:val="00D34160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6">
    <w:name w:val="Unresolved Mention"/>
    <w:basedOn w:val="a1"/>
    <w:uiPriority w:val="99"/>
    <w:semiHidden w:val="1"/>
    <w:unhideWhenUsed w:val="1"/>
    <w:rsid w:val="00BC40A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stherashbar@gmail.com" TargetMode="External"/><Relationship Id="rId8" Type="http://schemas.openxmlformats.org/officeDocument/2006/relationships/hyperlink" Target="mailto:403fadim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8htIGnSEr5cGhC1lXLyDH0oEDQ==">AMUW2mU+YH2uv015+JmD+EZ3wxL1L5m0MeJzmO5uW+1+9XjZfJrdNJqo0NJ/DgN1h/9Tf0XyjK581/EFaBFO8/85Xhch5xUmhGgic4hNupke8GuMjrhEUFuib34/zOcl0PisuGtwMJZZWYN5GXg58peaRY5KtLBzCQ==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2020-08-28T08:30:00Z</dcterms:created>
  <dc:creator>אסתר רשרגוביץ בר</dc:creator>
</cp:coreProperties>
</file>