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...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תשפ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</w:p>
    <w:p w:rsidR="00000000" w:rsidDel="00000000" w:rsidP="00000000" w:rsidRDefault="00000000" w:rsidRPr="00000000" w14:paraId="00000002">
      <w:pPr>
        <w:bidi w:val="1"/>
        <w:jc w:val="center"/>
        <w:rPr>
          <w:rFonts w:ascii="David" w:cs="David" w:eastAsia="David" w:hAnsi="David"/>
          <w:b w:val="1"/>
          <w:sz w:val="40"/>
          <w:szCs w:val="40"/>
        </w:rPr>
      </w:pP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1"/>
        </w:rPr>
        <w:t xml:space="preserve">ביטחון</w:t>
      </w: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1"/>
        </w:rPr>
        <w:t xml:space="preserve">בעידן</w:t>
      </w: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1"/>
        </w:rPr>
        <w:t xml:space="preserve">תמורות</w:t>
      </w: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1"/>
        </w:rPr>
        <w:t xml:space="preserve">ושינויים</w:t>
      </w: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1"/>
        </w:rPr>
        <w:t xml:space="preserve">יסודות</w:t>
      </w: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0"/>
          <w:szCs w:val="40"/>
          <w:rtl w:val="1"/>
        </w:rPr>
        <w:t xml:space="preserve">ומושגים</w:t>
      </w:r>
    </w:p>
    <w:p w:rsidR="00000000" w:rsidDel="00000000" w:rsidP="00000000" w:rsidRDefault="00000000" w:rsidRPr="00000000" w14:paraId="00000003">
      <w:pPr>
        <w:bidi w:val="1"/>
        <w:jc w:val="center"/>
        <w:rPr>
          <w:rFonts w:ascii="David" w:cs="David" w:eastAsia="David" w:hAnsi="David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תא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מיל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.)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איתי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ברון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וד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דורון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rtl w:val="1"/>
        </w:rPr>
        <w:t xml:space="preserve">נבות</w:t>
      </w:r>
    </w:p>
    <w:p w:rsidR="00000000" w:rsidDel="00000000" w:rsidP="00000000" w:rsidRDefault="00000000" w:rsidRPr="00000000" w14:paraId="00000004">
      <w:pPr>
        <w:bidi w:val="1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360" w:lineRule="auto"/>
        <w:jc w:val="both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מטרת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הקורס</w:t>
      </w:r>
    </w:p>
    <w:p w:rsidR="00000000" w:rsidDel="00000000" w:rsidP="00000000" w:rsidRDefault="00000000" w:rsidRPr="00000000" w14:paraId="00000006">
      <w:pPr>
        <w:bidi w:val="1"/>
        <w:spacing w:after="0"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הכרת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יסודות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יחסי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הגומלין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ביניהם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וההקשר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ההיסטורי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התפתחו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תיאוריות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ומושגים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שמרכיבים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העשייה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להבין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העידן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הנוכחי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משפיע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בטל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בימינו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והאופן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אנו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עוסקים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ניתוח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היבטים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קשורים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האזורית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הפנימית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הקורס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שהמשתתפים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יכירו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מושגי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בתחום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הבטל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יטפחו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הבנות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הבטל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מרכיביו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ובנוסף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יעמדו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תהליכי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קבלת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ההחלטות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בתחום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הבטל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יפתחו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מודעות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לאפשרות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לקיומה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ייחודית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לעיסוק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ומודעות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ורגישות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בטל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סוגיה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מרכזית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שנעסוק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יחסי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הגומלין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שינויים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היסטוריים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לשינויים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מושגיים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המלחמה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התפתחותו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הבטל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וכיצד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המלחמה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וסיום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המכונה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פוסט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המלחמה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השפיעו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ומשפיעים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העיסוק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בבטל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הנוכחית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7">
      <w:pPr>
        <w:bidi w:val="1"/>
        <w:spacing w:after="0"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360" w:lineRule="auto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מתכונת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הקורס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והציון</w:t>
      </w:r>
    </w:p>
    <w:p w:rsidR="00000000" w:rsidDel="00000000" w:rsidP="00000000" w:rsidRDefault="00000000" w:rsidRPr="00000000" w14:paraId="00000009">
      <w:pPr>
        <w:bidi w:val="1"/>
        <w:spacing w:after="0"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לקורס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מפגשים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למפגש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26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שהמצב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יאפשר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הקורס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יתקיים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ורביעי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חמישי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בחודשים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ספטמבר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אוקטובר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2020.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הקורס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יעבירו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במשותף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סגן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המכון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למחקרי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INSS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והמרכז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האקדמי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bidi w:val="1"/>
        <w:spacing w:after="0"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הקורס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חמישה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מרכיבים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פדגוגיים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פריטי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בסילבוס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והשתתפות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השיעור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בשיעורים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השתתפות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במטלות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עיבוד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השיעור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לחומר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להעמקה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פרזנטציה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בקבוצות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במפגש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(4-5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משתתפים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בקבוצה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(50%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מהציון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800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(50%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מהציון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</w:p>
    <w:p w:rsidR="00000000" w:rsidDel="00000000" w:rsidP="00000000" w:rsidRDefault="00000000" w:rsidRPr="00000000" w14:paraId="00000010">
      <w:pPr>
        <w:bidi w:val="1"/>
        <w:spacing w:after="0"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360" w:lineRule="auto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מטלת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סיום</w:t>
      </w:r>
    </w:p>
    <w:p w:rsidR="00000000" w:rsidDel="00000000" w:rsidP="00000000" w:rsidRDefault="00000000" w:rsidRPr="00000000" w14:paraId="00000012">
      <w:pPr>
        <w:bidi w:val="1"/>
        <w:spacing w:after="0"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כוללת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800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ובמרכזו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עליכם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לכתוב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האתגר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הגדול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ניצבת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בפניו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ולנמק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בחירתכם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בהתבסס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הנלמד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במפגשים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וחומרי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הקריאה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להשתמש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בהפניות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מפורטות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להקפיד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אקדמית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bidi w:val="1"/>
        <w:spacing w:after="0"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תאריך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1.11.2020</w:t>
      </w:r>
    </w:p>
    <w:p w:rsidR="00000000" w:rsidDel="00000000" w:rsidP="00000000" w:rsidRDefault="00000000" w:rsidRPr="00000000" w14:paraId="00000014">
      <w:pPr>
        <w:bidi w:val="1"/>
        <w:spacing w:after="0" w:line="360" w:lineRule="auto"/>
        <w:rPr>
          <w:rFonts w:ascii="David" w:cs="David" w:eastAsia="David" w:hAnsi="David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="360" w:lineRule="auto"/>
        <w:rPr>
          <w:rFonts w:ascii="David" w:cs="David" w:eastAsia="David" w:hAnsi="David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360" w:lineRule="auto"/>
        <w:rPr>
          <w:rFonts w:ascii="David" w:cs="David" w:eastAsia="David" w:hAnsi="David"/>
          <w:sz w:val="36"/>
          <w:szCs w:val="36"/>
          <w:u w:val="single"/>
        </w:rPr>
      </w:pP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פירוט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המפגשים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וחומרי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36"/>
          <w:szCs w:val="36"/>
          <w:u w:val="single"/>
          <w:rtl w:val="1"/>
        </w:rPr>
        <w:t xml:space="preserve">הקריאה</w:t>
      </w:r>
    </w:p>
    <w:p w:rsidR="00000000" w:rsidDel="00000000" w:rsidP="00000000" w:rsidRDefault="00000000" w:rsidRPr="00000000" w14:paraId="00000017">
      <w:pPr>
        <w:bidi w:val="1"/>
        <w:spacing w:after="0" w:line="360" w:lineRule="auto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="360" w:lineRule="auto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מפגש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ראשון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ביטחון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מבוא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ומושגי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יסוד</w:t>
      </w:r>
    </w:p>
    <w:p w:rsidR="00000000" w:rsidDel="00000000" w:rsidP="00000000" w:rsidRDefault="00000000" w:rsidRPr="00000000" w14:paraId="00000019">
      <w:pPr>
        <w:bidi w:val="1"/>
        <w:spacing w:after="0"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הקורס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למשבר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בקובה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-1962.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נצלול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הבחירות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לנשיאות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2016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בארצות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ולשאלת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התערבותה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רוסיה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בבחירות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יובילו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לשאלה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שתעמוד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במרכזו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המפגש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הקורס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הקלאסי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בימינו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נעסוק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בשיעור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בהמשגה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בסיסית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בטל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נכיר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הגדרות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בולטות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מאפיינים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האתוס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בטל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ונתחיל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בהיבטים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התפיסתיים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והמוסדיים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התחום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המפגש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מושגי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A">
      <w:pPr>
        <w:bidi w:val="1"/>
        <w:spacing w:after="0" w:line="360" w:lineRule="auto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חובת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</w:p>
    <w:p w:rsidR="00000000" w:rsidDel="00000000" w:rsidP="00000000" w:rsidRDefault="00000000" w:rsidRPr="00000000" w14:paraId="0000001B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עמידרור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יעקב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2011.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אצל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עמידרור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יעקב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עורך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מבוא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לביטחון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לאומי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7-26. </w:t>
      </w:r>
    </w:p>
    <w:p w:rsidR="00000000" w:rsidDel="00000000" w:rsidP="00000000" w:rsidRDefault="00000000" w:rsidRPr="00000000" w14:paraId="0000001C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0"/>
        </w:rPr>
        <w:t xml:space="preserve">For international students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D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David A. Baldwin. 1997. "The Concept of Security." Review of International Studies Vol. 23, No. 1, pp. 5-26. </w:t>
      </w:r>
    </w:p>
    <w:p w:rsidR="00000000" w:rsidDel="00000000" w:rsidP="00000000" w:rsidRDefault="00000000" w:rsidRPr="00000000" w14:paraId="0000001E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להעמקה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לטובת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מטלות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עיבוד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והעשרה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)</w:t>
      </w:r>
    </w:p>
    <w:p w:rsidR="00000000" w:rsidDel="00000000" w:rsidP="00000000" w:rsidRDefault="00000000" w:rsidRPr="00000000" w14:paraId="00000020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Joseph Nye. 2004.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0"/>
        </w:rPr>
        <w:t xml:space="preserve">Soft Power: The Means to Success in World Politics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New York: Basic Books, 2004: 1-32 (Chapter 1)</w:t>
      </w:r>
    </w:p>
    <w:p w:rsidR="00000000" w:rsidDel="00000000" w:rsidP="00000000" w:rsidRDefault="00000000" w:rsidRPr="00000000" w14:paraId="00000021">
      <w:pPr>
        <w:bidi w:val="1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להרחבה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חומר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שבחלקו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חופף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התכנים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ההרצאות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)</w:t>
      </w:r>
    </w:p>
    <w:p w:rsidR="00000000" w:rsidDel="00000000" w:rsidP="00000000" w:rsidRDefault="00000000" w:rsidRPr="00000000" w14:paraId="00000022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ותהילה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שוורץ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אלטשולר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2019.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מולר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חסר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ללמוד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?",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INSS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hyperlink r:id="rId6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בעברית</w:t>
        </w:r>
      </w:hyperlink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ובאנגלית</w:t>
        </w:r>
      </w:hyperlink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23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ודוד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2019.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תכני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הפוליטי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אתגר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אסטרטגי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חדש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INSS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hyperlink r:id="rId8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בעברית</w:t>
        </w:r>
      </w:hyperlink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ובאנגלית</w:t>
        </w:r>
      </w:hyperlink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24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jc w:val="both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מפגש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דיסציפלינות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רלבנטיות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ותיאוריות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מרכזיות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26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במרכז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המפגש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הגלובאלית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וצורות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לנתח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מאפייניה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המפגש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חשיבותו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התמוטטות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הסובייטי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בשלהי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השמונים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העולמית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גישות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ותיאוריות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המציאות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הביטחונית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והבטל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במרכז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המפגש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נבחן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בעשורים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האחרונים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התייחסות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למאמרו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פרנסיס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פוקוימה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ההיסטוריה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שמאז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פרסומו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1989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לקיתונות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העניק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למחברו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תהילה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פרסום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המאמר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לרעיון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הדמוקרטי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ליברלי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גלובלי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המייצג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אלטרנטיבה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אידאולוגית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מנוגדת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דוגמת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הפשיזם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הקומוניזם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הרעיון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מתמודד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אויבים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העוינים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ערכיו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נלחמים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במוסדותיו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ומקדמים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ליברלי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ומדינתי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השיעור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נתחיל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בשאלה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הקורונה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להשפיע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העולמי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חובת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Francis Fukuyama. 1989. "The End of History?"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0"/>
        </w:rPr>
        <w:t xml:space="preserve">The National Interest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No. 16, pp. 3-18</w:t>
      </w:r>
    </w:p>
    <w:p w:rsidR="00000000" w:rsidDel="00000000" w:rsidP="00000000" w:rsidRDefault="00000000" w:rsidRPr="00000000" w14:paraId="00000029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להעמקה</w:t>
      </w:r>
    </w:p>
    <w:p w:rsidR="00000000" w:rsidDel="00000000" w:rsidP="00000000" w:rsidRDefault="00000000" w:rsidRPr="00000000" w14:paraId="0000002A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Lionel Barber, Henry Foy &amp; Alex Barker, Vladimir Putin says liberalism has ‘become obsolete’, Financial Times, June 2019</w:t>
      </w:r>
    </w:p>
    <w:p w:rsidR="00000000" w:rsidDel="00000000" w:rsidP="00000000" w:rsidRDefault="00000000" w:rsidRPr="00000000" w14:paraId="0000002B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Samuel P. Huntington. 1993. "The Clash of Civilizations?"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0"/>
        </w:rPr>
        <w:t xml:space="preserve">Foreign Affairs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Vol. 72, No. 3, pp. 22-49</w:t>
      </w:r>
    </w:p>
    <w:p w:rsidR="00000000" w:rsidDel="00000000" w:rsidP="00000000" w:rsidRDefault="00000000" w:rsidRPr="00000000" w14:paraId="0000002D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להרחבה</w:t>
      </w:r>
    </w:p>
    <w:p w:rsidR="00000000" w:rsidDel="00000000" w:rsidP="00000000" w:rsidRDefault="00000000" w:rsidRPr="00000000" w14:paraId="0000002E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ושמואל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חרל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2019.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נלחמים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ההיסטוריה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'",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INSS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hyperlink r:id="rId10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בעברית</w:t>
        </w:r>
      </w:hyperlink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2F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2020. "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והמזרח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התיכון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באפריל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2021 –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תרחישים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INSS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hyperlink r:id="rId11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בעברית</w:t>
        </w:r>
      </w:hyperlink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  <w:hyperlink r:id="rId12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ובאנגלית</w:t>
        </w:r>
      </w:hyperlink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30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jc w:val="both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מפגש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שלישי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גיאו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פוליטיקה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והמערכת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האזורית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032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השיעור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נעסוק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בשאלת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החשיבות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הגיאוגרפיה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סוגיות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בתחום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הבטל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ונדון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במושג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האזורית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נבחן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מזווית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בטל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המתרחש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הנוכחית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במזרח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התיכון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האירועים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הדרמטיים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2011,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הטלטלה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האזורית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נמשכת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והמזרח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התיכון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ממשיך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להתאפיין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ודאות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ובנפיצות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הסכמה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רחבה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חוקרים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ומשקיפים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שלפיה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במשבר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משמעויות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היסטוריות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ובמאבק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סוער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דמותו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מאבק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ממשיך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מרחבים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מגוונים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האזורי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ארבעה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העוינים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ונאבקים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ושרידות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השליטים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במדינות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הסובל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נפתרו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הטלטלה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הועצמו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3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חובת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</w:p>
    <w:p w:rsidR="00000000" w:rsidDel="00000000" w:rsidP="00000000" w:rsidRDefault="00000000" w:rsidRPr="00000000" w14:paraId="00000034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אבינרי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2017.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פתח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וינקלר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עורכים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הגל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השלישי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מחאה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ומהפכה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במזרח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התיכון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ירושלים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הוצאת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כרמל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22-11.</w:t>
      </w:r>
    </w:p>
    <w:p w:rsidR="00000000" w:rsidDel="00000000" w:rsidP="00000000" w:rsidRDefault="00000000" w:rsidRPr="00000000" w14:paraId="00000035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0"/>
        </w:rPr>
        <w:t xml:space="preserve">For international students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36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Avineri Shlomo. 2012. "The Arab Springtime of Nations?"</w:t>
      </w:r>
      <w:r w:rsidDel="00000000" w:rsidR="00000000" w:rsidRPr="00000000">
        <w:rPr>
          <w:rtl w:val="0"/>
        </w:rPr>
        <w:t xml:space="preserve"> </w:t>
      </w:r>
      <w:hyperlink r:id="rId13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0"/>
          </w:rPr>
          <w:t xml:space="preserve">https://www.project-syndicate.org/commentary/the-arab-springtime-of-nations?barrier=accesspaylog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להעמקה</w:t>
      </w:r>
    </w:p>
    <w:p w:rsidR="00000000" w:rsidDel="00000000" w:rsidP="00000000" w:rsidRDefault="00000000" w:rsidRPr="00000000" w14:paraId="00000038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ארנון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2011.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גיאו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אסטרטגיה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אצל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עמידרור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יעקב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(.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מבוא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לביטחון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לאומי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משרד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106-116. </w:t>
      </w:r>
    </w:p>
    <w:p w:rsidR="00000000" w:rsidDel="00000000" w:rsidP="00000000" w:rsidRDefault="00000000" w:rsidRPr="00000000" w14:paraId="00000039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להרחבה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3A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פוייר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ואיתי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חימיניס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2019.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הטלטלה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מתחרות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המציאות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הנוכחית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במזרח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התיכון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INSS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hyperlink r:id="rId14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בעברית</w:t>
        </w:r>
      </w:hyperlink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  <w:hyperlink r:id="rId15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ובאנגלית</w:t>
        </w:r>
      </w:hyperlink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3B">
      <w:pPr>
        <w:bidi w:val="1"/>
        <w:jc w:val="both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מפגש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רביעי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צורות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חשיבה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ותהליכי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קבלת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החלטות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3C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במפגש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נכנס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חדרי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ולראשם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האנשים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שעוסקים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ולמעשה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במלאכה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שנכיר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תפיסות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והנחות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לעיתים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מפורשות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בנוגע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ליכולת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המציאות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אפיסטמולוגיות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נבחין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מטפורות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ובעיות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שחמט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קוביה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הונגרית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נעסוק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בהבחנה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תעלומות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וננתח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מושכלת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בנוגע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לבעיות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מורכבות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ולהתכוננות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לעתיד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בתחום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הבטל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בתרחישים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שנכיר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מודלים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תהליכי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קבלת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החלטות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טיפוסיים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ומאפיינים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קבוצתית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D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חובת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</w:p>
    <w:p w:rsidR="00000000" w:rsidDel="00000000" w:rsidP="00000000" w:rsidRDefault="00000000" w:rsidRPr="00000000" w14:paraId="0000003E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רוברטה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וולשטטר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1979.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לקחי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ציקלון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4,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16-4</w:t>
      </w:r>
    </w:p>
    <w:p w:rsidR="00000000" w:rsidDel="00000000" w:rsidP="00000000" w:rsidRDefault="00000000" w:rsidRPr="00000000" w14:paraId="0000003F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0"/>
        </w:rPr>
        <w:t xml:space="preserve">For international students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40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Wohlstetter, Roberta. Pearl Harbor: warning and decision. Stanford, Ca.: Stanford University Press, 1962, pp. 1-3, 382-401</w:t>
      </w:r>
    </w:p>
    <w:p w:rsidR="00000000" w:rsidDel="00000000" w:rsidP="00000000" w:rsidRDefault="00000000" w:rsidRPr="00000000" w14:paraId="00000041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להעמקה</w:t>
      </w:r>
    </w:p>
    <w:p w:rsidR="00000000" w:rsidDel="00000000" w:rsidP="00000000" w:rsidRDefault="00000000" w:rsidRPr="00000000" w14:paraId="00000042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Joseph Nye. 1994. "Peering into the future."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0"/>
        </w:rPr>
        <w:t xml:space="preserve">Foreign Affairs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Vol. 73 Issue 4: 82-93.</w:t>
      </w:r>
    </w:p>
    <w:p w:rsidR="00000000" w:rsidDel="00000000" w:rsidP="00000000" w:rsidRDefault="00000000" w:rsidRPr="00000000" w14:paraId="00000043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Tversky, A., Kahneman, D. 1992. "Advances in prospect theory: Cumulative representation of uncertainty."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0"/>
        </w:rPr>
        <w:t xml:space="preserve">J Risk Uncertainty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5,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297–323. </w:t>
      </w:r>
    </w:p>
    <w:p w:rsidR="00000000" w:rsidDel="00000000" w:rsidP="00000000" w:rsidRDefault="00000000" w:rsidRPr="00000000" w14:paraId="00000044">
      <w:pPr>
        <w:bidi w:val="1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להרחבה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45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2018.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גישות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למחקר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המודיעיני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בעידן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פוסט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'".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יוסי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קופרווסר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ודודי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עורכים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מודיעין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גיליון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3) –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דאטה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ומודיעין</w:t>
      </w:r>
    </w:p>
    <w:p w:rsidR="00000000" w:rsidDel="00000000" w:rsidP="00000000" w:rsidRDefault="00000000" w:rsidRPr="00000000" w14:paraId="00000046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Itai Brun. 2018. Intelligence Analysis - Understanding Reality in an Era of Dramatic Changes. pp. 57-66</w:t>
      </w:r>
    </w:p>
    <w:p w:rsidR="00000000" w:rsidDel="00000000" w:rsidP="00000000" w:rsidRDefault="00000000" w:rsidRPr="00000000" w14:paraId="00000047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1981.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ההפתעה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הבסיסית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מודיעין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במשבר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75-40</w:t>
      </w:r>
    </w:p>
    <w:p w:rsidR="00000000" w:rsidDel="00000000" w:rsidP="00000000" w:rsidRDefault="00000000" w:rsidRPr="00000000" w14:paraId="00000048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jc w:val="both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מפגש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חמישי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אמת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פוסט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אמת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ותחושת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המציאות</w:t>
      </w:r>
    </w:p>
    <w:p w:rsidR="00000000" w:rsidDel="00000000" w:rsidP="00000000" w:rsidRDefault="00000000" w:rsidRPr="00000000" w14:paraId="0000004A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במפגש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החמישי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נתמודד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הסוגיות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בימינו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היחס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המשתנה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הרעיון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אמיתות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שאפשר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משהו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מוסמך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ומשמעותי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נעסוק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בהתפתחות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תרבות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חוסר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וזלזול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בגורמים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תיווכחו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הרחב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אמיתות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חשובות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שמכונה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האחרונות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פוסט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שניווכח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מטפיסי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גרידא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תרבותי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ופוליטי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נבחן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השאלות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העידן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פוסט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Post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Truth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ופייק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ניוז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Fake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News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נמצאים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שיבש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המנגנונים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המסורתיים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המציאות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בתחום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מנגנונים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מסוגלים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להבחין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ספינים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ומאמצי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עובדות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מקבלי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ההחלטות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ממשיכים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בניתוח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המקצועי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מבוסס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העובדות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הבסיס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לקבלת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ההחלטות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4B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חובת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</w:p>
    <w:p w:rsidR="00000000" w:rsidDel="00000000" w:rsidP="00000000" w:rsidRDefault="00000000" w:rsidRPr="00000000" w14:paraId="0000004C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Hayden Michael. 2018. 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0"/>
        </w:rPr>
        <w:t xml:space="preserve">The Assault on Intelligence: American National Security in An Age of Lies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, pp 1-11</w:t>
      </w:r>
    </w:p>
    <w:p w:rsidR="00000000" w:rsidDel="00000000" w:rsidP="00000000" w:rsidRDefault="00000000" w:rsidRPr="00000000" w14:paraId="0000004D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להעמקה</w:t>
      </w:r>
    </w:p>
    <w:p w:rsidR="00000000" w:rsidDel="00000000" w:rsidP="00000000" w:rsidRDefault="00000000" w:rsidRPr="00000000" w14:paraId="0000004E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Clapper James with Trey Brown (2018), Fact and Fears: Hard Truths from a Life in Intelligence, pp 1-4, 397-400</w:t>
      </w:r>
    </w:p>
    <w:p w:rsidR="00000000" w:rsidDel="00000000" w:rsidP="00000000" w:rsidRDefault="00000000" w:rsidRPr="00000000" w14:paraId="0000004F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להרחבה</w:t>
      </w:r>
    </w:p>
    <w:p w:rsidR="00000000" w:rsidDel="00000000" w:rsidP="00000000" w:rsidRDefault="00000000" w:rsidRPr="00000000" w14:paraId="00000050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ומיכל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רויטמן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2019.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בעידן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פוסט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ופייק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ניוז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INSS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hyperlink r:id="rId16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בעברית</w:t>
        </w:r>
      </w:hyperlink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  <w:hyperlink r:id="rId17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ובאנגלית</w:t>
        </w:r>
      </w:hyperlink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51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ברגר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ואיתי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2020.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לטראמפ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הנשיא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וקהילת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המודיעין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האמריקאית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INSS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hyperlink r:id="rId18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בעברית</w:t>
        </w:r>
      </w:hyperlink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  <w:hyperlink r:id="rId19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ובאנגלית</w:t>
        </w:r>
      </w:hyperlink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52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jc w:val="both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מפגש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שישי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כלכלה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פוליטית</w:t>
      </w:r>
    </w:p>
    <w:p w:rsidR="00000000" w:rsidDel="00000000" w:rsidP="00000000" w:rsidRDefault="00000000" w:rsidRPr="00000000" w14:paraId="00000055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שבחנו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סוגיות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אפיסטמולוגיות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ופוליטיות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וכיצד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קשורות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יחדיו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ומשפיעות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בצורות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בטל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במפגש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היסודות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התחום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הכלכלה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הפוליטית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מטרתנו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להניח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התשתית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התיאורטית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לחשיבה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התחום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האתגרים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שכלכלה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מתמודדת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ומדוע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סוגיית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6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חובת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</w:p>
    <w:p w:rsidR="00000000" w:rsidDel="00000000" w:rsidP="00000000" w:rsidRDefault="00000000" w:rsidRPr="00000000" w14:paraId="00000057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היילברונר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רוברט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2012.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הפילוסופים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הארציים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ירושלים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הקדמה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58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0"/>
        </w:rPr>
        <w:t xml:space="preserve">For international students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9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Heilbroner, Robert, L. 1999.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0"/>
        </w:rPr>
        <w:t xml:space="preserve">The Worldly Philosophers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Preface + Introduction/Chapters 1+2</w:t>
      </w:r>
    </w:p>
    <w:p w:rsidR="00000000" w:rsidDel="00000000" w:rsidP="00000000" w:rsidRDefault="00000000" w:rsidRPr="00000000" w14:paraId="0000005A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להעמקה</w:t>
      </w:r>
    </w:p>
    <w:p w:rsidR="00000000" w:rsidDel="00000000" w:rsidP="00000000" w:rsidRDefault="00000000" w:rsidRPr="00000000" w14:paraId="0000005C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היילברונר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רוברט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2012.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הפילוסופים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הארציים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ירושלים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שלישי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5D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Heilbroner, Robert, L. 1999.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0"/>
        </w:rPr>
        <w:t xml:space="preserve">The Worldly Philosophers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Chapter 3.</w:t>
      </w:r>
    </w:p>
    <w:p w:rsidR="00000000" w:rsidDel="00000000" w:rsidP="00000000" w:rsidRDefault="00000000" w:rsidRPr="00000000" w14:paraId="0000005E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jc w:val="both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מפגש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שביעי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חברות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בנות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זמננו</w:t>
      </w:r>
    </w:p>
    <w:p w:rsidR="00000000" w:rsidDel="00000000" w:rsidP="00000000" w:rsidRDefault="00000000" w:rsidRPr="00000000" w14:paraId="00000060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בזמנו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שנודעה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הברזל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מרגרט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תאצ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הסבירה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כהלכה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התעלמו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מהתוספת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ומשפחות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אנחנו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האפשרות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ומשפחות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לחשוב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במונחים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הוליסטיים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אינדיבידואלים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לחברה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דרמטית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לעיסוק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האינטלקטואלי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והפרקטי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בסוגיות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61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חובת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</w:p>
    <w:p w:rsidR="00000000" w:rsidDel="00000000" w:rsidP="00000000" w:rsidRDefault="00000000" w:rsidRPr="00000000" w14:paraId="00000062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גידנס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אנטוני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2013.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סוציולוגיה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מהדורה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שישית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מתוקנת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ומעודכנת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בשיתוף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פיליפ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סאטון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רעננה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האוניברסיטה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הפתוחה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תיאוריות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וגישות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בסוציולוגיה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63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0"/>
        </w:rPr>
        <w:t xml:space="preserve">For international students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64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Giddens Anthony And Philip W Sutton. 2001.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0"/>
        </w:rPr>
        <w:t xml:space="preserve">Sociology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4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edition. Cambridge: Polity Press, chapter 1. </w:t>
      </w:r>
    </w:p>
    <w:p w:rsidR="00000000" w:rsidDel="00000000" w:rsidP="00000000" w:rsidRDefault="00000000" w:rsidRPr="00000000" w14:paraId="00000065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להעמקה</w:t>
      </w:r>
    </w:p>
    <w:p w:rsidR="00000000" w:rsidDel="00000000" w:rsidP="00000000" w:rsidRDefault="00000000" w:rsidRPr="00000000" w14:paraId="00000066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יעלון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2017.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רכיבים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פנימיים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החוסן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המכון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למחקרי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7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0"/>
        </w:rPr>
        <w:t xml:space="preserve">For international students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68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Canetti, D., Waismel-Manor, I., Cohen, N., &amp; Rapaport, C. (2014). What Does National Resilience Mean in a Democracy? Evidence from the United States and Israel.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0"/>
        </w:rPr>
        <w:t xml:space="preserve">Armed Forces &amp; Society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0"/>
        </w:rPr>
        <w:t xml:space="preserve">40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(3), 504–520</w:t>
      </w:r>
    </w:p>
    <w:p w:rsidR="00000000" w:rsidDel="00000000" w:rsidP="00000000" w:rsidRDefault="00000000" w:rsidRPr="00000000" w14:paraId="00000069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להרחבה</w:t>
      </w:r>
    </w:p>
    <w:p w:rsidR="00000000" w:rsidDel="00000000" w:rsidP="00000000" w:rsidRDefault="00000000" w:rsidRPr="00000000" w14:paraId="0000006A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Christian and Spiekermann Kai. 2013. "Methodological Individualism and Holism in Political Science: A Reconciliation."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0"/>
        </w:rPr>
        <w:t xml:space="preserve">The American Political Science Review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Vol. 107, No. 4, pp. 629-643.</w:t>
      </w:r>
    </w:p>
    <w:p w:rsidR="00000000" w:rsidDel="00000000" w:rsidP="00000000" w:rsidRDefault="00000000" w:rsidRPr="00000000" w14:paraId="0000006B">
      <w:pPr>
        <w:bidi w:val="1"/>
        <w:jc w:val="both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מפגש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שמיני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משטר</w:t>
      </w:r>
    </w:p>
    <w:p w:rsidR="00000000" w:rsidDel="00000000" w:rsidP="00000000" w:rsidRDefault="00000000" w:rsidRPr="00000000" w14:paraId="0000006C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המשטר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התצורה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המוסדית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ארגון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העוצמה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כגון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שיטת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הבחירות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והפרדת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הרשויות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המשטר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העתיקה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הפוליטיאה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שמכונן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בחברה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וההיגיון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שמנחה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הגורמים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שמרכיבים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נורמות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התנהגות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ודפוסי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הנוגעים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להפעלת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עוצמה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לזהות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ביחס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סדירות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וחזרתיות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נעסוק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במפגש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השמיני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בסוגיות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קונקרטיות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הנוגעות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המשטר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בימינו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בדמוקרטיה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הליברלית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הפופוליזם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והשפעות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המשטר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6D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חובת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</w:p>
    <w:p w:rsidR="00000000" w:rsidDel="00000000" w:rsidP="00000000" w:rsidRDefault="00000000" w:rsidRPr="00000000" w14:paraId="0000006E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מולר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יאן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ורנר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2018.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דמוקרטיה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ליברלית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."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F">
      <w:pPr>
        <w:bidi w:val="1"/>
        <w:jc w:val="right"/>
        <w:rPr>
          <w:rFonts w:ascii="David" w:cs="David" w:eastAsia="David" w:hAnsi="David"/>
          <w:color w:val="0563c1"/>
          <w:sz w:val="24"/>
          <w:szCs w:val="24"/>
          <w:u w:val="single"/>
        </w:rPr>
      </w:pPr>
      <w:hyperlink r:id="rId20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0"/>
          </w:rPr>
          <w:t xml:space="preserve">https://www.haaretz.co.il/hazmanhazeh/MAGAZINE-1.6171442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0"/>
        </w:rPr>
        <w:t xml:space="preserve">For international students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Müller Jan‐Werner. 2015. "Should the EU Protect Democracy and the Rule of Law inside Member States?" </w:t>
      </w:r>
      <w:r w:rsidDel="00000000" w:rsidR="00000000" w:rsidRPr="00000000">
        <w:rPr>
          <w:i w:val="1"/>
          <w:sz w:val="24"/>
          <w:szCs w:val="24"/>
          <w:rtl w:val="0"/>
        </w:rPr>
        <w:t xml:space="preserve">European Law Journal</w:t>
      </w:r>
      <w:r w:rsidDel="00000000" w:rsidR="00000000" w:rsidRPr="00000000">
        <w:rPr>
          <w:sz w:val="24"/>
          <w:szCs w:val="24"/>
          <w:rtl w:val="0"/>
        </w:rPr>
        <w:t xml:space="preserve"> 21(2): 141-160. </w:t>
      </w:r>
    </w:p>
    <w:p w:rsidR="00000000" w:rsidDel="00000000" w:rsidP="00000000" w:rsidRDefault="00000000" w:rsidRPr="00000000" w14:paraId="00000072">
      <w:pPr>
        <w:bidi w:val="1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להעמקה</w:t>
      </w:r>
    </w:p>
    <w:p w:rsidR="00000000" w:rsidDel="00000000" w:rsidP="00000000" w:rsidRDefault="00000000" w:rsidRPr="00000000" w14:paraId="00000074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Green, Jeffrey. 2015. "On the Co-originality of Liberalism and Democracy: Rationalist vs. Paradoxicalist Perspectives."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0"/>
        </w:rPr>
        <w:t xml:space="preserve">Law, Culture and the Humanities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(2): 198–217.</w:t>
      </w:r>
    </w:p>
    <w:p w:rsidR="00000000" w:rsidDel="00000000" w:rsidP="00000000" w:rsidRDefault="00000000" w:rsidRPr="00000000" w14:paraId="00000075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jc w:val="both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מפגש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תשיעי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מדינאות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ודיפלומטיה</w:t>
      </w:r>
    </w:p>
    <w:p w:rsidR="00000000" w:rsidDel="00000000" w:rsidP="00000000" w:rsidRDefault="00000000" w:rsidRPr="00000000" w14:paraId="00000077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ודיפלומטיה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מהיסודות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הידועים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והמוכרים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רובנו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יודעים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במפגש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התשיעי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נפגש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להסיר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במקצת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החשאיות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שאופף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ונבקש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דיפלומטיה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בחלק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המפגש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נברר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אמפירי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דיפלומטיה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דמויות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שנסיבות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דרמטיות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הפגישו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ביניהן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במישרין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בעקיפין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אנואר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סאדאת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גולדה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והנרי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קיסינג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78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חובת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</w:p>
    <w:p w:rsidR="00000000" w:rsidDel="00000000" w:rsidP="00000000" w:rsidRDefault="00000000" w:rsidRPr="00000000" w14:paraId="00000079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אנוואר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סאדאת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1978.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חיי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252-250.</w:t>
      </w:r>
    </w:p>
    <w:p w:rsidR="00000000" w:rsidDel="00000000" w:rsidP="00000000" w:rsidRDefault="00000000" w:rsidRPr="00000000" w14:paraId="0000007A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0"/>
        </w:rPr>
        <w:t xml:space="preserve">For international students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B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Sadat, Anwar. 1978. In Search of Identity: An Autobiography. New York: Harper, pp. 325-327</w:t>
      </w:r>
    </w:p>
    <w:p w:rsidR="00000000" w:rsidDel="00000000" w:rsidP="00000000" w:rsidRDefault="00000000" w:rsidRPr="00000000" w14:paraId="0000007C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להעמקה</w:t>
      </w:r>
    </w:p>
    <w:p w:rsidR="00000000" w:rsidDel="00000000" w:rsidP="00000000" w:rsidRDefault="00000000" w:rsidRPr="00000000" w14:paraId="0000007D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2013.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ההיסטוריוגרפיה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מלחמת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הכיפורים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מחודש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במחדל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המבצעי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והמדיני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עיונים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בתקומת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23,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33-1.</w:t>
      </w:r>
    </w:p>
    <w:p w:rsidR="00000000" w:rsidDel="00000000" w:rsidP="00000000" w:rsidRDefault="00000000" w:rsidRPr="00000000" w14:paraId="0000007E">
      <w:pPr>
        <w:bidi w:val="1"/>
        <w:jc w:val="both"/>
        <w:rPr>
          <w:rFonts w:ascii="David" w:cs="David" w:eastAsia="David" w:hAnsi="David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0"/>
        </w:rPr>
        <w:t xml:space="preserve">For international students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F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Bar-Joseph Uri. 2012. "Review: Confronting the Intelligence Fiasco of the Yom Kippur War."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0"/>
        </w:rPr>
        <w:t xml:space="preserve">Bustan: The Middle East Book Review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, Vol. 3, No. 2:131-149.</w:t>
      </w:r>
    </w:p>
    <w:p w:rsidR="00000000" w:rsidDel="00000000" w:rsidP="00000000" w:rsidRDefault="00000000" w:rsidRPr="00000000" w14:paraId="00000080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להרחבה</w:t>
      </w:r>
    </w:p>
    <w:p w:rsidR="00000000" w:rsidDel="00000000" w:rsidP="00000000" w:rsidRDefault="00000000" w:rsidRPr="00000000" w14:paraId="00000081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קיפניס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יגאל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2012.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1973 –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1"/>
        </w:rPr>
        <w:t xml:space="preserve">למלחמה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18-9</w:t>
      </w:r>
    </w:p>
    <w:p w:rsidR="00000000" w:rsidDel="00000000" w:rsidP="00000000" w:rsidRDefault="00000000" w:rsidRPr="00000000" w14:paraId="00000082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jc w:val="both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מפגש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עשירי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ואחד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עשר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לאומית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בעידן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המידע</w:t>
      </w:r>
    </w:p>
    <w:p w:rsidR="00000000" w:rsidDel="00000000" w:rsidP="00000000" w:rsidRDefault="00000000" w:rsidRPr="00000000" w14:paraId="00000084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מקובל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להניח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שהמלחמה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ובראשונה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תקופתית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ובמידה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הדימוי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הכללי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מקבלי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ההחלטות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במערכת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הצבאית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המלחמה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ארוכה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המלחמה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שאפיינה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המודרנית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בדימוי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המלחמה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המודרנית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טוטלית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בעוצמתה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תעשייתית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באופייה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התנהלה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לתכלית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מובהקת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ותוצאתה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משמעית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למאפיינים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התווספה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תפיסה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מגובשת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הכרעה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צבאית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שהמרכיבים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העיקריים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הרעיונות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שהפכו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לאוניברסליים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בעניין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כיבוש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שטחו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והשמדת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ניצחון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השאיפה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להשיג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הכרעה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משמעית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המתמרן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היבשה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כמייצג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המובהק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הכרעה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ההפרדה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הברורה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החזית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לעורף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מושג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הגבול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מאפיינים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מובהקים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מלחמות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מסוג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שמיקמו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ההגנה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הלאומית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במרכז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הבטל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השיעורים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במאפייניה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המלחמה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בהשלכות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עידן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בתפיסות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שחקנים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אודותיה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ובהשלכות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השינויים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ההגנה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הלאומית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הבטל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85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חובת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</w:p>
    <w:p w:rsidR="00000000" w:rsidDel="00000000" w:rsidP="00000000" w:rsidRDefault="00000000" w:rsidRPr="00000000" w14:paraId="00000086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לוטוואק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אדוארד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2001.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מלחמה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פוסט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הרואית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מערכות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גיליון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375-374,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פברואר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2001,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 4</w:t>
      </w:r>
    </w:p>
    <w:p w:rsidR="00000000" w:rsidDel="00000000" w:rsidP="00000000" w:rsidRDefault="00000000" w:rsidRPr="00000000" w14:paraId="00000087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0"/>
        </w:rPr>
        <w:t xml:space="preserve">For international students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89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Edward N. Luttwak . 1995. “Toward Post-Heroic Warfare”, </w:t>
      </w:r>
      <w:r w:rsidDel="00000000" w:rsidR="00000000" w:rsidRPr="00000000">
        <w:rPr>
          <w:rFonts w:ascii="David" w:cs="David" w:eastAsia="David" w:hAnsi="David"/>
          <w:i w:val="1"/>
          <w:sz w:val="24"/>
          <w:szCs w:val="24"/>
          <w:rtl w:val="0"/>
        </w:rPr>
        <w:t xml:space="preserve">Foreign Affairs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, May/June 1995</w:t>
      </w:r>
    </w:p>
    <w:p w:rsidR="00000000" w:rsidDel="00000000" w:rsidP="00000000" w:rsidRDefault="00000000" w:rsidRPr="00000000" w14:paraId="0000008A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להרחבה</w:t>
      </w:r>
    </w:p>
    <w:p w:rsidR="00000000" w:rsidDel="00000000" w:rsidP="00000000" w:rsidRDefault="00000000" w:rsidRPr="00000000" w14:paraId="0000008B">
      <w:pPr>
        <w:bidi w:val="1"/>
        <w:jc w:val="both"/>
        <w:rPr>
          <w:rFonts w:ascii="David" w:cs="David" w:eastAsia="David" w:hAnsi="David"/>
          <w:sz w:val="24"/>
          <w:szCs w:val="24"/>
        </w:rPr>
      </w:pPr>
      <w:hyperlink r:id="rId21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ברון</w:t>
        </w:r>
      </w:hyperlink>
      <w:hyperlink r:id="rId22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, </w:t>
        </w:r>
      </w:hyperlink>
      <w:hyperlink r:id="rId23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איתי</w:t>
        </w:r>
      </w:hyperlink>
      <w:hyperlink r:id="rId24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 </w:t>
        </w:r>
      </w:hyperlink>
      <w:hyperlink r:id="rId25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כרמית</w:t>
        </w:r>
      </w:hyperlink>
      <w:hyperlink r:id="rId26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 </w:t>
        </w:r>
      </w:hyperlink>
      <w:hyperlink r:id="rId27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ולנסי</w:t>
        </w:r>
      </w:hyperlink>
      <w:hyperlink r:id="rId28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 (2010), "</w:t>
        </w:r>
      </w:hyperlink>
      <w:hyperlink r:id="rId29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המהפכה</w:t>
        </w:r>
      </w:hyperlink>
      <w:hyperlink r:id="rId30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 </w:t>
        </w:r>
      </w:hyperlink>
      <w:hyperlink r:id="rId31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בעניינים</w:t>
        </w:r>
      </w:hyperlink>
      <w:hyperlink r:id="rId32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 </w:t>
        </w:r>
      </w:hyperlink>
      <w:hyperlink r:id="rId33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צבאיים</w:t>
        </w:r>
      </w:hyperlink>
      <w:hyperlink r:id="rId34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 </w:t>
        </w:r>
      </w:hyperlink>
      <w:hyperlink r:id="rId35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של</w:t>
        </w:r>
      </w:hyperlink>
      <w:hyperlink r:id="rId36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 </w:t>
        </w:r>
      </w:hyperlink>
      <w:hyperlink r:id="rId37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הציר</w:t>
        </w:r>
      </w:hyperlink>
      <w:hyperlink r:id="rId38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 </w:t>
        </w:r>
      </w:hyperlink>
      <w:hyperlink r:id="rId39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הרדיקלי</w:t>
        </w:r>
      </w:hyperlink>
      <w:hyperlink r:id="rId40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", </w:t>
        </w:r>
      </w:hyperlink>
      <w:hyperlink r:id="rId41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מערכות</w:t>
        </w:r>
      </w:hyperlink>
      <w:hyperlink r:id="rId42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 432, </w:t>
        </w:r>
      </w:hyperlink>
      <w:hyperlink r:id="rId43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עמ</w:t>
        </w:r>
      </w:hyperlink>
      <w:hyperlink r:id="rId44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1"/>
          </w:rPr>
          <w:t xml:space="preserve">' 17-4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0"/>
        </w:rPr>
        <w:t xml:space="preserve">For international students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8D">
      <w:pPr>
        <w:bidi w:val="1"/>
        <w:jc w:val="both"/>
        <w:rPr>
          <w:rFonts w:ascii="David" w:cs="David" w:eastAsia="David" w:hAnsi="David"/>
          <w:sz w:val="24"/>
          <w:szCs w:val="24"/>
        </w:rPr>
      </w:pPr>
      <w:hyperlink r:id="rId45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0"/>
          </w:rPr>
          <w:t xml:space="preserve">Brun, Itai. "‘While You’re Busy Making Other Plans’: The ‘Other RMA’". </w:t>
        </w:r>
      </w:hyperlink>
      <w:hyperlink r:id="rId46">
        <w:r w:rsidDel="00000000" w:rsidR="00000000" w:rsidRPr="00000000">
          <w:rPr>
            <w:rFonts w:ascii="David" w:cs="David" w:eastAsia="David" w:hAnsi="David"/>
            <w:i w:val="1"/>
            <w:color w:val="0563c1"/>
            <w:sz w:val="24"/>
            <w:szCs w:val="24"/>
            <w:u w:val="single"/>
            <w:rtl w:val="0"/>
          </w:rPr>
          <w:t xml:space="preserve">Journal of Strategic Studies </w:t>
        </w:r>
      </w:hyperlink>
      <w:hyperlink r:id="rId47">
        <w:r w:rsidDel="00000000" w:rsidR="00000000" w:rsidRPr="00000000">
          <w:rPr>
            <w:rFonts w:ascii="David" w:cs="David" w:eastAsia="David" w:hAnsi="David"/>
            <w:color w:val="0563c1"/>
            <w:sz w:val="24"/>
            <w:szCs w:val="24"/>
            <w:u w:val="single"/>
            <w:rtl w:val="0"/>
          </w:rPr>
          <w:t xml:space="preserve">33, no. 4 (2010): 535–65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jc w:val="both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מפגש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עשר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מגיפת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וירוס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הקורונה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פרזנטציות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בכיתה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8F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המפגש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יוקדש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לפרזנטציות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בכיתה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בנושא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מגיפת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הקורונה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90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הכיתה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המשתתפים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מתבקשים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לסיים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המצגת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ולהביאה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לשיעור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91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bidi w:val="1"/>
        <w:jc w:val="both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מפגש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שלושה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עשר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ביטחון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במאה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העשרים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ואחת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לאן</w:t>
      </w:r>
      <w:r w:rsidDel="00000000" w:rsidR="00000000" w:rsidRPr="00000000">
        <w:rPr>
          <w:rFonts w:ascii="David" w:cs="David" w:eastAsia="David" w:hAnsi="David"/>
          <w:sz w:val="28"/>
          <w:szCs w:val="28"/>
          <w:u w:val="single"/>
          <w:rtl w:val="1"/>
        </w:rPr>
        <w:t xml:space="preserve">? </w:t>
      </w:r>
    </w:p>
    <w:p w:rsidR="00000000" w:rsidDel="00000000" w:rsidP="00000000" w:rsidRDefault="00000000" w:rsidRPr="00000000" w14:paraId="00000093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המסע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המשותף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בתחום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הבטל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שנסכם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עיקרי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הדברים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שלמדנו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שנעמוד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ונחדד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ההמשכיות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והשינוי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במציאות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והעיסוק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האינטלקטואלי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הבטל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נבקש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לברר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האתגרים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החדשים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שניצבים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בפתחינו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העתיד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בתחום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מורכב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ומגוון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94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חובת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</w:p>
    <w:p w:rsidR="00000000" w:rsidDel="00000000" w:rsidP="00000000" w:rsidRDefault="00000000" w:rsidRPr="00000000" w14:paraId="00000095">
      <w:pPr>
        <w:bidi w:val="1"/>
        <w:jc w:val="both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עמידרור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יעקב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2020.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תפיסת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hyperlink r:id="rId48">
        <w:r w:rsidDel="00000000" w:rsidR="00000000" w:rsidRPr="00000000">
          <w:rPr>
            <w:rFonts w:ascii="David" w:cs="David" w:eastAsia="David" w:hAnsi="David"/>
            <w:color w:val="0563c1"/>
            <w:u w:val="single"/>
            <w:rtl w:val="0"/>
          </w:rPr>
          <w:t xml:space="preserve">https://www.idf.il/115082/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bidi w:val="1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להעמקה</w:t>
      </w:r>
    </w:p>
    <w:p w:rsidR="00000000" w:rsidDel="00000000" w:rsidP="00000000" w:rsidRDefault="00000000" w:rsidRPr="00000000" w14:paraId="00000097">
      <w:pPr>
        <w:bidi w:val="1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....</w:t>
      </w:r>
    </w:p>
    <w:sectPr>
      <w:pgSz w:h="16838" w:w="11906"/>
      <w:pgMar w:bottom="1440" w:top="1440" w:left="1440" w:right="1440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avi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maarachot.idf.il/PDF/FILES/4/112464.pdf" TargetMode="External"/><Relationship Id="rId20" Type="http://schemas.openxmlformats.org/officeDocument/2006/relationships/hyperlink" Target="https://www.haaretz.co.il/hazmanhazeh/MAGAZINE-1.6171442" TargetMode="External"/><Relationship Id="rId42" Type="http://schemas.openxmlformats.org/officeDocument/2006/relationships/hyperlink" Target="http://maarachot.idf.il/PDF/FILES/4/112464.pdf" TargetMode="External"/><Relationship Id="rId41" Type="http://schemas.openxmlformats.org/officeDocument/2006/relationships/hyperlink" Target="http://maarachot.idf.il/PDF/FILES/4/112464.pdf" TargetMode="External"/><Relationship Id="rId22" Type="http://schemas.openxmlformats.org/officeDocument/2006/relationships/hyperlink" Target="http://maarachot.idf.il/PDF/FILES/4/112464.pdf" TargetMode="External"/><Relationship Id="rId44" Type="http://schemas.openxmlformats.org/officeDocument/2006/relationships/hyperlink" Target="http://maarachot.idf.il/PDF/FILES/4/112464.pdf" TargetMode="External"/><Relationship Id="rId21" Type="http://schemas.openxmlformats.org/officeDocument/2006/relationships/hyperlink" Target="http://maarachot.idf.il/PDF/FILES/4/112464.pdf" TargetMode="External"/><Relationship Id="rId43" Type="http://schemas.openxmlformats.org/officeDocument/2006/relationships/hyperlink" Target="http://maarachot.idf.il/PDF/FILES/4/112464.pdf" TargetMode="External"/><Relationship Id="rId24" Type="http://schemas.openxmlformats.org/officeDocument/2006/relationships/hyperlink" Target="http://maarachot.idf.il/PDF/FILES/4/112464.pdf" TargetMode="External"/><Relationship Id="rId46" Type="http://schemas.openxmlformats.org/officeDocument/2006/relationships/hyperlink" Target="https://www.tandfonline.com/doi/pdf/10.1080/01402390.2010.489708?needAccess=true" TargetMode="External"/><Relationship Id="rId23" Type="http://schemas.openxmlformats.org/officeDocument/2006/relationships/hyperlink" Target="http://maarachot.idf.il/PDF/FILES/4/112464.pdf" TargetMode="External"/><Relationship Id="rId45" Type="http://schemas.openxmlformats.org/officeDocument/2006/relationships/hyperlink" Target="https://www.tandfonline.com/doi/pdf/10.1080/01402390.2010.489708?needAccess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s.org.il/publication/foreign-influence-political-discourse-new-strategic-challenge/" TargetMode="External"/><Relationship Id="rId26" Type="http://schemas.openxmlformats.org/officeDocument/2006/relationships/hyperlink" Target="http://maarachot.idf.il/PDF/FILES/4/112464.pdf" TargetMode="External"/><Relationship Id="rId48" Type="http://schemas.openxmlformats.org/officeDocument/2006/relationships/hyperlink" Target="https://www.idf.il/115082/" TargetMode="External"/><Relationship Id="rId25" Type="http://schemas.openxmlformats.org/officeDocument/2006/relationships/hyperlink" Target="http://maarachot.idf.il/PDF/FILES/4/112464.pdf" TargetMode="External"/><Relationship Id="rId47" Type="http://schemas.openxmlformats.org/officeDocument/2006/relationships/hyperlink" Target="https://www.tandfonline.com/doi/pdf/10.1080/01402390.2010.489708?needAccess=true" TargetMode="External"/><Relationship Id="rId28" Type="http://schemas.openxmlformats.org/officeDocument/2006/relationships/hyperlink" Target="http://maarachot.idf.il/PDF/FILES/4/112464.pdf" TargetMode="External"/><Relationship Id="rId27" Type="http://schemas.openxmlformats.org/officeDocument/2006/relationships/hyperlink" Target="http://maarachot.idf.il/PDF/FILES/4/112464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inss.org.il/he/publication/the-mueller-report-what-it-includes-what-it-omits-and-what-it-teaches/" TargetMode="External"/><Relationship Id="rId29" Type="http://schemas.openxmlformats.org/officeDocument/2006/relationships/hyperlink" Target="http://maarachot.idf.il/PDF/FILES/4/112464.pdf" TargetMode="External"/><Relationship Id="rId7" Type="http://schemas.openxmlformats.org/officeDocument/2006/relationships/hyperlink" Target="https://www.inss.org.il/publication/mueller-report-includes-omits-teaches/" TargetMode="External"/><Relationship Id="rId8" Type="http://schemas.openxmlformats.org/officeDocument/2006/relationships/hyperlink" Target="https://www.inss.org.il/he/publication/foreign-influence-on-political-discourse-a-new-strategic-challenge/" TargetMode="External"/><Relationship Id="rId31" Type="http://schemas.openxmlformats.org/officeDocument/2006/relationships/hyperlink" Target="http://maarachot.idf.il/PDF/FILES/4/112464.pdf" TargetMode="External"/><Relationship Id="rId30" Type="http://schemas.openxmlformats.org/officeDocument/2006/relationships/hyperlink" Target="http://maarachot.idf.il/PDF/FILES/4/112464.pdf" TargetMode="External"/><Relationship Id="rId11" Type="http://schemas.openxmlformats.org/officeDocument/2006/relationships/hyperlink" Target="https://www.inss.org.il/he/publication/the-world-in-2021/" TargetMode="External"/><Relationship Id="rId33" Type="http://schemas.openxmlformats.org/officeDocument/2006/relationships/hyperlink" Target="http://maarachot.idf.il/PDF/FILES/4/112464.pdf" TargetMode="External"/><Relationship Id="rId10" Type="http://schemas.openxmlformats.org/officeDocument/2006/relationships/hyperlink" Target="https://www.inss.org.il/he/publication/%D7%A2%D7%9C-%D7%9E%D7%94-%D7%A0%D7%9C%D7%97%D7%9E%D7%99%D7%9D-%D7%91%D7%A2%D7%95%D7%9C%D7%9D-%D7%A9%D7%9C%D7%95%D7%A9%D7%99%D7%9D-%D7%A9%D7%A0%D7%99%D7%9D-%D7%9C%D7%A7%D7%A5-%D7%94%D7%94%D7%99/" TargetMode="External"/><Relationship Id="rId32" Type="http://schemas.openxmlformats.org/officeDocument/2006/relationships/hyperlink" Target="http://maarachot.idf.il/PDF/FILES/4/112464.pdf" TargetMode="External"/><Relationship Id="rId13" Type="http://schemas.openxmlformats.org/officeDocument/2006/relationships/hyperlink" Target="https://www.project-syndicate.org/commentary/the-arab-springtime-of-nations?barrier=accesspaylog" TargetMode="External"/><Relationship Id="rId35" Type="http://schemas.openxmlformats.org/officeDocument/2006/relationships/hyperlink" Target="http://maarachot.idf.il/PDF/FILES/4/112464.pdf" TargetMode="External"/><Relationship Id="rId12" Type="http://schemas.openxmlformats.org/officeDocument/2006/relationships/hyperlink" Target="https://www.inss.org.il/publication/the-world-in-2021/" TargetMode="External"/><Relationship Id="rId34" Type="http://schemas.openxmlformats.org/officeDocument/2006/relationships/hyperlink" Target="http://maarachot.idf.il/PDF/FILES/4/112464.pdf" TargetMode="External"/><Relationship Id="rId15" Type="http://schemas.openxmlformats.org/officeDocument/2006/relationships/hyperlink" Target="https://www.inss.org.il/publication/eight-years-upheaval-alternative-approaches-understanding-current-middle-east/" TargetMode="External"/><Relationship Id="rId37" Type="http://schemas.openxmlformats.org/officeDocument/2006/relationships/hyperlink" Target="http://maarachot.idf.il/PDF/FILES/4/112464.pdf" TargetMode="External"/><Relationship Id="rId14" Type="http://schemas.openxmlformats.org/officeDocument/2006/relationships/hyperlink" Target="https://www.inss.org.il/he/publication/eight-years-after-the-upheaval-alternative-approaches-to-understanding-the-current-middle-east/" TargetMode="External"/><Relationship Id="rId36" Type="http://schemas.openxmlformats.org/officeDocument/2006/relationships/hyperlink" Target="http://maarachot.idf.il/PDF/FILES/4/112464.pdf" TargetMode="External"/><Relationship Id="rId17" Type="http://schemas.openxmlformats.org/officeDocument/2006/relationships/hyperlink" Target="https://www.inss.org.il/publication/national-security-in-the-era-of-post-truth-and-fake-news/" TargetMode="External"/><Relationship Id="rId39" Type="http://schemas.openxmlformats.org/officeDocument/2006/relationships/hyperlink" Target="http://maarachot.idf.il/PDF/FILES/4/112464.pdf" TargetMode="External"/><Relationship Id="rId16" Type="http://schemas.openxmlformats.org/officeDocument/2006/relationships/hyperlink" Target="https://www.inss.org.il/he/publication/national-security-in-the-era-of-post-truth-and-fake-news/" TargetMode="External"/><Relationship Id="rId38" Type="http://schemas.openxmlformats.org/officeDocument/2006/relationships/hyperlink" Target="http://maarachot.idf.il/PDF/FILES/4/112464.pdf" TargetMode="External"/><Relationship Id="rId19" Type="http://schemas.openxmlformats.org/officeDocument/2006/relationships/hyperlink" Target="https://www.inss.org.il/publication/speaking-the-truth-to-trump/" TargetMode="External"/><Relationship Id="rId18" Type="http://schemas.openxmlformats.org/officeDocument/2006/relationships/hyperlink" Target="https://www.inss.org.il/he/publication/speaking-the-truth-to-trum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