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CCD1B" w14:textId="77777777" w:rsidR="005A232D" w:rsidRPr="005C247A" w:rsidRDefault="005C247A" w:rsidP="005C247A">
      <w:pPr>
        <w:jc w:val="right"/>
        <w:rPr>
          <w:rFonts w:ascii="David" w:hAnsi="David" w:cs="David"/>
          <w:sz w:val="28"/>
          <w:szCs w:val="28"/>
          <w:rtl/>
        </w:rPr>
      </w:pPr>
      <w:r w:rsidRPr="005C247A">
        <w:rPr>
          <w:rFonts w:ascii="David" w:hAnsi="David" w:cs="David"/>
          <w:sz w:val="28"/>
          <w:szCs w:val="28"/>
          <w:rtl/>
        </w:rPr>
        <w:t>19.9.19</w:t>
      </w:r>
    </w:p>
    <w:p w14:paraId="51F53583" w14:textId="77777777" w:rsidR="005C247A" w:rsidRPr="007E690A" w:rsidRDefault="005C247A" w:rsidP="00B74E64">
      <w:pPr>
        <w:spacing w:line="360" w:lineRule="auto"/>
        <w:jc w:val="center"/>
        <w:rPr>
          <w:rFonts w:ascii="David" w:hAnsi="David" w:cs="David"/>
          <w:b/>
          <w:bCs/>
          <w:sz w:val="28"/>
          <w:szCs w:val="28"/>
          <w:u w:val="single"/>
          <w:rtl/>
        </w:rPr>
      </w:pPr>
      <w:r w:rsidRPr="007E690A">
        <w:rPr>
          <w:rFonts w:ascii="David" w:hAnsi="David" w:cs="David"/>
          <w:b/>
          <w:bCs/>
          <w:sz w:val="28"/>
          <w:szCs w:val="28"/>
          <w:u w:val="single"/>
          <w:rtl/>
        </w:rPr>
        <w:t xml:space="preserve">תולדות המחשבה האסטרטגית – פרופסור </w:t>
      </w:r>
      <w:r w:rsidRPr="007E690A">
        <w:rPr>
          <w:rFonts w:ascii="David" w:hAnsi="David" w:cs="David" w:hint="cs"/>
          <w:b/>
          <w:bCs/>
          <w:sz w:val="28"/>
          <w:szCs w:val="28"/>
          <w:u w:val="single"/>
          <w:rtl/>
        </w:rPr>
        <w:t xml:space="preserve">דימה </w:t>
      </w:r>
      <w:proofErr w:type="spellStart"/>
      <w:r w:rsidRPr="007E690A">
        <w:rPr>
          <w:rFonts w:ascii="David" w:hAnsi="David" w:cs="David"/>
          <w:b/>
          <w:bCs/>
          <w:sz w:val="28"/>
          <w:szCs w:val="28"/>
          <w:u w:val="single"/>
          <w:rtl/>
        </w:rPr>
        <w:t>אדמסקי</w:t>
      </w:r>
      <w:proofErr w:type="spellEnd"/>
    </w:p>
    <w:p w14:paraId="4712BEFA" w14:textId="04655E9A" w:rsidR="005C247A" w:rsidRDefault="005465DD" w:rsidP="00B74E64">
      <w:pPr>
        <w:spacing w:line="360" w:lineRule="auto"/>
        <w:rPr>
          <w:rFonts w:ascii="David" w:hAnsi="David" w:cs="David"/>
          <w:sz w:val="28"/>
          <w:szCs w:val="28"/>
          <w:rtl/>
        </w:rPr>
      </w:pPr>
      <w:r>
        <w:rPr>
          <w:rFonts w:ascii="David" w:hAnsi="David" w:cs="David" w:hint="cs"/>
          <w:sz w:val="28"/>
          <w:szCs w:val="28"/>
          <w:rtl/>
        </w:rPr>
        <w:t xml:space="preserve">משך ראשון - </w:t>
      </w:r>
      <w:r w:rsidR="00F026CF">
        <w:rPr>
          <w:rFonts w:ascii="David" w:hAnsi="David" w:cs="David" w:hint="cs"/>
          <w:sz w:val="28"/>
          <w:szCs w:val="28"/>
          <w:rtl/>
        </w:rPr>
        <w:t>הנושאים</w:t>
      </w:r>
      <w:r w:rsidR="007E690A">
        <w:rPr>
          <w:rFonts w:ascii="David" w:hAnsi="David" w:cs="David" w:hint="cs"/>
          <w:sz w:val="28"/>
          <w:szCs w:val="28"/>
          <w:rtl/>
        </w:rPr>
        <w:t xml:space="preserve"> לסקירה ודיון</w:t>
      </w:r>
      <w:r w:rsidR="00F026CF">
        <w:rPr>
          <w:rFonts w:ascii="David" w:hAnsi="David" w:cs="David" w:hint="cs"/>
          <w:sz w:val="28"/>
          <w:szCs w:val="28"/>
          <w:rtl/>
        </w:rPr>
        <w:t xml:space="preserve"> היום: </w:t>
      </w:r>
    </w:p>
    <w:p w14:paraId="053D7211" w14:textId="5E348293" w:rsidR="00F026CF" w:rsidRDefault="00F026CF" w:rsidP="00B74E64">
      <w:pPr>
        <w:pStyle w:val="a3"/>
        <w:numPr>
          <w:ilvl w:val="0"/>
          <w:numId w:val="1"/>
        </w:numPr>
        <w:spacing w:line="360" w:lineRule="auto"/>
        <w:rPr>
          <w:rFonts w:ascii="David" w:hAnsi="David" w:cs="David"/>
          <w:sz w:val="28"/>
          <w:szCs w:val="28"/>
        </w:rPr>
      </w:pPr>
      <w:r w:rsidRPr="00F026CF">
        <w:rPr>
          <w:rFonts w:ascii="David" w:hAnsi="David" w:cs="David" w:hint="cs"/>
          <w:sz w:val="28"/>
          <w:szCs w:val="28"/>
          <w:rtl/>
        </w:rPr>
        <w:t>אומנות מודיעינית</w:t>
      </w:r>
    </w:p>
    <w:p w14:paraId="1F8235EB" w14:textId="216189BB" w:rsidR="00F026CF" w:rsidRDefault="00F026CF" w:rsidP="00B74E64">
      <w:pPr>
        <w:pStyle w:val="a3"/>
        <w:numPr>
          <w:ilvl w:val="0"/>
          <w:numId w:val="1"/>
        </w:numPr>
        <w:spacing w:line="360" w:lineRule="auto"/>
        <w:rPr>
          <w:rFonts w:ascii="David" w:hAnsi="David" w:cs="David"/>
          <w:sz w:val="28"/>
          <w:szCs w:val="28"/>
        </w:rPr>
      </w:pPr>
      <w:r>
        <w:rPr>
          <w:rFonts w:ascii="David" w:hAnsi="David" w:cs="David" w:hint="cs"/>
          <w:sz w:val="28"/>
          <w:szCs w:val="28"/>
        </w:rPr>
        <w:t>NET ASSESMENT</w:t>
      </w:r>
    </w:p>
    <w:p w14:paraId="35ED8E5F" w14:textId="3F88B510" w:rsidR="00F026CF" w:rsidRDefault="00F026CF" w:rsidP="00B74E64">
      <w:pPr>
        <w:pStyle w:val="a3"/>
        <w:numPr>
          <w:ilvl w:val="0"/>
          <w:numId w:val="1"/>
        </w:numPr>
        <w:spacing w:line="360" w:lineRule="auto"/>
        <w:rPr>
          <w:rFonts w:ascii="David" w:hAnsi="David" w:cs="David"/>
          <w:sz w:val="28"/>
          <w:szCs w:val="28"/>
        </w:rPr>
      </w:pPr>
      <w:r>
        <w:rPr>
          <w:rFonts w:ascii="David" w:hAnsi="David" w:cs="David" w:hint="cs"/>
          <w:sz w:val="28"/>
          <w:szCs w:val="28"/>
          <w:rtl/>
        </w:rPr>
        <w:t>אסטרטגיות מתחרות</w:t>
      </w:r>
    </w:p>
    <w:p w14:paraId="7A9702E5" w14:textId="3EACC0C9" w:rsidR="00F026CF" w:rsidRDefault="00F026CF" w:rsidP="00B74E64">
      <w:pPr>
        <w:spacing w:line="360" w:lineRule="auto"/>
        <w:rPr>
          <w:rFonts w:ascii="David" w:hAnsi="David" w:cs="David"/>
          <w:sz w:val="28"/>
          <w:szCs w:val="28"/>
          <w:rtl/>
        </w:rPr>
      </w:pPr>
      <w:r>
        <w:rPr>
          <w:rFonts w:ascii="David" w:hAnsi="David" w:cs="David" w:hint="cs"/>
          <w:sz w:val="28"/>
          <w:szCs w:val="28"/>
          <w:rtl/>
        </w:rPr>
        <w:t xml:space="preserve">דיון על הסרט </w:t>
      </w:r>
      <w:r>
        <w:rPr>
          <w:rFonts w:ascii="David" w:hAnsi="David" w:cs="David"/>
          <w:sz w:val="28"/>
          <w:szCs w:val="28"/>
          <w:rtl/>
        </w:rPr>
        <w:t>–</w:t>
      </w:r>
      <w:r>
        <w:rPr>
          <w:rFonts w:ascii="David" w:hAnsi="David" w:cs="David" w:hint="cs"/>
          <w:sz w:val="28"/>
          <w:szCs w:val="28"/>
          <w:rtl/>
        </w:rPr>
        <w:t xml:space="preserve"> "13 יום": </w:t>
      </w:r>
    </w:p>
    <w:p w14:paraId="046CA9A7" w14:textId="3D95E6C8" w:rsidR="00F026CF" w:rsidRDefault="00F026CF" w:rsidP="00B74E64">
      <w:pPr>
        <w:spacing w:line="360" w:lineRule="auto"/>
        <w:rPr>
          <w:rFonts w:ascii="David" w:hAnsi="David" w:cs="David"/>
          <w:sz w:val="28"/>
          <w:szCs w:val="28"/>
          <w:rtl/>
        </w:rPr>
      </w:pPr>
      <w:r>
        <w:rPr>
          <w:rFonts w:ascii="David" w:hAnsi="David" w:cs="David" w:hint="cs"/>
          <w:sz w:val="28"/>
          <w:szCs w:val="28"/>
          <w:rtl/>
        </w:rPr>
        <w:t>המתח בין דיפלומטיה וצבא</w:t>
      </w:r>
      <w:r w:rsidR="003E0BC4">
        <w:rPr>
          <w:rFonts w:ascii="David" w:hAnsi="David" w:cs="David" w:hint="cs"/>
          <w:sz w:val="28"/>
          <w:szCs w:val="28"/>
          <w:rtl/>
        </w:rPr>
        <w:t xml:space="preserve"> (בין דרג מדיני לדרג צבאי)</w:t>
      </w:r>
      <w:r>
        <w:rPr>
          <w:rFonts w:ascii="David" w:hAnsi="David" w:cs="David" w:hint="cs"/>
          <w:sz w:val="28"/>
          <w:szCs w:val="28"/>
          <w:rtl/>
        </w:rPr>
        <w:t xml:space="preserve">, חוסר הוודאות, "ערפל הקרב" בשלב הבנת "הצד השני", חוסר עליונות מודיעינית של </w:t>
      </w:r>
      <w:proofErr w:type="spellStart"/>
      <w:r>
        <w:rPr>
          <w:rFonts w:ascii="David" w:hAnsi="David" w:cs="David" w:hint="cs"/>
          <w:sz w:val="28"/>
          <w:szCs w:val="28"/>
          <w:rtl/>
        </w:rPr>
        <w:t>צבא"א</w:t>
      </w:r>
      <w:proofErr w:type="spellEnd"/>
      <w:r>
        <w:rPr>
          <w:rFonts w:ascii="David" w:hAnsi="David" w:cs="David" w:hint="cs"/>
          <w:sz w:val="28"/>
          <w:szCs w:val="28"/>
          <w:rtl/>
        </w:rPr>
        <w:t xml:space="preserve"> על הנעשה בקובה.</w:t>
      </w:r>
      <w:r w:rsidR="0099472C">
        <w:rPr>
          <w:rFonts w:ascii="David" w:hAnsi="David" w:cs="David" w:hint="cs"/>
          <w:sz w:val="28"/>
          <w:szCs w:val="28"/>
          <w:rtl/>
        </w:rPr>
        <w:t xml:space="preserve"> ניהול מאזן הרתעה/ משברים בין המדינות הוא שלא נעשה כל דיאלוג בין ראשי המדינות, אלא דרך "צד שלישי" (באות</w:t>
      </w:r>
      <w:r w:rsidR="005F3B28">
        <w:rPr>
          <w:rFonts w:ascii="David" w:hAnsi="David" w:cs="David" w:hint="cs"/>
          <w:sz w:val="28"/>
          <w:szCs w:val="28"/>
          <w:rtl/>
        </w:rPr>
        <w:t>ה</w:t>
      </w:r>
      <w:r w:rsidR="0099472C">
        <w:rPr>
          <w:rFonts w:ascii="David" w:hAnsi="David" w:cs="David" w:hint="cs"/>
          <w:sz w:val="28"/>
          <w:szCs w:val="28"/>
          <w:rtl/>
        </w:rPr>
        <w:t xml:space="preserve"> תקופה לא היה קו ישיר בין מנהיגי המדינות </w:t>
      </w:r>
      <w:r w:rsidR="0099472C">
        <w:rPr>
          <w:rFonts w:ascii="David" w:hAnsi="David" w:cs="David"/>
          <w:sz w:val="28"/>
          <w:szCs w:val="28"/>
          <w:rtl/>
        </w:rPr>
        <w:t>–</w:t>
      </w:r>
      <w:r w:rsidR="0099472C">
        <w:rPr>
          <w:rFonts w:ascii="David" w:hAnsi="David" w:cs="David" w:hint="cs"/>
          <w:sz w:val="28"/>
          <w:szCs w:val="28"/>
          <w:rtl/>
        </w:rPr>
        <w:t xml:space="preserve"> "קו חם").</w:t>
      </w:r>
    </w:p>
    <w:p w14:paraId="3AC35A21" w14:textId="2E8CBBBE" w:rsidR="000D2C14" w:rsidRDefault="000D2C14" w:rsidP="00B74E64">
      <w:pPr>
        <w:spacing w:line="360" w:lineRule="auto"/>
        <w:rPr>
          <w:rFonts w:ascii="David" w:hAnsi="David" w:cs="David"/>
          <w:sz w:val="28"/>
          <w:szCs w:val="28"/>
          <w:rtl/>
        </w:rPr>
      </w:pPr>
      <w:r>
        <w:rPr>
          <w:rFonts w:ascii="David" w:hAnsi="David" w:cs="David" w:hint="cs"/>
          <w:sz w:val="28"/>
          <w:szCs w:val="28"/>
          <w:rtl/>
        </w:rPr>
        <w:t>מטרת הקרנת הסרט היא לצורך ניתוח התהליכים האסטרטגיים שביצעה ארה"ב בניהול המשבר מול הסובייטיים.</w:t>
      </w:r>
    </w:p>
    <w:p w14:paraId="10963070" w14:textId="497101C7" w:rsidR="005F3B28" w:rsidRDefault="005F3B28" w:rsidP="00B74E64">
      <w:pPr>
        <w:spacing w:line="360" w:lineRule="auto"/>
        <w:rPr>
          <w:rFonts w:ascii="David" w:hAnsi="David" w:cs="David"/>
          <w:sz w:val="28"/>
          <w:szCs w:val="28"/>
          <w:rtl/>
        </w:rPr>
      </w:pPr>
      <w:r>
        <w:rPr>
          <w:rFonts w:ascii="David" w:hAnsi="David" w:cs="David" w:hint="cs"/>
          <w:sz w:val="28"/>
          <w:szCs w:val="28"/>
          <w:rtl/>
        </w:rPr>
        <w:t>מענה לשאלות על הסרט:</w:t>
      </w:r>
    </w:p>
    <w:p w14:paraId="42BC59B7" w14:textId="1E73EAC6" w:rsidR="005F3B28" w:rsidRDefault="005F3B28" w:rsidP="00B74E64">
      <w:pPr>
        <w:pStyle w:val="a3"/>
        <w:numPr>
          <w:ilvl w:val="0"/>
          <w:numId w:val="2"/>
        </w:numPr>
        <w:spacing w:line="360" w:lineRule="auto"/>
        <w:rPr>
          <w:rFonts w:ascii="David" w:hAnsi="David" w:cs="David"/>
          <w:sz w:val="28"/>
          <w:szCs w:val="28"/>
        </w:rPr>
      </w:pPr>
      <w:r w:rsidRPr="005F3B28">
        <w:rPr>
          <w:rFonts w:ascii="David" w:hAnsi="David" w:cs="David" w:hint="cs"/>
          <w:sz w:val="28"/>
          <w:szCs w:val="28"/>
          <w:rtl/>
        </w:rPr>
        <w:t xml:space="preserve">מה ניתן להגדיר כאקט </w:t>
      </w:r>
      <w:r>
        <w:rPr>
          <w:rFonts w:ascii="David" w:hAnsi="David" w:cs="David" w:hint="cs"/>
          <w:sz w:val="28"/>
          <w:szCs w:val="28"/>
          <w:rtl/>
        </w:rPr>
        <w:t>ה</w:t>
      </w:r>
      <w:r w:rsidRPr="005F3B28">
        <w:rPr>
          <w:rFonts w:ascii="David" w:hAnsi="David" w:cs="David" w:hint="cs"/>
          <w:sz w:val="28"/>
          <w:szCs w:val="28"/>
          <w:rtl/>
        </w:rPr>
        <w:t>לא</w:t>
      </w:r>
      <w:r>
        <w:rPr>
          <w:rFonts w:ascii="David" w:hAnsi="David" w:cs="David" w:hint="cs"/>
          <w:sz w:val="28"/>
          <w:szCs w:val="28"/>
          <w:rtl/>
        </w:rPr>
        <w:t>-</w:t>
      </w:r>
      <w:r w:rsidRPr="005F3B28">
        <w:rPr>
          <w:rFonts w:ascii="David" w:hAnsi="David" w:cs="David" w:hint="cs"/>
          <w:sz w:val="28"/>
          <w:szCs w:val="28"/>
          <w:rtl/>
        </w:rPr>
        <w:t>אסטרטגי הראשון של מקבלי ההחלטות האמריקני</w:t>
      </w:r>
      <w:r>
        <w:rPr>
          <w:rFonts w:ascii="David" w:hAnsi="David" w:cs="David" w:hint="cs"/>
          <w:sz w:val="28"/>
          <w:szCs w:val="28"/>
          <w:rtl/>
        </w:rPr>
        <w:t>י</w:t>
      </w:r>
      <w:r w:rsidRPr="005F3B28">
        <w:rPr>
          <w:rFonts w:ascii="David" w:hAnsi="David" w:cs="David" w:hint="cs"/>
          <w:sz w:val="28"/>
          <w:szCs w:val="28"/>
          <w:rtl/>
        </w:rPr>
        <w:t>ם ומדוע?</w:t>
      </w:r>
    </w:p>
    <w:p w14:paraId="03473026" w14:textId="77777777" w:rsidR="0094257B" w:rsidRDefault="005F3B28" w:rsidP="00B74E64">
      <w:pPr>
        <w:pStyle w:val="a3"/>
        <w:numPr>
          <w:ilvl w:val="0"/>
          <w:numId w:val="4"/>
        </w:numPr>
        <w:spacing w:line="360" w:lineRule="auto"/>
        <w:rPr>
          <w:rFonts w:ascii="David" w:hAnsi="David" w:cs="David"/>
          <w:sz w:val="28"/>
          <w:szCs w:val="28"/>
        </w:rPr>
      </w:pPr>
      <w:r>
        <w:rPr>
          <w:rFonts w:ascii="David" w:hAnsi="David" w:cs="David" w:hint="cs"/>
          <w:sz w:val="28"/>
          <w:szCs w:val="28"/>
          <w:rtl/>
        </w:rPr>
        <w:t xml:space="preserve">מעשה לא אסטרטגי </w:t>
      </w:r>
      <w:r>
        <w:rPr>
          <w:rFonts w:ascii="David" w:hAnsi="David" w:cs="David"/>
          <w:sz w:val="28"/>
          <w:szCs w:val="28"/>
          <w:rtl/>
        </w:rPr>
        <w:t>–</w:t>
      </w:r>
      <w:r>
        <w:rPr>
          <w:rFonts w:ascii="David" w:hAnsi="David" w:cs="David" w:hint="cs"/>
          <w:sz w:val="28"/>
          <w:szCs w:val="28"/>
          <w:rtl/>
        </w:rPr>
        <w:t xml:space="preserve"> הרצון האמריקאי להפציץ בקובה את המתחם שבו נצפו הטילים הסובייטיים, וזאת מכיוון שלא נערכה חשיבה על תוצאות צפויות של המעשה הזה. זו </w:t>
      </w:r>
      <w:proofErr w:type="spellStart"/>
      <w:r>
        <w:rPr>
          <w:rFonts w:ascii="David" w:hAnsi="David" w:cs="David" w:hint="cs"/>
          <w:sz w:val="28"/>
          <w:szCs w:val="28"/>
          <w:rtl/>
        </w:rPr>
        <w:t>היתה</w:t>
      </w:r>
      <w:proofErr w:type="spellEnd"/>
      <w:r>
        <w:rPr>
          <w:rFonts w:ascii="David" w:hAnsi="David" w:cs="David" w:hint="cs"/>
          <w:sz w:val="28"/>
          <w:szCs w:val="28"/>
          <w:rtl/>
        </w:rPr>
        <w:t xml:space="preserve"> אפשרות יחידה מבלי לקחת בחשבון את תגובות הנגד הסובייטיות.</w:t>
      </w:r>
    </w:p>
    <w:p w14:paraId="723094CB" w14:textId="77777777" w:rsidR="00534B99" w:rsidRDefault="0094257B" w:rsidP="00B74E64">
      <w:pPr>
        <w:pStyle w:val="a3"/>
        <w:numPr>
          <w:ilvl w:val="0"/>
          <w:numId w:val="4"/>
        </w:numPr>
        <w:spacing w:line="360" w:lineRule="auto"/>
        <w:rPr>
          <w:rFonts w:ascii="David" w:hAnsi="David" w:cs="David"/>
          <w:sz w:val="28"/>
          <w:szCs w:val="28"/>
        </w:rPr>
      </w:pPr>
      <w:r>
        <w:rPr>
          <w:rFonts w:ascii="David" w:hAnsi="David" w:cs="David" w:hint="cs"/>
          <w:sz w:val="28"/>
          <w:szCs w:val="28"/>
          <w:rtl/>
        </w:rPr>
        <w:t xml:space="preserve">חוסר הבנת כוונות הסובייטיים לאור קבלת הנתון של צפיית טילים בקובה </w:t>
      </w:r>
      <w:r>
        <w:rPr>
          <w:rFonts w:ascii="David" w:hAnsi="David" w:cs="David"/>
          <w:sz w:val="28"/>
          <w:szCs w:val="28"/>
          <w:rtl/>
        </w:rPr>
        <w:t>–</w:t>
      </w:r>
      <w:r>
        <w:rPr>
          <w:rFonts w:ascii="David" w:hAnsi="David" w:cs="David" w:hint="cs"/>
          <w:sz w:val="28"/>
          <w:szCs w:val="28"/>
          <w:rtl/>
        </w:rPr>
        <w:t xml:space="preserve"> מבלי לבצע תהליך של דיאגנוזה/ </w:t>
      </w:r>
      <w:proofErr w:type="spellStart"/>
      <w:r>
        <w:rPr>
          <w:rFonts w:ascii="David" w:hAnsi="David" w:cs="David" w:hint="cs"/>
          <w:sz w:val="28"/>
          <w:szCs w:val="28"/>
          <w:rtl/>
        </w:rPr>
        <w:t>הע"מ</w:t>
      </w:r>
      <w:proofErr w:type="spellEnd"/>
      <w:r>
        <w:rPr>
          <w:rFonts w:ascii="David" w:hAnsi="David" w:cs="David" w:hint="cs"/>
          <w:sz w:val="28"/>
          <w:szCs w:val="28"/>
          <w:rtl/>
        </w:rPr>
        <w:t xml:space="preserve"> כלשהי, מיד </w:t>
      </w:r>
      <w:proofErr w:type="spellStart"/>
      <w:r>
        <w:rPr>
          <w:rFonts w:ascii="David" w:hAnsi="David" w:cs="David" w:hint="cs"/>
          <w:sz w:val="28"/>
          <w:szCs w:val="28"/>
          <w:rtl/>
        </w:rPr>
        <w:t>היתה</w:t>
      </w:r>
      <w:proofErr w:type="spellEnd"/>
      <w:r>
        <w:rPr>
          <w:rFonts w:ascii="David" w:hAnsi="David" w:cs="David" w:hint="cs"/>
          <w:sz w:val="28"/>
          <w:szCs w:val="28"/>
          <w:rtl/>
        </w:rPr>
        <w:t xml:space="preserve"> המלצה של "לגעת בברזל" - </w:t>
      </w:r>
      <w:r w:rsidR="005F3B28">
        <w:rPr>
          <w:rFonts w:ascii="David" w:hAnsi="David" w:cs="David" w:hint="cs"/>
          <w:sz w:val="28"/>
          <w:szCs w:val="28"/>
          <w:rtl/>
        </w:rPr>
        <w:t xml:space="preserve"> </w:t>
      </w:r>
      <w:r>
        <w:rPr>
          <w:rFonts w:ascii="David" w:hAnsi="David" w:cs="David" w:hint="cs"/>
          <w:sz w:val="28"/>
          <w:szCs w:val="28"/>
          <w:rtl/>
        </w:rPr>
        <w:t>האמריקאים אמרו בסרט: "...הערכנו שהסובייטים עברו ל'מכה ראשונה'..." דהיינו השלב הראשון בפתיחת מלחמה.</w:t>
      </w:r>
      <w:r w:rsidR="000C7DA6">
        <w:rPr>
          <w:rFonts w:ascii="David" w:hAnsi="David" w:cs="David" w:hint="cs"/>
          <w:sz w:val="28"/>
          <w:szCs w:val="28"/>
          <w:rtl/>
        </w:rPr>
        <w:t xml:space="preserve"> </w:t>
      </w:r>
    </w:p>
    <w:p w14:paraId="5EA20342" w14:textId="70D76933" w:rsidR="000C7DA6" w:rsidRDefault="000C7DA6" w:rsidP="00B74E64">
      <w:pPr>
        <w:pStyle w:val="a3"/>
        <w:spacing w:line="360" w:lineRule="auto"/>
        <w:ind w:left="1080"/>
        <w:rPr>
          <w:rFonts w:ascii="David" w:hAnsi="David" w:cs="David"/>
          <w:sz w:val="28"/>
          <w:szCs w:val="28"/>
          <w:rtl/>
        </w:rPr>
      </w:pPr>
      <w:r>
        <w:rPr>
          <w:rFonts w:ascii="David" w:hAnsi="David" w:cs="David" w:hint="cs"/>
          <w:sz w:val="28"/>
          <w:szCs w:val="28"/>
          <w:rtl/>
        </w:rPr>
        <w:t>הסיבה האמיתית שבגינה הסובייטים פרסו טילים בקובה היא הרצון לגרום לאמריקאים להסיר את  פריסת הטילים שלהם בטורקיה.</w:t>
      </w:r>
      <w:r w:rsidR="00022102">
        <w:rPr>
          <w:rFonts w:ascii="David" w:hAnsi="David" w:cs="David" w:hint="cs"/>
          <w:sz w:val="28"/>
          <w:szCs w:val="28"/>
          <w:rtl/>
        </w:rPr>
        <w:t xml:space="preserve"> </w:t>
      </w:r>
      <w:r>
        <w:rPr>
          <w:rFonts w:ascii="David" w:hAnsi="David" w:cs="David" w:hint="cs"/>
          <w:sz w:val="28"/>
          <w:szCs w:val="28"/>
          <w:rtl/>
        </w:rPr>
        <w:t>באותה תקופה, בריה"מ נמצאת בנחיתות גרעינית משמעותית, ואת זה, האמריקאים לא ידעו.</w:t>
      </w:r>
      <w:r w:rsidR="00A06512">
        <w:rPr>
          <w:rFonts w:ascii="David" w:hAnsi="David" w:cs="David" w:hint="cs"/>
          <w:sz w:val="28"/>
          <w:szCs w:val="28"/>
          <w:rtl/>
        </w:rPr>
        <w:t xml:space="preserve"> ההבנה של בריה"מ </w:t>
      </w:r>
      <w:proofErr w:type="spellStart"/>
      <w:r w:rsidR="00A06512">
        <w:rPr>
          <w:rFonts w:ascii="David" w:hAnsi="David" w:cs="David" w:hint="cs"/>
          <w:sz w:val="28"/>
          <w:szCs w:val="28"/>
          <w:rtl/>
        </w:rPr>
        <w:t>היתה</w:t>
      </w:r>
      <w:proofErr w:type="spellEnd"/>
      <w:r w:rsidR="00A06512">
        <w:rPr>
          <w:rFonts w:ascii="David" w:hAnsi="David" w:cs="David" w:hint="cs"/>
          <w:sz w:val="28"/>
          <w:szCs w:val="28"/>
          <w:rtl/>
        </w:rPr>
        <w:t xml:space="preserve"> שהאמריקאים "...יודעים לייצר טילים כמו נקנ</w:t>
      </w:r>
      <w:r w:rsidR="00B26461">
        <w:rPr>
          <w:rFonts w:ascii="David" w:hAnsi="David" w:cs="David" w:hint="cs"/>
          <w:sz w:val="28"/>
          <w:szCs w:val="28"/>
          <w:rtl/>
        </w:rPr>
        <w:t>י</w:t>
      </w:r>
      <w:r w:rsidR="00A06512">
        <w:rPr>
          <w:rFonts w:ascii="David" w:hAnsi="David" w:cs="David" w:hint="cs"/>
          <w:sz w:val="28"/>
          <w:szCs w:val="28"/>
          <w:rtl/>
        </w:rPr>
        <w:t>קיות...".</w:t>
      </w:r>
    </w:p>
    <w:p w14:paraId="337E6108" w14:textId="17ACCC55" w:rsidR="00022102" w:rsidRDefault="00022102" w:rsidP="00B74E64">
      <w:pPr>
        <w:pStyle w:val="a3"/>
        <w:spacing w:line="360" w:lineRule="auto"/>
        <w:ind w:left="1080"/>
        <w:rPr>
          <w:rFonts w:ascii="David" w:hAnsi="David" w:cs="David"/>
          <w:sz w:val="28"/>
          <w:szCs w:val="28"/>
        </w:rPr>
      </w:pPr>
      <w:r>
        <w:rPr>
          <w:rFonts w:ascii="David" w:hAnsi="David" w:cs="David" w:hint="cs"/>
          <w:sz w:val="28"/>
          <w:szCs w:val="28"/>
          <w:rtl/>
        </w:rPr>
        <w:t xml:space="preserve">בסיכומו של דבר, הודות למנהיגות המושכלת של קנדי ותהליך סדור של </w:t>
      </w:r>
      <w:proofErr w:type="spellStart"/>
      <w:r>
        <w:rPr>
          <w:rFonts w:ascii="David" w:hAnsi="David" w:cs="David" w:hint="cs"/>
          <w:sz w:val="28"/>
          <w:szCs w:val="28"/>
          <w:rtl/>
        </w:rPr>
        <w:t>הע"מ</w:t>
      </w:r>
      <w:proofErr w:type="spellEnd"/>
      <w:r>
        <w:rPr>
          <w:rFonts w:ascii="David" w:hAnsi="David" w:cs="David" w:hint="cs"/>
          <w:sz w:val="28"/>
          <w:szCs w:val="28"/>
          <w:rtl/>
        </w:rPr>
        <w:t xml:space="preserve">, נמנע משבר גרעיני גדול. אך כל זה היה נמנע, </w:t>
      </w:r>
      <w:r w:rsidR="00154AEA">
        <w:rPr>
          <w:rFonts w:ascii="David" w:hAnsi="David" w:cs="David" w:hint="cs"/>
          <w:sz w:val="28"/>
          <w:szCs w:val="28"/>
          <w:rtl/>
        </w:rPr>
        <w:t>אי</w:t>
      </w:r>
      <w:r>
        <w:rPr>
          <w:rFonts w:ascii="David" w:hAnsi="David" w:cs="David" w:hint="cs"/>
          <w:sz w:val="28"/>
          <w:szCs w:val="28"/>
          <w:rtl/>
        </w:rPr>
        <w:t xml:space="preserve">לולא היה נעשה תהליך של </w:t>
      </w:r>
      <w:r w:rsidRPr="00022102">
        <w:rPr>
          <w:rFonts w:ascii="David" w:hAnsi="David" w:cs="David" w:hint="cs"/>
          <w:b/>
          <w:bCs/>
          <w:sz w:val="28"/>
          <w:szCs w:val="28"/>
          <w:rtl/>
        </w:rPr>
        <w:t>דיאגנוזה אסטרטגית</w:t>
      </w:r>
      <w:r>
        <w:rPr>
          <w:rFonts w:ascii="David" w:hAnsi="David" w:cs="David" w:hint="cs"/>
          <w:sz w:val="28"/>
          <w:szCs w:val="28"/>
          <w:rtl/>
        </w:rPr>
        <w:t xml:space="preserve"> כבר בתחילת קבלת הנתונים על פריסת הטילים הסובייטיים בקובה.</w:t>
      </w:r>
      <w:r w:rsidR="00164E7F">
        <w:rPr>
          <w:rStyle w:val="a6"/>
          <w:rFonts w:ascii="David" w:hAnsi="David" w:cs="David"/>
          <w:sz w:val="28"/>
          <w:szCs w:val="28"/>
        </w:rPr>
        <w:footnoteReference w:id="1"/>
      </w:r>
    </w:p>
    <w:p w14:paraId="5BD4C6B5" w14:textId="2CE739BE" w:rsidR="005F3B28" w:rsidRDefault="00D33BA1" w:rsidP="00B74E64">
      <w:pPr>
        <w:pStyle w:val="a3"/>
        <w:numPr>
          <w:ilvl w:val="0"/>
          <w:numId w:val="2"/>
        </w:numPr>
        <w:spacing w:line="360" w:lineRule="auto"/>
        <w:rPr>
          <w:rFonts w:ascii="David" w:hAnsi="David" w:cs="David"/>
          <w:sz w:val="28"/>
          <w:szCs w:val="28"/>
        </w:rPr>
      </w:pPr>
      <w:r>
        <w:rPr>
          <w:rFonts w:ascii="David" w:hAnsi="David" w:cs="David" w:hint="cs"/>
          <w:sz w:val="28"/>
          <w:szCs w:val="28"/>
          <w:rtl/>
        </w:rPr>
        <w:lastRenderedPageBreak/>
        <w:t>איזה מן הפעולות הבאות ניתן להגדיר כמסרים (סיגנלים) הרתעתיים מכוונים (</w:t>
      </w:r>
      <w:r>
        <w:rPr>
          <w:rFonts w:ascii="David" w:hAnsi="David" w:cs="David"/>
          <w:sz w:val="28"/>
          <w:szCs w:val="28"/>
        </w:rPr>
        <w:t>intended deterrence signals</w:t>
      </w:r>
      <w:r>
        <w:rPr>
          <w:rFonts w:ascii="David" w:hAnsi="David" w:cs="David" w:hint="cs"/>
          <w:sz w:val="28"/>
          <w:szCs w:val="28"/>
          <w:rtl/>
        </w:rPr>
        <w:t>) ?</w:t>
      </w:r>
    </w:p>
    <w:p w14:paraId="2FBD7B46" w14:textId="698E8247" w:rsidR="005465DD" w:rsidRDefault="000D2C14" w:rsidP="000D2C14">
      <w:pPr>
        <w:pStyle w:val="a3"/>
        <w:spacing w:line="360" w:lineRule="auto"/>
        <w:rPr>
          <w:rFonts w:ascii="David" w:hAnsi="David" w:cs="David"/>
          <w:sz w:val="28"/>
          <w:szCs w:val="28"/>
          <w:rtl/>
        </w:rPr>
      </w:pPr>
      <w:r>
        <w:rPr>
          <w:rFonts w:ascii="David" w:hAnsi="David" w:cs="David" w:hint="cs"/>
          <w:sz w:val="28"/>
          <w:szCs w:val="28"/>
          <w:rtl/>
        </w:rPr>
        <w:t xml:space="preserve">כללי - מה שהופך סיגנל </w:t>
      </w:r>
      <w:r w:rsidRPr="000D2C14">
        <w:rPr>
          <w:rFonts w:ascii="David" w:hAnsi="David" w:cs="David" w:hint="cs"/>
          <w:b/>
          <w:bCs/>
          <w:sz w:val="28"/>
          <w:szCs w:val="28"/>
          <w:rtl/>
        </w:rPr>
        <w:t>לסיגנל מכוון</w:t>
      </w:r>
      <w:r>
        <w:rPr>
          <w:rFonts w:ascii="David" w:hAnsi="David" w:cs="David" w:hint="cs"/>
          <w:sz w:val="28"/>
          <w:szCs w:val="28"/>
          <w:rtl/>
        </w:rPr>
        <w:t>.... היא עצם העובדה שהוא נקבע ואושר ע"י הסמכות האסטרטגית העליונה. להוציא מן הכלל אירועים המוגדרים "פוקס"</w:t>
      </w:r>
      <w:r w:rsidR="003905DB">
        <w:rPr>
          <w:rFonts w:ascii="David" w:hAnsi="David" w:cs="David" w:hint="cs"/>
          <w:sz w:val="28"/>
          <w:szCs w:val="28"/>
          <w:rtl/>
        </w:rPr>
        <w:t>...</w:t>
      </w:r>
    </w:p>
    <w:p w14:paraId="1B28C2F3" w14:textId="12EBC8FC" w:rsidR="003905DB" w:rsidRDefault="003905DB" w:rsidP="000D2C14">
      <w:pPr>
        <w:pStyle w:val="a3"/>
        <w:spacing w:line="360" w:lineRule="auto"/>
        <w:rPr>
          <w:rFonts w:ascii="David" w:hAnsi="David" w:cs="David"/>
          <w:sz w:val="28"/>
          <w:szCs w:val="28"/>
          <w:rtl/>
        </w:rPr>
      </w:pPr>
      <w:r>
        <w:rPr>
          <w:rFonts w:ascii="David" w:hAnsi="David" w:cs="David" w:hint="cs"/>
          <w:sz w:val="28"/>
          <w:szCs w:val="28"/>
          <w:rtl/>
        </w:rPr>
        <w:t xml:space="preserve">במסגרת הסרט, </w:t>
      </w:r>
      <w:r w:rsidRPr="0017751D">
        <w:rPr>
          <w:rFonts w:ascii="David" w:hAnsi="David" w:cs="David" w:hint="cs"/>
          <w:b/>
          <w:bCs/>
          <w:sz w:val="28"/>
          <w:szCs w:val="28"/>
          <w:rtl/>
        </w:rPr>
        <w:t>המעבר לרמת כוננות גבוהה</w:t>
      </w:r>
      <w:r>
        <w:rPr>
          <w:rFonts w:ascii="David" w:hAnsi="David" w:cs="David" w:hint="cs"/>
          <w:sz w:val="28"/>
          <w:szCs w:val="28"/>
          <w:rtl/>
        </w:rPr>
        <w:t xml:space="preserve"> באישור הנשיא </w:t>
      </w:r>
      <w:r>
        <w:rPr>
          <w:rFonts w:ascii="David" w:hAnsi="David" w:cs="David"/>
          <w:sz w:val="28"/>
          <w:szCs w:val="28"/>
          <w:rtl/>
        </w:rPr>
        <w:t>–</w:t>
      </w:r>
      <w:r>
        <w:rPr>
          <w:rFonts w:ascii="David" w:hAnsi="David" w:cs="David" w:hint="cs"/>
          <w:sz w:val="28"/>
          <w:szCs w:val="28"/>
          <w:rtl/>
        </w:rPr>
        <w:t xml:space="preserve"> זה אף הוצג ע"י הנשיא בתקשורת לכל האומה וכן </w:t>
      </w:r>
      <w:r w:rsidRPr="0017751D">
        <w:rPr>
          <w:rFonts w:ascii="David" w:hAnsi="David" w:cs="David" w:hint="cs"/>
          <w:b/>
          <w:bCs/>
          <w:sz w:val="28"/>
          <w:szCs w:val="28"/>
          <w:rtl/>
        </w:rPr>
        <w:t>הטלת המצור הימי</w:t>
      </w:r>
      <w:r w:rsidR="00B26461">
        <w:rPr>
          <w:rFonts w:ascii="David" w:hAnsi="David" w:cs="David" w:hint="cs"/>
          <w:sz w:val="28"/>
          <w:szCs w:val="28"/>
          <w:rtl/>
        </w:rPr>
        <w:t>.</w:t>
      </w:r>
    </w:p>
    <w:p w14:paraId="7A8A1DF8" w14:textId="5A0C5FA6" w:rsidR="00B26461" w:rsidRDefault="00B26461" w:rsidP="000D2C14">
      <w:pPr>
        <w:pStyle w:val="a3"/>
        <w:spacing w:line="360" w:lineRule="auto"/>
        <w:rPr>
          <w:rFonts w:ascii="David" w:hAnsi="David" w:cs="David"/>
          <w:sz w:val="28"/>
          <w:szCs w:val="28"/>
          <w:rtl/>
        </w:rPr>
      </w:pPr>
      <w:r>
        <w:rPr>
          <w:rFonts w:ascii="David" w:hAnsi="David" w:cs="David" w:hint="cs"/>
          <w:sz w:val="28"/>
          <w:szCs w:val="28"/>
          <w:rtl/>
        </w:rPr>
        <w:t>השימוש בסיגנלים זוהי "שפה" של הרתעה, באותה תקופה זוהי "שפה" חדשה.</w:t>
      </w:r>
      <w:r w:rsidR="00711173">
        <w:rPr>
          <w:rFonts w:ascii="David" w:hAnsi="David" w:cs="David" w:hint="cs"/>
          <w:sz w:val="28"/>
          <w:szCs w:val="28"/>
          <w:rtl/>
        </w:rPr>
        <w:t xml:space="preserve"> ישנם סיגנלים שרצוי שלא יגיעו ל"צד השני" </w:t>
      </w:r>
    </w:p>
    <w:p w14:paraId="27BE5067" w14:textId="606A84A7" w:rsidR="00711173" w:rsidRDefault="00711173" w:rsidP="000D2C14">
      <w:pPr>
        <w:pStyle w:val="a3"/>
        <w:spacing w:line="360" w:lineRule="auto"/>
        <w:rPr>
          <w:rFonts w:ascii="David" w:hAnsi="David" w:cs="David"/>
          <w:sz w:val="28"/>
          <w:szCs w:val="28"/>
          <w:rtl/>
        </w:rPr>
      </w:pPr>
      <w:r>
        <w:rPr>
          <w:rFonts w:ascii="David" w:hAnsi="David" w:cs="David" w:hint="cs"/>
          <w:sz w:val="28"/>
          <w:szCs w:val="28"/>
          <w:rtl/>
        </w:rPr>
        <w:t xml:space="preserve">במקרה של גיחת הטיסה לצילום בטיסה נמוכה לצורך קבלת נתון מדויק יותר של הפעילות הסובייטית בקובה </w:t>
      </w:r>
      <w:r>
        <w:rPr>
          <w:rFonts w:ascii="David" w:hAnsi="David" w:cs="David"/>
          <w:sz w:val="28"/>
          <w:szCs w:val="28"/>
          <w:rtl/>
        </w:rPr>
        <w:t>–</w:t>
      </w:r>
      <w:r>
        <w:rPr>
          <w:rFonts w:ascii="David" w:hAnsi="David" w:cs="David" w:hint="cs"/>
          <w:sz w:val="28"/>
          <w:szCs w:val="28"/>
          <w:rtl/>
        </w:rPr>
        <w:t xml:space="preserve"> זהו אינו סיגנל מכוון או לא מכוון, כי אם </w:t>
      </w:r>
      <w:r w:rsidRPr="00711173">
        <w:rPr>
          <w:rFonts w:ascii="David" w:hAnsi="David" w:cs="David" w:hint="cs"/>
          <w:b/>
          <w:bCs/>
          <w:sz w:val="28"/>
          <w:szCs w:val="28"/>
          <w:rtl/>
        </w:rPr>
        <w:t>סיכון מחושב</w:t>
      </w:r>
      <w:r>
        <w:rPr>
          <w:rFonts w:ascii="David" w:hAnsi="David" w:cs="David" w:hint="cs"/>
          <w:sz w:val="28"/>
          <w:szCs w:val="28"/>
          <w:rtl/>
        </w:rPr>
        <w:t>. זוהי פעילות המבוצעת, הגם שידוע כי קיים סיכון באופן שבו הצד השני יפרש את הפעילות, לאור חשיבות הנתון הנדרש.</w:t>
      </w:r>
    </w:p>
    <w:p w14:paraId="0BD41DDA" w14:textId="77777777" w:rsidR="00BB7189" w:rsidRDefault="00BB7189" w:rsidP="00BB7189">
      <w:pPr>
        <w:pStyle w:val="a3"/>
        <w:numPr>
          <w:ilvl w:val="0"/>
          <w:numId w:val="2"/>
        </w:numPr>
        <w:spacing w:line="360" w:lineRule="auto"/>
        <w:rPr>
          <w:rFonts w:ascii="David" w:hAnsi="David" w:cs="David"/>
          <w:sz w:val="28"/>
          <w:szCs w:val="28"/>
        </w:rPr>
      </w:pPr>
      <w:r>
        <w:rPr>
          <w:rFonts w:ascii="David" w:hAnsi="David" w:cs="David" w:hint="cs"/>
          <w:sz w:val="28"/>
          <w:szCs w:val="28"/>
          <w:rtl/>
        </w:rPr>
        <w:t xml:space="preserve">דוגמאות להרתעה באמצעות ענישה והרתעה באמצעות שלילת הישגים: </w:t>
      </w:r>
    </w:p>
    <w:p w14:paraId="716FD64D" w14:textId="5DC67991" w:rsidR="00BB7189" w:rsidRDefault="00BB7189" w:rsidP="00BB7189">
      <w:pPr>
        <w:pStyle w:val="a3"/>
        <w:numPr>
          <w:ilvl w:val="0"/>
          <w:numId w:val="5"/>
        </w:numPr>
        <w:spacing w:line="360" w:lineRule="auto"/>
        <w:rPr>
          <w:rFonts w:ascii="David" w:hAnsi="David" w:cs="David"/>
          <w:sz w:val="28"/>
          <w:szCs w:val="28"/>
        </w:rPr>
      </w:pPr>
      <w:r>
        <w:rPr>
          <w:rFonts w:ascii="David" w:hAnsi="David" w:cs="David" w:hint="cs"/>
          <w:sz w:val="28"/>
          <w:szCs w:val="28"/>
          <w:rtl/>
        </w:rPr>
        <w:t xml:space="preserve">הרתעה </w:t>
      </w:r>
      <w:r w:rsidRPr="00FD4222">
        <w:rPr>
          <w:rFonts w:ascii="David" w:hAnsi="David" w:cs="David" w:hint="cs"/>
          <w:b/>
          <w:bCs/>
          <w:sz w:val="28"/>
          <w:szCs w:val="28"/>
          <w:rtl/>
        </w:rPr>
        <w:t>באמצעות ענישה</w:t>
      </w:r>
      <w:r>
        <w:rPr>
          <w:rFonts w:ascii="David" w:hAnsi="David" w:cs="David" w:hint="cs"/>
          <w:sz w:val="28"/>
          <w:szCs w:val="28"/>
          <w:rtl/>
        </w:rPr>
        <w:t>: העלאת הכוננות לכוננות גרעינית. מתבססת בעיקר ע"ב מהלכים התקפיים</w:t>
      </w:r>
    </w:p>
    <w:p w14:paraId="4B46B985" w14:textId="58801625" w:rsidR="00BB7189" w:rsidRPr="005F3B28" w:rsidRDefault="00BB7189" w:rsidP="00BB7189">
      <w:pPr>
        <w:pStyle w:val="a3"/>
        <w:numPr>
          <w:ilvl w:val="0"/>
          <w:numId w:val="5"/>
        </w:numPr>
        <w:spacing w:line="360" w:lineRule="auto"/>
        <w:rPr>
          <w:rFonts w:ascii="David" w:hAnsi="David" w:cs="David"/>
          <w:sz w:val="28"/>
          <w:szCs w:val="28"/>
          <w:rtl/>
        </w:rPr>
      </w:pPr>
      <w:r>
        <w:rPr>
          <w:rFonts w:ascii="David" w:hAnsi="David" w:cs="David" w:hint="cs"/>
          <w:sz w:val="28"/>
          <w:szCs w:val="28"/>
          <w:rtl/>
        </w:rPr>
        <w:t xml:space="preserve">הרתעה </w:t>
      </w:r>
      <w:r w:rsidRPr="00FD4222">
        <w:rPr>
          <w:rFonts w:ascii="David" w:hAnsi="David" w:cs="David" w:hint="cs"/>
          <w:b/>
          <w:bCs/>
          <w:sz w:val="28"/>
          <w:szCs w:val="28"/>
          <w:rtl/>
        </w:rPr>
        <w:t>באמצעות שלילה</w:t>
      </w:r>
      <w:r>
        <w:rPr>
          <w:rFonts w:ascii="David" w:hAnsi="David" w:cs="David" w:hint="cs"/>
          <w:sz w:val="28"/>
          <w:szCs w:val="28"/>
          <w:rtl/>
        </w:rPr>
        <w:t xml:space="preserve">: הטלת המצור הימי. מבוססת מהלכים הגנתיים, </w:t>
      </w:r>
      <w:r w:rsidR="00164E7F">
        <w:rPr>
          <w:rFonts w:ascii="David" w:hAnsi="David" w:cs="David" w:hint="cs"/>
          <w:sz w:val="28"/>
          <w:szCs w:val="28"/>
          <w:rtl/>
        </w:rPr>
        <w:t xml:space="preserve">בדיוק </w:t>
      </w:r>
      <w:r>
        <w:rPr>
          <w:rFonts w:ascii="David" w:hAnsi="David" w:cs="David" w:hint="cs"/>
          <w:sz w:val="28"/>
          <w:szCs w:val="28"/>
          <w:rtl/>
        </w:rPr>
        <w:t>כ</w:t>
      </w:r>
      <w:r w:rsidR="00164E7F">
        <w:rPr>
          <w:rFonts w:ascii="David" w:hAnsi="David" w:cs="David" w:hint="cs"/>
          <w:sz w:val="28"/>
          <w:szCs w:val="28"/>
          <w:rtl/>
        </w:rPr>
        <w:t>פי ש'פועלים'</w:t>
      </w:r>
      <w:r>
        <w:rPr>
          <w:rFonts w:ascii="David" w:hAnsi="David" w:cs="David" w:hint="cs"/>
          <w:sz w:val="28"/>
          <w:szCs w:val="28"/>
          <w:rtl/>
        </w:rPr>
        <w:t xml:space="preserve"> חומה</w:t>
      </w:r>
      <w:r w:rsidR="00FD4222">
        <w:rPr>
          <w:rFonts w:ascii="David" w:hAnsi="David" w:cs="David" w:hint="cs"/>
          <w:sz w:val="28"/>
          <w:szCs w:val="28"/>
          <w:rtl/>
        </w:rPr>
        <w:t xml:space="preserve">/ קווי ביצורים </w:t>
      </w:r>
      <w:proofErr w:type="spellStart"/>
      <w:r w:rsidR="00FD4222">
        <w:rPr>
          <w:rFonts w:ascii="David" w:hAnsi="David" w:cs="David" w:hint="cs"/>
          <w:sz w:val="28"/>
          <w:szCs w:val="28"/>
          <w:rtl/>
        </w:rPr>
        <w:t>וכיוב</w:t>
      </w:r>
      <w:proofErr w:type="spellEnd"/>
      <w:r w:rsidR="00FD4222">
        <w:rPr>
          <w:rFonts w:ascii="David" w:hAnsi="David" w:cs="David" w:hint="cs"/>
          <w:sz w:val="28"/>
          <w:szCs w:val="28"/>
          <w:rtl/>
        </w:rPr>
        <w:t>'</w:t>
      </w:r>
      <w:r>
        <w:rPr>
          <w:rFonts w:ascii="David" w:hAnsi="David" w:cs="David" w:hint="cs"/>
          <w:sz w:val="28"/>
          <w:szCs w:val="28"/>
          <w:rtl/>
        </w:rPr>
        <w:t>.</w:t>
      </w:r>
    </w:p>
    <w:p w14:paraId="65BCC63D" w14:textId="63F17C2B" w:rsidR="00F026CF" w:rsidRPr="00BC2FD3" w:rsidRDefault="007C453B" w:rsidP="00B74E64">
      <w:pPr>
        <w:spacing w:line="360" w:lineRule="auto"/>
        <w:rPr>
          <w:rFonts w:ascii="David" w:hAnsi="David" w:cs="David"/>
          <w:b/>
          <w:bCs/>
          <w:sz w:val="28"/>
          <w:szCs w:val="28"/>
          <w:u w:val="single"/>
          <w:rtl/>
        </w:rPr>
      </w:pPr>
      <w:r w:rsidRPr="00BC2FD3">
        <w:rPr>
          <w:rFonts w:ascii="David" w:hAnsi="David" w:cs="David" w:hint="cs"/>
          <w:b/>
          <w:bCs/>
          <w:sz w:val="28"/>
          <w:szCs w:val="28"/>
          <w:u w:val="single"/>
          <w:rtl/>
        </w:rPr>
        <w:t xml:space="preserve">משך </w:t>
      </w:r>
      <w:r w:rsidRPr="00BC2FD3">
        <w:rPr>
          <w:rFonts w:ascii="David" w:hAnsi="David" w:cs="David" w:hint="cs"/>
          <w:b/>
          <w:bCs/>
          <w:sz w:val="28"/>
          <w:szCs w:val="28"/>
          <w:u w:val="single"/>
          <w:rtl/>
        </w:rPr>
        <w:t>שני</w:t>
      </w:r>
      <w:r w:rsidR="00BC2FD3" w:rsidRPr="00BC2FD3">
        <w:rPr>
          <w:rFonts w:ascii="David" w:hAnsi="David" w:cs="David" w:hint="cs"/>
          <w:b/>
          <w:bCs/>
          <w:sz w:val="28"/>
          <w:szCs w:val="28"/>
          <w:u w:val="single"/>
          <w:rtl/>
        </w:rPr>
        <w:t xml:space="preserve"> </w:t>
      </w:r>
      <w:r w:rsidR="00BC2FD3" w:rsidRPr="00BC2FD3">
        <w:rPr>
          <w:rFonts w:ascii="David" w:hAnsi="David" w:cs="David"/>
          <w:b/>
          <w:bCs/>
          <w:sz w:val="28"/>
          <w:szCs w:val="28"/>
          <w:u w:val="single"/>
          <w:rtl/>
        </w:rPr>
        <w:t>–</w:t>
      </w:r>
      <w:r w:rsidR="00BC2FD3" w:rsidRPr="00BC2FD3">
        <w:rPr>
          <w:rFonts w:ascii="David" w:hAnsi="David" w:cs="David" w:hint="cs"/>
          <w:b/>
          <w:bCs/>
          <w:sz w:val="28"/>
          <w:szCs w:val="28"/>
          <w:u w:val="single"/>
          <w:rtl/>
        </w:rPr>
        <w:t xml:space="preserve"> מדיניות תכנון ביטחון לאומי</w:t>
      </w:r>
    </w:p>
    <w:p w14:paraId="42355D61" w14:textId="2F1C0352" w:rsidR="00BC2FD3" w:rsidRDefault="00BC2FD3" w:rsidP="00B74E64">
      <w:pPr>
        <w:spacing w:line="360" w:lineRule="auto"/>
        <w:rPr>
          <w:rFonts w:ascii="David" w:hAnsi="David" w:cs="David"/>
          <w:sz w:val="28"/>
          <w:szCs w:val="28"/>
          <w:rtl/>
        </w:rPr>
      </w:pPr>
      <w:r>
        <w:rPr>
          <w:rFonts w:ascii="David" w:hAnsi="David" w:cs="David" w:hint="cs"/>
          <w:sz w:val="28"/>
          <w:szCs w:val="28"/>
          <w:rtl/>
        </w:rPr>
        <w:t>הרתעה- התחלנו להכיר את היסודות, המשמעויות וההשלכות של הרתעה גרעינית. נלמד בהמשך גם על הרתעה קונבנציונאלית.</w:t>
      </w:r>
    </w:p>
    <w:p w14:paraId="60B84052" w14:textId="2C11942D" w:rsidR="00BC2FD3" w:rsidRDefault="00BC2FD3" w:rsidP="00B74E64">
      <w:pPr>
        <w:spacing w:line="360" w:lineRule="auto"/>
        <w:rPr>
          <w:rFonts w:ascii="David" w:hAnsi="David" w:cs="David"/>
          <w:sz w:val="28"/>
          <w:szCs w:val="28"/>
          <w:rtl/>
        </w:rPr>
      </w:pPr>
      <w:r w:rsidRPr="00BC2FD3">
        <w:rPr>
          <w:rFonts w:ascii="David" w:hAnsi="David" w:cs="David" w:hint="cs"/>
          <w:b/>
          <w:bCs/>
          <w:sz w:val="28"/>
          <w:szCs w:val="28"/>
          <w:rtl/>
        </w:rPr>
        <w:t>מדיניות המענה</w:t>
      </w:r>
      <w:r>
        <w:rPr>
          <w:rFonts w:ascii="David" w:hAnsi="David" w:cs="David" w:hint="cs"/>
          <w:sz w:val="28"/>
          <w:szCs w:val="28"/>
          <w:rtl/>
        </w:rPr>
        <w:t>: בתחום ביטחון לאומי</w:t>
      </w:r>
    </w:p>
    <w:p w14:paraId="396E5957" w14:textId="0CB42083" w:rsidR="00BC2FD3" w:rsidRDefault="00BC2FD3" w:rsidP="00B74E64">
      <w:pPr>
        <w:spacing w:line="360" w:lineRule="auto"/>
        <w:rPr>
          <w:rFonts w:ascii="David" w:hAnsi="David" w:cs="David"/>
          <w:sz w:val="28"/>
          <w:szCs w:val="28"/>
          <w:rtl/>
        </w:rPr>
      </w:pPr>
      <w:r>
        <w:rPr>
          <w:rFonts w:ascii="David" w:hAnsi="David" w:cs="David" w:hint="cs"/>
          <w:sz w:val="28"/>
          <w:szCs w:val="28"/>
          <w:rtl/>
        </w:rPr>
        <w:t>מהי מדיניות בהקשרי ביטחון לאומי</w:t>
      </w:r>
      <w:r w:rsidR="004663F1">
        <w:rPr>
          <w:rFonts w:ascii="David" w:hAnsi="David" w:cs="David" w:hint="cs"/>
          <w:sz w:val="28"/>
          <w:szCs w:val="28"/>
          <w:rtl/>
        </w:rPr>
        <w:t xml:space="preserve"> ? ע"פ אילו מרכיבים נקבעת ?</w:t>
      </w:r>
    </w:p>
    <w:p w14:paraId="4834FC3B" w14:textId="7A93E489" w:rsidR="00BC2FD3" w:rsidRDefault="00BC2FD3" w:rsidP="00BC2FD3">
      <w:pPr>
        <w:pStyle w:val="a3"/>
        <w:numPr>
          <w:ilvl w:val="0"/>
          <w:numId w:val="6"/>
        </w:numPr>
        <w:spacing w:line="360" w:lineRule="auto"/>
        <w:rPr>
          <w:rFonts w:ascii="David" w:hAnsi="David" w:cs="David"/>
          <w:sz w:val="28"/>
          <w:szCs w:val="28"/>
        </w:rPr>
      </w:pPr>
      <w:r>
        <w:rPr>
          <w:rFonts w:ascii="David" w:hAnsi="David" w:cs="David" w:hint="cs"/>
          <w:sz w:val="28"/>
          <w:szCs w:val="28"/>
          <w:rtl/>
        </w:rPr>
        <w:t xml:space="preserve">אינטרסים </w:t>
      </w:r>
      <w:r>
        <w:rPr>
          <w:rFonts w:ascii="David" w:hAnsi="David" w:cs="David"/>
          <w:sz w:val="28"/>
          <w:szCs w:val="28"/>
          <w:rtl/>
        </w:rPr>
        <w:t>–</w:t>
      </w:r>
      <w:r>
        <w:rPr>
          <w:rFonts w:ascii="David" w:hAnsi="David" w:cs="David" w:hint="cs"/>
          <w:sz w:val="28"/>
          <w:szCs w:val="28"/>
          <w:rtl/>
        </w:rPr>
        <w:t xml:space="preserve"> אשר ממנו נגזרות המטרות שלנו</w:t>
      </w:r>
    </w:p>
    <w:p w14:paraId="27A63B7C" w14:textId="7356C707" w:rsidR="00BC2FD3" w:rsidRDefault="00BC2FD3" w:rsidP="00BC2FD3">
      <w:pPr>
        <w:pStyle w:val="a3"/>
        <w:numPr>
          <w:ilvl w:val="0"/>
          <w:numId w:val="6"/>
        </w:numPr>
        <w:spacing w:line="360" w:lineRule="auto"/>
        <w:rPr>
          <w:rFonts w:ascii="David" w:hAnsi="David" w:cs="David"/>
          <w:sz w:val="28"/>
          <w:szCs w:val="28"/>
        </w:rPr>
      </w:pPr>
      <w:r>
        <w:rPr>
          <w:rFonts w:ascii="David" w:hAnsi="David" w:cs="David" w:hint="cs"/>
          <w:sz w:val="28"/>
          <w:szCs w:val="28"/>
          <w:rtl/>
        </w:rPr>
        <w:t xml:space="preserve">איומים והזדמנויות </w:t>
      </w:r>
      <w:r>
        <w:rPr>
          <w:rFonts w:ascii="David" w:hAnsi="David" w:cs="David"/>
          <w:sz w:val="28"/>
          <w:szCs w:val="28"/>
          <w:rtl/>
        </w:rPr>
        <w:t>–</w:t>
      </w:r>
      <w:r>
        <w:rPr>
          <w:rFonts w:ascii="David" w:hAnsi="David" w:cs="David" w:hint="cs"/>
          <w:sz w:val="28"/>
          <w:szCs w:val="28"/>
          <w:rtl/>
        </w:rPr>
        <w:t xml:space="preserve"> אל מול האינטרסים</w:t>
      </w:r>
    </w:p>
    <w:p w14:paraId="02EB7931" w14:textId="7FF7FA72" w:rsidR="00BC2FD3" w:rsidRDefault="00BC2FD3" w:rsidP="00BC2FD3">
      <w:pPr>
        <w:pStyle w:val="a3"/>
        <w:numPr>
          <w:ilvl w:val="0"/>
          <w:numId w:val="6"/>
        </w:numPr>
        <w:spacing w:line="360" w:lineRule="auto"/>
        <w:rPr>
          <w:rFonts w:ascii="David" w:hAnsi="David" w:cs="David"/>
          <w:sz w:val="28"/>
          <w:szCs w:val="28"/>
        </w:rPr>
      </w:pPr>
      <w:r>
        <w:rPr>
          <w:rFonts w:ascii="David" w:hAnsi="David" w:cs="David" w:hint="cs"/>
          <w:sz w:val="28"/>
          <w:szCs w:val="28"/>
          <w:rtl/>
        </w:rPr>
        <w:t xml:space="preserve">המענה </w:t>
      </w:r>
      <w:r>
        <w:rPr>
          <w:rFonts w:ascii="David" w:hAnsi="David" w:cs="David"/>
          <w:sz w:val="28"/>
          <w:szCs w:val="28"/>
          <w:rtl/>
        </w:rPr>
        <w:t>–</w:t>
      </w:r>
      <w:r>
        <w:rPr>
          <w:rFonts w:ascii="David" w:hAnsi="David" w:cs="David" w:hint="cs"/>
          <w:sz w:val="28"/>
          <w:szCs w:val="28"/>
          <w:rtl/>
        </w:rPr>
        <w:t xml:space="preserve"> מה עושים?</w:t>
      </w:r>
    </w:p>
    <w:p w14:paraId="37583E62" w14:textId="069E7E73" w:rsidR="006D0A76" w:rsidRDefault="00E958AC" w:rsidP="006D0A76">
      <w:pPr>
        <w:spacing w:line="360" w:lineRule="auto"/>
        <w:rPr>
          <w:rFonts w:ascii="David" w:hAnsi="David" w:cs="David"/>
          <w:sz w:val="28"/>
          <w:szCs w:val="28"/>
          <w:rtl/>
        </w:rPr>
      </w:pPr>
      <w:r>
        <w:rPr>
          <w:rFonts w:ascii="David" w:hAnsi="David" w:cs="David" w:hint="cs"/>
          <w:sz w:val="28"/>
          <w:szCs w:val="28"/>
          <w:rtl/>
        </w:rPr>
        <w:t>הצורך בשלושת המרכיבים הללו,  מ</w:t>
      </w:r>
      <w:r w:rsidR="004663F1">
        <w:rPr>
          <w:rFonts w:ascii="David" w:hAnsi="David" w:cs="David" w:hint="cs"/>
          <w:sz w:val="28"/>
          <w:szCs w:val="28"/>
          <w:rtl/>
        </w:rPr>
        <w:t xml:space="preserve">חייב </w:t>
      </w:r>
      <w:r w:rsidR="004663F1">
        <w:rPr>
          <w:rFonts w:ascii="David" w:hAnsi="David" w:cs="David" w:hint="cs"/>
          <w:b/>
          <w:bCs/>
          <w:sz w:val="28"/>
          <w:szCs w:val="28"/>
          <w:rtl/>
        </w:rPr>
        <w:t xml:space="preserve">קיום </w:t>
      </w:r>
      <w:r w:rsidRPr="00E958AC">
        <w:rPr>
          <w:rFonts w:ascii="David" w:hAnsi="David" w:cs="David" w:hint="cs"/>
          <w:b/>
          <w:bCs/>
          <w:sz w:val="28"/>
          <w:szCs w:val="28"/>
          <w:rtl/>
        </w:rPr>
        <w:t>גופים האחראים</w:t>
      </w:r>
      <w:r>
        <w:rPr>
          <w:rFonts w:ascii="David" w:hAnsi="David" w:cs="David" w:hint="cs"/>
          <w:sz w:val="28"/>
          <w:szCs w:val="28"/>
          <w:rtl/>
        </w:rPr>
        <w:t xml:space="preserve"> על כל אח</w:t>
      </w:r>
      <w:r w:rsidR="006D0A76">
        <w:rPr>
          <w:rFonts w:ascii="David" w:hAnsi="David" w:cs="David" w:hint="cs"/>
          <w:sz w:val="28"/>
          <w:szCs w:val="28"/>
          <w:rtl/>
        </w:rPr>
        <w:t>ת מהפונקציות שצוינו.</w:t>
      </w:r>
    </w:p>
    <w:p w14:paraId="36F32237" w14:textId="62C6B948" w:rsidR="006D0A76" w:rsidRDefault="006D0A76" w:rsidP="006D0A76">
      <w:pPr>
        <w:spacing w:line="360" w:lineRule="auto"/>
        <w:rPr>
          <w:rFonts w:ascii="David" w:hAnsi="David" w:cs="David"/>
          <w:sz w:val="28"/>
          <w:szCs w:val="28"/>
          <w:rtl/>
        </w:rPr>
      </w:pPr>
      <w:r>
        <w:rPr>
          <w:rFonts w:ascii="David" w:hAnsi="David" w:cs="David" w:hint="cs"/>
          <w:sz w:val="28"/>
          <w:szCs w:val="28"/>
          <w:rtl/>
        </w:rPr>
        <w:t xml:space="preserve">לדוג' בצה"ל: מטרות </w:t>
      </w:r>
      <w:r>
        <w:rPr>
          <w:rFonts w:ascii="David" w:hAnsi="David" w:cs="David"/>
          <w:sz w:val="28"/>
          <w:szCs w:val="28"/>
          <w:rtl/>
        </w:rPr>
        <w:t>–</w:t>
      </w:r>
      <w:r>
        <w:rPr>
          <w:rFonts w:ascii="David" w:hAnsi="David" w:cs="David" w:hint="cs"/>
          <w:sz w:val="28"/>
          <w:szCs w:val="28"/>
          <w:rtl/>
        </w:rPr>
        <w:t xml:space="preserve"> נקבע ע"י </w:t>
      </w:r>
      <w:proofErr w:type="spellStart"/>
      <w:r>
        <w:rPr>
          <w:rFonts w:ascii="David" w:hAnsi="David" w:cs="David" w:hint="cs"/>
          <w:sz w:val="28"/>
          <w:szCs w:val="28"/>
          <w:rtl/>
        </w:rPr>
        <w:t>אג"ת</w:t>
      </w:r>
      <w:proofErr w:type="spellEnd"/>
      <w:r>
        <w:rPr>
          <w:rFonts w:ascii="David" w:hAnsi="David" w:cs="David" w:hint="cs"/>
          <w:sz w:val="28"/>
          <w:szCs w:val="28"/>
          <w:rtl/>
        </w:rPr>
        <w:t xml:space="preserve">, הזדמנויות וסיכונים </w:t>
      </w:r>
      <w:r>
        <w:rPr>
          <w:rFonts w:ascii="David" w:hAnsi="David" w:cs="David"/>
          <w:sz w:val="28"/>
          <w:szCs w:val="28"/>
          <w:rtl/>
        </w:rPr>
        <w:t>–</w:t>
      </w:r>
      <w:r>
        <w:rPr>
          <w:rFonts w:ascii="David" w:hAnsi="David" w:cs="David" w:hint="cs"/>
          <w:sz w:val="28"/>
          <w:szCs w:val="28"/>
          <w:rtl/>
        </w:rPr>
        <w:t xml:space="preserve"> אמ"ן, מענה </w:t>
      </w:r>
      <w:r>
        <w:rPr>
          <w:rFonts w:ascii="David" w:hAnsi="David" w:cs="David"/>
          <w:sz w:val="28"/>
          <w:szCs w:val="28"/>
          <w:rtl/>
        </w:rPr>
        <w:t>–</w:t>
      </w:r>
      <w:r>
        <w:rPr>
          <w:rFonts w:ascii="David" w:hAnsi="David" w:cs="David" w:hint="cs"/>
          <w:sz w:val="28"/>
          <w:szCs w:val="28"/>
          <w:rtl/>
        </w:rPr>
        <w:t xml:space="preserve"> </w:t>
      </w:r>
      <w:proofErr w:type="spellStart"/>
      <w:r>
        <w:rPr>
          <w:rFonts w:ascii="David" w:hAnsi="David" w:cs="David" w:hint="cs"/>
          <w:sz w:val="28"/>
          <w:szCs w:val="28"/>
          <w:rtl/>
        </w:rPr>
        <w:t>אמ"צ</w:t>
      </w:r>
      <w:proofErr w:type="spellEnd"/>
      <w:r>
        <w:rPr>
          <w:rFonts w:ascii="David" w:hAnsi="David" w:cs="David" w:hint="cs"/>
          <w:sz w:val="28"/>
          <w:szCs w:val="28"/>
          <w:rtl/>
        </w:rPr>
        <w:t>.</w:t>
      </w:r>
    </w:p>
    <w:p w14:paraId="187EF315" w14:textId="796D8DF7" w:rsidR="004663F1" w:rsidRDefault="004663F1" w:rsidP="006D0A76">
      <w:pPr>
        <w:spacing w:line="360" w:lineRule="auto"/>
        <w:rPr>
          <w:rFonts w:ascii="David" w:hAnsi="David" w:cs="David"/>
          <w:sz w:val="28"/>
          <w:szCs w:val="28"/>
          <w:rtl/>
        </w:rPr>
      </w:pPr>
      <w:r>
        <w:rPr>
          <w:rFonts w:ascii="David" w:hAnsi="David" w:cs="David" w:hint="cs"/>
          <w:sz w:val="28"/>
          <w:szCs w:val="28"/>
          <w:rtl/>
        </w:rPr>
        <w:t>תמיד ישנה חלוקה אסטרטגית, הגם ששינם גופים לא פורמליים העוסקים בגיבוש מדיניות הביטחון. בישראל לאורך ההיסטוריה, אין הגדרה ברורה למדיניות או "מטרות הביטחון הלאומי". ומסתבר כי ניתן לפעול ב"מרחב" הלא ברור הזה...</w:t>
      </w:r>
    </w:p>
    <w:p w14:paraId="7AEC2ADF" w14:textId="778E626A" w:rsidR="00AB2FDE" w:rsidRDefault="00AB2FDE" w:rsidP="006D0A76">
      <w:pPr>
        <w:spacing w:line="360" w:lineRule="auto"/>
        <w:rPr>
          <w:rFonts w:ascii="David" w:hAnsi="David" w:cs="David" w:hint="cs"/>
          <w:sz w:val="28"/>
          <w:szCs w:val="28"/>
          <w:rtl/>
        </w:rPr>
      </w:pPr>
      <w:r>
        <w:rPr>
          <w:rFonts w:ascii="David" w:hAnsi="David" w:cs="David" w:hint="cs"/>
          <w:sz w:val="28"/>
          <w:szCs w:val="28"/>
          <w:rtl/>
        </w:rPr>
        <w:lastRenderedPageBreak/>
        <w:t xml:space="preserve">התאמות ותכולות </w:t>
      </w:r>
      <w:r w:rsidR="00646E0C">
        <w:rPr>
          <w:rFonts w:ascii="David" w:hAnsi="David" w:cs="David" w:hint="cs"/>
          <w:sz w:val="28"/>
          <w:szCs w:val="28"/>
          <w:rtl/>
        </w:rPr>
        <w:t xml:space="preserve">לתכנון </w:t>
      </w:r>
      <w:r>
        <w:rPr>
          <w:rFonts w:ascii="David" w:hAnsi="David" w:cs="David" w:hint="cs"/>
          <w:sz w:val="28"/>
          <w:szCs w:val="28"/>
          <w:rtl/>
        </w:rPr>
        <w:t>המדיניות הביטחונית:</w:t>
      </w:r>
    </w:p>
    <w:p w14:paraId="1C698C5A" w14:textId="14C10065" w:rsidR="00C840E3" w:rsidRDefault="00AB2FDE" w:rsidP="00AB2FDE">
      <w:pPr>
        <w:pStyle w:val="a3"/>
        <w:numPr>
          <w:ilvl w:val="0"/>
          <w:numId w:val="7"/>
        </w:numPr>
        <w:spacing w:line="360" w:lineRule="auto"/>
        <w:rPr>
          <w:rFonts w:ascii="David" w:hAnsi="David" w:cs="David"/>
          <w:sz w:val="28"/>
          <w:szCs w:val="28"/>
        </w:rPr>
      </w:pPr>
      <w:r w:rsidRPr="00C840E3">
        <w:rPr>
          <w:rFonts w:ascii="David" w:hAnsi="David" w:cs="David" w:hint="cs"/>
          <w:sz w:val="28"/>
          <w:szCs w:val="28"/>
          <w:rtl/>
        </w:rPr>
        <w:t>אינטרסים לאומיים ("אסטרטגיית על")</w:t>
      </w:r>
      <w:r w:rsidR="00FA2CF0">
        <w:rPr>
          <w:rFonts w:ascii="David" w:hAnsi="David" w:cs="David" w:hint="cs"/>
          <w:sz w:val="28"/>
          <w:szCs w:val="28"/>
          <w:rtl/>
        </w:rPr>
        <w:t>,</w:t>
      </w:r>
      <w:r w:rsidR="00C840E3" w:rsidRPr="00C840E3">
        <w:rPr>
          <w:rFonts w:ascii="David" w:hAnsi="David" w:cs="David" w:hint="cs"/>
          <w:sz w:val="28"/>
          <w:szCs w:val="28"/>
          <w:rtl/>
        </w:rPr>
        <w:t xml:space="preserve"> בארה"ב לדוג': </w:t>
      </w:r>
      <w:r w:rsidR="00C840E3" w:rsidRPr="00C840E3">
        <w:rPr>
          <w:rFonts w:ascii="David" w:hAnsi="David" w:cs="David" w:hint="cs"/>
          <w:sz w:val="28"/>
          <w:szCs w:val="28"/>
        </w:rPr>
        <w:t>NSS</w:t>
      </w:r>
      <w:r w:rsidR="00C840E3" w:rsidRPr="00C840E3">
        <w:rPr>
          <w:rFonts w:ascii="David" w:hAnsi="David" w:cs="David"/>
          <w:sz w:val="28"/>
          <w:szCs w:val="28"/>
        </w:rPr>
        <w:t xml:space="preserve"> (national strategic)</w:t>
      </w:r>
    </w:p>
    <w:p w14:paraId="582C8194" w14:textId="7B5C3BA8" w:rsidR="00AB2FDE" w:rsidRPr="00C840E3" w:rsidRDefault="00AB2FDE" w:rsidP="00AB2FDE">
      <w:pPr>
        <w:pStyle w:val="a3"/>
        <w:numPr>
          <w:ilvl w:val="0"/>
          <w:numId w:val="7"/>
        </w:numPr>
        <w:spacing w:line="360" w:lineRule="auto"/>
        <w:rPr>
          <w:rFonts w:ascii="David" w:hAnsi="David" w:cs="David"/>
          <w:sz w:val="28"/>
          <w:szCs w:val="28"/>
        </w:rPr>
      </w:pPr>
      <w:proofErr w:type="spellStart"/>
      <w:r w:rsidRPr="00C840E3">
        <w:rPr>
          <w:rFonts w:ascii="David" w:hAnsi="David" w:cs="David" w:hint="cs"/>
          <w:sz w:val="28"/>
          <w:szCs w:val="28"/>
          <w:rtl/>
        </w:rPr>
        <w:t>הע"מ</w:t>
      </w:r>
      <w:proofErr w:type="spellEnd"/>
      <w:r w:rsidRPr="00C840E3">
        <w:rPr>
          <w:rFonts w:ascii="David" w:hAnsi="David" w:cs="David" w:hint="cs"/>
          <w:sz w:val="28"/>
          <w:szCs w:val="28"/>
          <w:rtl/>
        </w:rPr>
        <w:t xml:space="preserve"> מודיעינית</w:t>
      </w:r>
    </w:p>
    <w:p w14:paraId="3774A69A" w14:textId="44C372DB" w:rsidR="00AB2FDE" w:rsidRDefault="00AB2FDE" w:rsidP="00AB2FDE">
      <w:pPr>
        <w:pStyle w:val="a3"/>
        <w:numPr>
          <w:ilvl w:val="0"/>
          <w:numId w:val="7"/>
        </w:numPr>
        <w:spacing w:line="360" w:lineRule="auto"/>
        <w:rPr>
          <w:rFonts w:ascii="David" w:hAnsi="David" w:cs="David"/>
          <w:sz w:val="28"/>
          <w:szCs w:val="28"/>
        </w:rPr>
      </w:pPr>
      <w:r>
        <w:rPr>
          <w:rFonts w:ascii="David" w:hAnsi="David" w:cs="David" w:hint="cs"/>
          <w:sz w:val="28"/>
          <w:szCs w:val="28"/>
          <w:rtl/>
        </w:rPr>
        <w:t>הערכה אסטרטגית</w:t>
      </w:r>
    </w:p>
    <w:p w14:paraId="191A2117" w14:textId="4BACD264" w:rsidR="00AB2FDE" w:rsidRDefault="00AB2FDE" w:rsidP="00AB2FDE">
      <w:pPr>
        <w:pStyle w:val="a3"/>
        <w:numPr>
          <w:ilvl w:val="0"/>
          <w:numId w:val="7"/>
        </w:numPr>
        <w:spacing w:line="360" w:lineRule="auto"/>
        <w:rPr>
          <w:rFonts w:ascii="David" w:hAnsi="David" w:cs="David"/>
          <w:sz w:val="28"/>
          <w:szCs w:val="28"/>
        </w:rPr>
      </w:pPr>
      <w:r>
        <w:rPr>
          <w:rFonts w:ascii="David" w:hAnsi="David" w:cs="David" w:hint="cs"/>
          <w:sz w:val="28"/>
          <w:szCs w:val="28"/>
          <w:rtl/>
        </w:rPr>
        <w:t>תכנון מדיניות והתאמות</w:t>
      </w:r>
    </w:p>
    <w:p w14:paraId="40101F45" w14:textId="46ED5E80" w:rsidR="0051207B" w:rsidRDefault="0051207B" w:rsidP="0051207B">
      <w:pPr>
        <w:pStyle w:val="a3"/>
        <w:numPr>
          <w:ilvl w:val="0"/>
          <w:numId w:val="8"/>
        </w:numPr>
        <w:spacing w:line="360" w:lineRule="auto"/>
        <w:rPr>
          <w:rFonts w:ascii="David" w:hAnsi="David" w:cs="David"/>
          <w:sz w:val="28"/>
          <w:szCs w:val="28"/>
        </w:rPr>
      </w:pPr>
      <w:r>
        <w:rPr>
          <w:rFonts w:ascii="David" w:hAnsi="David" w:cs="David" w:hint="cs"/>
          <w:sz w:val="28"/>
          <w:szCs w:val="28"/>
          <w:rtl/>
        </w:rPr>
        <w:t>ישראל נחשבת למדינה "א-</w:t>
      </w:r>
      <w:proofErr w:type="spellStart"/>
      <w:r>
        <w:rPr>
          <w:rFonts w:ascii="David" w:hAnsi="David" w:cs="David" w:hint="cs"/>
          <w:sz w:val="28"/>
          <w:szCs w:val="28"/>
          <w:rtl/>
        </w:rPr>
        <w:t>נומלית</w:t>
      </w:r>
      <w:proofErr w:type="spellEnd"/>
      <w:r>
        <w:rPr>
          <w:rFonts w:ascii="David" w:hAnsi="David" w:cs="David" w:hint="cs"/>
          <w:sz w:val="28"/>
          <w:szCs w:val="28"/>
          <w:rtl/>
        </w:rPr>
        <w:t>" בתחומי הדמוקרטיה, מדינה "</w:t>
      </w:r>
      <w:proofErr w:type="spellStart"/>
      <w:r>
        <w:rPr>
          <w:rFonts w:ascii="David" w:hAnsi="David" w:cs="David" w:hint="cs"/>
          <w:sz w:val="28"/>
          <w:szCs w:val="28"/>
          <w:rtl/>
        </w:rPr>
        <w:t>מילטריסטית</w:t>
      </w:r>
      <w:proofErr w:type="spellEnd"/>
      <w:r>
        <w:rPr>
          <w:rFonts w:ascii="David" w:hAnsi="David" w:cs="David" w:hint="cs"/>
          <w:sz w:val="28"/>
          <w:szCs w:val="28"/>
          <w:rtl/>
        </w:rPr>
        <w:t>" באופן חריג ביחס למדינות העולם</w:t>
      </w:r>
      <w:r w:rsidR="008C1F93">
        <w:rPr>
          <w:rFonts w:ascii="David" w:hAnsi="David" w:cs="David" w:hint="cs"/>
          <w:sz w:val="28"/>
          <w:szCs w:val="28"/>
          <w:rtl/>
        </w:rPr>
        <w:t>. אחת הדוגמאות היא העובדה שסקירה מודיעינית מגובשת ע"י גורם צבאי (אמ"ן בשיתוף מוסד, שב"כ, משרד החוץ) ולא גורם אזרחי.</w:t>
      </w:r>
      <w:r w:rsidR="00646E0C">
        <w:rPr>
          <w:rFonts w:ascii="David" w:hAnsi="David" w:cs="David" w:hint="cs"/>
          <w:sz w:val="28"/>
          <w:szCs w:val="28"/>
          <w:rtl/>
        </w:rPr>
        <w:t xml:space="preserve"> יתרה מכך, בתחום המודיעין, אין בישראל גוף המבצע אינטגרציה בין כל מוסדות המודיעין בישראל.</w:t>
      </w:r>
    </w:p>
    <w:p w14:paraId="1B4F3815" w14:textId="7A266759" w:rsidR="00646E0C" w:rsidRDefault="00646E0C" w:rsidP="00646E0C">
      <w:pPr>
        <w:spacing w:line="360" w:lineRule="auto"/>
        <w:rPr>
          <w:rFonts w:ascii="David" w:hAnsi="David" w:cs="David"/>
          <w:sz w:val="28"/>
          <w:szCs w:val="28"/>
          <w:rtl/>
        </w:rPr>
      </w:pPr>
      <w:r>
        <w:rPr>
          <w:rFonts w:ascii="David" w:hAnsi="David" w:cs="David" w:hint="cs"/>
          <w:sz w:val="28"/>
          <w:szCs w:val="28"/>
          <w:rtl/>
        </w:rPr>
        <w:t>המודיעין ותפקיד</w:t>
      </w:r>
      <w:r w:rsidR="00532A59">
        <w:rPr>
          <w:rFonts w:ascii="David" w:hAnsi="David" w:cs="David" w:hint="cs"/>
          <w:sz w:val="28"/>
          <w:szCs w:val="28"/>
          <w:rtl/>
        </w:rPr>
        <w:t>יו</w:t>
      </w:r>
      <w:r>
        <w:rPr>
          <w:rFonts w:ascii="David" w:hAnsi="David" w:cs="David" w:hint="cs"/>
          <w:sz w:val="28"/>
          <w:szCs w:val="28"/>
          <w:rtl/>
        </w:rPr>
        <w:t xml:space="preserve"> שלו בתוך הביטחון הלאומי:</w:t>
      </w:r>
    </w:p>
    <w:p w14:paraId="21D26533" w14:textId="7FADAB57" w:rsidR="00646E0C" w:rsidRDefault="00646E0C" w:rsidP="00646E0C">
      <w:pPr>
        <w:pStyle w:val="a3"/>
        <w:numPr>
          <w:ilvl w:val="0"/>
          <w:numId w:val="9"/>
        </w:numPr>
        <w:spacing w:line="360" w:lineRule="auto"/>
        <w:rPr>
          <w:rFonts w:ascii="David" w:hAnsi="David" w:cs="David"/>
          <w:sz w:val="28"/>
          <w:szCs w:val="28"/>
        </w:rPr>
      </w:pPr>
      <w:r>
        <w:rPr>
          <w:rFonts w:ascii="David" w:hAnsi="David" w:cs="David" w:hint="cs"/>
          <w:sz w:val="28"/>
          <w:szCs w:val="28"/>
          <w:rtl/>
        </w:rPr>
        <w:t xml:space="preserve">"מה זה מודיעין" ? תפקיד מודיעין בכל מקום בעולם..."מוסד לבירור המציאות". בתוך כך נדרש לברר מידע על "הצד השני" וכן על המציאות, מכל סוג שהוא, הרלוונטית לאסטרטג. מודיעין "מתכתב" עם תפקידי המדע (לתאר את המציאות, לעשות פרדיקציה-חיזוי). ההבדל העיקרי בין מדע ומודיעין הוא בכך שבמודיעין נמצאים מול "הצד השני" והוא עוסק בפעילות מודיעינית כלפיי (הסתרה </w:t>
      </w:r>
      <w:proofErr w:type="spellStart"/>
      <w:r>
        <w:rPr>
          <w:rFonts w:ascii="David" w:hAnsi="David" w:cs="David" w:hint="cs"/>
          <w:sz w:val="28"/>
          <w:szCs w:val="28"/>
          <w:rtl/>
        </w:rPr>
        <w:t>וכיוב</w:t>
      </w:r>
      <w:proofErr w:type="spellEnd"/>
      <w:r>
        <w:rPr>
          <w:rFonts w:ascii="David" w:hAnsi="David" w:cs="David" w:hint="cs"/>
          <w:sz w:val="28"/>
          <w:szCs w:val="28"/>
          <w:rtl/>
        </w:rPr>
        <w:t>'). במדע, זה לא קיים.</w:t>
      </w:r>
    </w:p>
    <w:p w14:paraId="65A81803" w14:textId="2AA168E2" w:rsidR="00646E0C" w:rsidRDefault="00646E0C" w:rsidP="00646E0C">
      <w:pPr>
        <w:pStyle w:val="a3"/>
        <w:numPr>
          <w:ilvl w:val="0"/>
          <w:numId w:val="9"/>
        </w:numPr>
        <w:spacing w:line="360" w:lineRule="auto"/>
        <w:rPr>
          <w:rFonts w:ascii="David" w:hAnsi="David" w:cs="David"/>
          <w:sz w:val="28"/>
          <w:szCs w:val="28"/>
        </w:rPr>
      </w:pPr>
      <w:r>
        <w:rPr>
          <w:rFonts w:ascii="David" w:hAnsi="David" w:cs="David" w:hint="cs"/>
          <w:sz w:val="28"/>
          <w:szCs w:val="28"/>
          <w:rtl/>
        </w:rPr>
        <w:t>תפקיד המודיעין לא רק בתיאור המציאות</w:t>
      </w:r>
      <w:r w:rsidR="00114436">
        <w:rPr>
          <w:rFonts w:ascii="David" w:hAnsi="David" w:cs="David" w:hint="cs"/>
          <w:sz w:val="28"/>
          <w:szCs w:val="28"/>
          <w:rtl/>
        </w:rPr>
        <w:t>, כי אם בניתוח ובהערכות מצב קדימה.</w:t>
      </w:r>
    </w:p>
    <w:p w14:paraId="28CC92C3" w14:textId="5901D6BB" w:rsidR="00114436" w:rsidRDefault="00114436" w:rsidP="00646E0C">
      <w:pPr>
        <w:pStyle w:val="a3"/>
        <w:numPr>
          <w:ilvl w:val="0"/>
          <w:numId w:val="9"/>
        </w:numPr>
        <w:spacing w:line="360" w:lineRule="auto"/>
        <w:rPr>
          <w:rFonts w:ascii="David" w:hAnsi="David" w:cs="David"/>
          <w:sz w:val="28"/>
          <w:szCs w:val="28"/>
        </w:rPr>
      </w:pPr>
      <w:r>
        <w:rPr>
          <w:rFonts w:ascii="David" w:hAnsi="David" w:cs="David" w:hint="cs"/>
          <w:sz w:val="28"/>
          <w:szCs w:val="28"/>
          <w:rtl/>
        </w:rPr>
        <w:t xml:space="preserve">הונאה, הסתרה והטעיה </w:t>
      </w:r>
      <w:r>
        <w:rPr>
          <w:rFonts w:ascii="David" w:hAnsi="David" w:cs="David"/>
          <w:sz w:val="28"/>
          <w:szCs w:val="28"/>
          <w:rtl/>
        </w:rPr>
        <w:t>–</w:t>
      </w:r>
      <w:r>
        <w:rPr>
          <w:rFonts w:ascii="David" w:hAnsi="David" w:cs="David" w:hint="cs"/>
          <w:sz w:val="28"/>
          <w:szCs w:val="28"/>
          <w:rtl/>
        </w:rPr>
        <w:t xml:space="preserve"> "</w:t>
      </w:r>
      <w:proofErr w:type="spellStart"/>
      <w:r>
        <w:rPr>
          <w:rFonts w:ascii="David" w:hAnsi="David" w:cs="David" w:hint="cs"/>
          <w:sz w:val="28"/>
          <w:szCs w:val="28"/>
          <w:rtl/>
        </w:rPr>
        <w:t>מסקירופסקה</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מונח שהחלו להשתמש גם בעולם המערבי.</w:t>
      </w:r>
    </w:p>
    <w:p w14:paraId="3697A9D6" w14:textId="38E51084" w:rsidR="00114436" w:rsidRDefault="00114436" w:rsidP="00646E0C">
      <w:pPr>
        <w:pStyle w:val="a3"/>
        <w:numPr>
          <w:ilvl w:val="0"/>
          <w:numId w:val="9"/>
        </w:numPr>
        <w:spacing w:line="360" w:lineRule="auto"/>
        <w:rPr>
          <w:rFonts w:ascii="David" w:hAnsi="David" w:cs="David"/>
          <w:sz w:val="28"/>
          <w:szCs w:val="28"/>
        </w:rPr>
      </w:pPr>
      <w:r>
        <w:rPr>
          <w:rFonts w:ascii="David" w:hAnsi="David" w:cs="David" w:hint="cs"/>
          <w:sz w:val="28"/>
          <w:szCs w:val="28"/>
          <w:rtl/>
        </w:rPr>
        <w:t xml:space="preserve">סודיות ומידור </w:t>
      </w:r>
      <w:r>
        <w:rPr>
          <w:rFonts w:ascii="David" w:hAnsi="David" w:cs="David"/>
          <w:sz w:val="28"/>
          <w:szCs w:val="28"/>
          <w:rtl/>
        </w:rPr>
        <w:t>–</w:t>
      </w:r>
      <w:r>
        <w:rPr>
          <w:rFonts w:ascii="David" w:hAnsi="David" w:cs="David" w:hint="cs"/>
          <w:sz w:val="28"/>
          <w:szCs w:val="28"/>
          <w:rtl/>
        </w:rPr>
        <w:t xml:space="preserve"> הגבלת המידע לעומק ולרוחב, כדי להקשות על הצד השני לברור המציאות.</w:t>
      </w:r>
    </w:p>
    <w:p w14:paraId="46B77B3C" w14:textId="2E57AD9B" w:rsidR="00114436" w:rsidRDefault="00114436" w:rsidP="00646E0C">
      <w:pPr>
        <w:pStyle w:val="a3"/>
        <w:numPr>
          <w:ilvl w:val="0"/>
          <w:numId w:val="9"/>
        </w:numPr>
        <w:spacing w:line="360" w:lineRule="auto"/>
        <w:rPr>
          <w:rFonts w:ascii="David" w:hAnsi="David" w:cs="David"/>
          <w:sz w:val="28"/>
          <w:szCs w:val="28"/>
        </w:rPr>
      </w:pPr>
      <w:r>
        <w:rPr>
          <w:rFonts w:ascii="David" w:hAnsi="David" w:cs="David" w:hint="cs"/>
          <w:sz w:val="28"/>
          <w:szCs w:val="28"/>
          <w:rtl/>
        </w:rPr>
        <w:t>המטרה והמשימה המרכזית של גופי מודיעין</w:t>
      </w:r>
      <w:r w:rsidR="007E33B6">
        <w:rPr>
          <w:rFonts w:ascii="David" w:hAnsi="David" w:cs="David" w:hint="cs"/>
          <w:sz w:val="28"/>
          <w:szCs w:val="28"/>
          <w:rtl/>
        </w:rPr>
        <w:t>, לאפשר למנהיג אסטרטגי לקבל החלטה ע"ב בירור המציאות.</w:t>
      </w:r>
      <w:r w:rsidR="0035633D">
        <w:rPr>
          <w:rFonts w:ascii="David" w:hAnsi="David" w:cs="David" w:hint="cs"/>
          <w:sz w:val="28"/>
          <w:szCs w:val="28"/>
          <w:rtl/>
        </w:rPr>
        <w:t xml:space="preserve"> דוג' ראשונה בהיסטוריה </w:t>
      </w:r>
      <w:r w:rsidR="0035633D">
        <w:rPr>
          <w:rFonts w:ascii="David" w:hAnsi="David" w:cs="David"/>
          <w:sz w:val="28"/>
          <w:szCs w:val="28"/>
          <w:rtl/>
        </w:rPr>
        <w:t>–</w:t>
      </w:r>
      <w:r w:rsidR="0035633D">
        <w:rPr>
          <w:rFonts w:ascii="David" w:hAnsi="David" w:cs="David" w:hint="cs"/>
          <w:sz w:val="28"/>
          <w:szCs w:val="28"/>
          <w:rtl/>
        </w:rPr>
        <w:t xml:space="preserve"> נוח ושליחת היונה לחיפוש יבשה באופק והיכן לעצור עם התיבה...בסיפור המקרה...בהר אררט (תורכיה).</w:t>
      </w:r>
    </w:p>
    <w:p w14:paraId="185339F4" w14:textId="77777777" w:rsidR="00532A59" w:rsidRDefault="00532A59" w:rsidP="00646E0C">
      <w:pPr>
        <w:pStyle w:val="a3"/>
        <w:numPr>
          <w:ilvl w:val="0"/>
          <w:numId w:val="9"/>
        </w:numPr>
        <w:spacing w:line="360" w:lineRule="auto"/>
        <w:rPr>
          <w:rFonts w:ascii="David" w:hAnsi="David" w:cs="David"/>
          <w:sz w:val="28"/>
          <w:szCs w:val="28"/>
        </w:rPr>
      </w:pPr>
      <w:r>
        <w:rPr>
          <w:rFonts w:ascii="David" w:hAnsi="David" w:cs="David" w:hint="cs"/>
          <w:b/>
          <w:bCs/>
          <w:sz w:val="28"/>
          <w:szCs w:val="28"/>
          <w:rtl/>
        </w:rPr>
        <w:t>ייעוד ו</w:t>
      </w:r>
      <w:r w:rsidRPr="00532A59">
        <w:rPr>
          <w:rFonts w:ascii="David" w:hAnsi="David" w:cs="David" w:hint="cs"/>
          <w:b/>
          <w:bCs/>
          <w:sz w:val="28"/>
          <w:szCs w:val="28"/>
          <w:rtl/>
        </w:rPr>
        <w:t>מטרות המודיעין</w:t>
      </w:r>
      <w:r>
        <w:rPr>
          <w:rFonts w:ascii="David" w:hAnsi="David" w:cs="David" w:hint="cs"/>
          <w:sz w:val="28"/>
          <w:szCs w:val="28"/>
          <w:rtl/>
        </w:rPr>
        <w:t xml:space="preserve">: </w:t>
      </w:r>
    </w:p>
    <w:p w14:paraId="74ABD8EA" w14:textId="01E79069" w:rsidR="00532A59" w:rsidRDefault="00532A59" w:rsidP="00532A59">
      <w:pPr>
        <w:pStyle w:val="a3"/>
        <w:numPr>
          <w:ilvl w:val="0"/>
          <w:numId w:val="10"/>
        </w:numPr>
        <w:spacing w:line="360" w:lineRule="auto"/>
        <w:rPr>
          <w:rFonts w:ascii="David" w:hAnsi="David" w:cs="David"/>
          <w:sz w:val="28"/>
          <w:szCs w:val="28"/>
        </w:rPr>
      </w:pPr>
      <w:r>
        <w:rPr>
          <w:rFonts w:ascii="David" w:hAnsi="David" w:cs="David" w:hint="cs"/>
          <w:sz w:val="28"/>
          <w:szCs w:val="28"/>
          <w:rtl/>
        </w:rPr>
        <w:t>מניעת הפתעה אסטרטגית בגין אי-בירור המציאות.</w:t>
      </w:r>
    </w:p>
    <w:p w14:paraId="2B9BB7AE" w14:textId="0B08B8B3" w:rsidR="00532A59" w:rsidRDefault="00532A59" w:rsidP="00532A59">
      <w:pPr>
        <w:pStyle w:val="a3"/>
        <w:numPr>
          <w:ilvl w:val="0"/>
          <w:numId w:val="10"/>
        </w:numPr>
        <w:spacing w:line="360" w:lineRule="auto"/>
        <w:rPr>
          <w:rFonts w:ascii="David" w:hAnsi="David" w:cs="David"/>
          <w:sz w:val="28"/>
          <w:szCs w:val="28"/>
        </w:rPr>
      </w:pPr>
      <w:r>
        <w:rPr>
          <w:rFonts w:ascii="David" w:hAnsi="David" w:cs="David" w:hint="cs"/>
          <w:sz w:val="28"/>
          <w:szCs w:val="28"/>
          <w:rtl/>
        </w:rPr>
        <w:t>תמיכת תהליכים מדיניים</w:t>
      </w:r>
      <w:r w:rsidR="00835B39">
        <w:rPr>
          <w:rFonts w:ascii="David" w:hAnsi="David" w:cs="David" w:hint="cs"/>
          <w:sz w:val="28"/>
          <w:szCs w:val="28"/>
          <w:rtl/>
        </w:rPr>
        <w:t xml:space="preserve"> </w:t>
      </w:r>
      <w:r w:rsidR="00CC6A8F">
        <w:rPr>
          <w:rFonts w:ascii="David" w:hAnsi="David" w:cs="David" w:hint="cs"/>
          <w:sz w:val="28"/>
          <w:szCs w:val="28"/>
          <w:rtl/>
        </w:rPr>
        <w:t xml:space="preserve">של קבלת החלטות </w:t>
      </w:r>
      <w:r w:rsidR="00835B39">
        <w:rPr>
          <w:rFonts w:ascii="David" w:hAnsi="David" w:cs="David"/>
          <w:sz w:val="28"/>
          <w:szCs w:val="28"/>
          <w:rtl/>
        </w:rPr>
        <w:t>–</w:t>
      </w:r>
      <w:r w:rsidR="00835B39">
        <w:rPr>
          <w:rFonts w:ascii="David" w:hAnsi="David" w:cs="David" w:hint="cs"/>
          <w:sz w:val="28"/>
          <w:szCs w:val="28"/>
          <w:rtl/>
        </w:rPr>
        <w:t xml:space="preserve"> מסוגיות טקטיות ועד לסוגיות אסטרטגיות (עוצמה לאומית של המדינה), גם בנושאים דיפלומטיים וגם בנושאים צבאיים</w:t>
      </w:r>
    </w:p>
    <w:p w14:paraId="48FD5879" w14:textId="170F19AA" w:rsidR="00532A59" w:rsidRPr="00646E0C" w:rsidRDefault="00532A59" w:rsidP="00532A59">
      <w:pPr>
        <w:pStyle w:val="a3"/>
        <w:numPr>
          <w:ilvl w:val="0"/>
          <w:numId w:val="10"/>
        </w:numPr>
        <w:spacing w:line="360" w:lineRule="auto"/>
        <w:rPr>
          <w:rFonts w:ascii="David" w:hAnsi="David" w:cs="David"/>
          <w:sz w:val="28"/>
          <w:szCs w:val="28"/>
          <w:rtl/>
        </w:rPr>
      </w:pPr>
      <w:r>
        <w:rPr>
          <w:rFonts w:ascii="David" w:hAnsi="David" w:cs="David" w:hint="cs"/>
          <w:sz w:val="28"/>
          <w:szCs w:val="28"/>
          <w:rtl/>
        </w:rPr>
        <w:t xml:space="preserve">אספקת ניתוח </w:t>
      </w:r>
      <w:proofErr w:type="spellStart"/>
      <w:r>
        <w:rPr>
          <w:rFonts w:ascii="David" w:hAnsi="David" w:cs="David" w:hint="cs"/>
          <w:sz w:val="28"/>
          <w:szCs w:val="28"/>
          <w:rtl/>
        </w:rPr>
        <w:t>והע"מ</w:t>
      </w:r>
      <w:proofErr w:type="spellEnd"/>
      <w:r>
        <w:rPr>
          <w:rFonts w:ascii="David" w:hAnsi="David" w:cs="David" w:hint="cs"/>
          <w:sz w:val="28"/>
          <w:szCs w:val="28"/>
          <w:rtl/>
        </w:rPr>
        <w:t xml:space="preserve"> ארוכת טווח</w:t>
      </w:r>
    </w:p>
    <w:p w14:paraId="1688E749" w14:textId="507679D0" w:rsidR="00A676AC" w:rsidRDefault="00532A59" w:rsidP="00532A59">
      <w:pPr>
        <w:pStyle w:val="a3"/>
        <w:numPr>
          <w:ilvl w:val="0"/>
          <w:numId w:val="8"/>
        </w:numPr>
        <w:spacing w:line="360" w:lineRule="auto"/>
        <w:rPr>
          <w:rFonts w:ascii="David" w:hAnsi="David" w:cs="David"/>
          <w:sz w:val="28"/>
          <w:szCs w:val="28"/>
        </w:rPr>
      </w:pPr>
      <w:r w:rsidRPr="00835B39">
        <w:rPr>
          <w:rFonts w:ascii="David" w:hAnsi="David" w:cs="David" w:hint="cs"/>
          <w:b/>
          <w:bCs/>
          <w:sz w:val="28"/>
          <w:szCs w:val="28"/>
          <w:rtl/>
        </w:rPr>
        <w:t>מרחב הניתוח של קהיליית המודיעין צריך להיות כרוחב היריעה המדינית של מקבלי ההחלטות האסטרטגיים</w:t>
      </w:r>
      <w:r w:rsidR="00835B39">
        <w:rPr>
          <w:rFonts w:ascii="David" w:hAnsi="David" w:cs="David" w:hint="cs"/>
          <w:sz w:val="28"/>
          <w:szCs w:val="28"/>
          <w:rtl/>
        </w:rPr>
        <w:t>. לעיתים, לא ברורה "חלוקת העבודה" בין אנשי מודיעין ומקבלי ההחלטות.</w:t>
      </w:r>
      <w:r w:rsidR="00133684">
        <w:rPr>
          <w:rFonts w:ascii="David" w:hAnsi="David" w:cs="David" w:hint="cs"/>
          <w:sz w:val="28"/>
          <w:szCs w:val="28"/>
          <w:rtl/>
        </w:rPr>
        <w:t xml:space="preserve"> בד"כ קהילות </w:t>
      </w:r>
      <w:proofErr w:type="spellStart"/>
      <w:r w:rsidR="00133684">
        <w:rPr>
          <w:rFonts w:ascii="David" w:hAnsi="David" w:cs="David" w:hint="cs"/>
          <w:sz w:val="28"/>
          <w:szCs w:val="28"/>
          <w:rtl/>
        </w:rPr>
        <w:t>מודיעניות</w:t>
      </w:r>
      <w:proofErr w:type="spellEnd"/>
      <w:r w:rsidR="00133684">
        <w:rPr>
          <w:rFonts w:ascii="David" w:hAnsi="David" w:cs="David" w:hint="cs"/>
          <w:sz w:val="28"/>
          <w:szCs w:val="28"/>
          <w:rtl/>
        </w:rPr>
        <w:t xml:space="preserve"> הם "מוקדי ידע" לאורך שנים רבות.</w:t>
      </w:r>
    </w:p>
    <w:p w14:paraId="6C2BF035" w14:textId="77777777" w:rsidR="00A676AC" w:rsidRDefault="00A676AC">
      <w:pPr>
        <w:bidi w:val="0"/>
        <w:rPr>
          <w:rFonts w:ascii="David" w:hAnsi="David" w:cs="David"/>
          <w:sz w:val="28"/>
          <w:szCs w:val="28"/>
        </w:rPr>
      </w:pPr>
      <w:r>
        <w:rPr>
          <w:rFonts w:ascii="David" w:hAnsi="David" w:cs="David"/>
          <w:sz w:val="28"/>
          <w:szCs w:val="28"/>
        </w:rPr>
        <w:br w:type="page"/>
      </w:r>
    </w:p>
    <w:p w14:paraId="52ECE2D7" w14:textId="7CAAF1C3" w:rsidR="00133684" w:rsidRDefault="00A676AC" w:rsidP="00133684">
      <w:pPr>
        <w:pStyle w:val="a3"/>
        <w:numPr>
          <w:ilvl w:val="0"/>
          <w:numId w:val="9"/>
        </w:numPr>
        <w:spacing w:line="360" w:lineRule="auto"/>
        <w:rPr>
          <w:rFonts w:ascii="David" w:hAnsi="David" w:cs="David"/>
          <w:sz w:val="28"/>
          <w:szCs w:val="28"/>
        </w:rPr>
      </w:pPr>
      <w:proofErr w:type="spellStart"/>
      <w:r>
        <w:rPr>
          <w:rFonts w:ascii="David" w:hAnsi="David" w:cs="David" w:hint="cs"/>
          <w:sz w:val="28"/>
          <w:szCs w:val="28"/>
          <w:rtl/>
        </w:rPr>
        <w:lastRenderedPageBreak/>
        <w:t>יחס"ג</w:t>
      </w:r>
      <w:proofErr w:type="spellEnd"/>
      <w:r>
        <w:rPr>
          <w:rFonts w:ascii="David" w:hAnsi="David" w:cs="David" w:hint="cs"/>
          <w:sz w:val="28"/>
          <w:szCs w:val="28"/>
          <w:rtl/>
        </w:rPr>
        <w:t xml:space="preserve"> גנריים בין</w:t>
      </w:r>
      <w:r w:rsidR="00133684">
        <w:rPr>
          <w:rFonts w:ascii="David" w:hAnsi="David" w:cs="David" w:hint="cs"/>
          <w:sz w:val="28"/>
          <w:szCs w:val="28"/>
          <w:rtl/>
        </w:rPr>
        <w:t xml:space="preserve"> אנשי מודיעין ובין מקבלי ההחלטות:</w:t>
      </w:r>
      <w:r>
        <w:rPr>
          <w:rFonts w:ascii="David" w:hAnsi="David" w:cs="David" w:hint="cs"/>
          <w:sz w:val="28"/>
          <w:szCs w:val="28"/>
          <w:rtl/>
        </w:rPr>
        <w:t xml:space="preserve"> </w:t>
      </w:r>
    </w:p>
    <w:p w14:paraId="4509BBDA" w14:textId="2BE8F219" w:rsidR="00A676AC" w:rsidRPr="00532A59" w:rsidRDefault="00A676AC" w:rsidP="00A676AC">
      <w:pPr>
        <w:pStyle w:val="a3"/>
        <w:spacing w:line="360" w:lineRule="auto"/>
        <w:rPr>
          <w:rFonts w:ascii="David" w:hAnsi="David" w:cs="David"/>
          <w:sz w:val="28"/>
          <w:szCs w:val="28"/>
          <w:rtl/>
        </w:rPr>
      </w:pPr>
      <w:r>
        <w:rPr>
          <w:rFonts w:ascii="David" w:hAnsi="David" w:cs="David" w:hint="cs"/>
          <w:sz w:val="28"/>
          <w:szCs w:val="28"/>
          <w:rtl/>
        </w:rPr>
        <w:t xml:space="preserve">מבוצע באמצעות </w:t>
      </w:r>
      <w:r w:rsidRPr="00A676AC">
        <w:rPr>
          <w:rFonts w:ascii="David" w:hAnsi="David" w:cs="David" w:hint="cs"/>
          <w:b/>
          <w:bCs/>
          <w:sz w:val="28"/>
          <w:szCs w:val="28"/>
          <w:rtl/>
        </w:rPr>
        <w:t>מעגל מודיעיני</w:t>
      </w:r>
      <w:r>
        <w:rPr>
          <w:rFonts w:ascii="David" w:hAnsi="David" w:cs="David" w:hint="cs"/>
          <w:sz w:val="28"/>
          <w:szCs w:val="28"/>
          <w:rtl/>
        </w:rPr>
        <w:t xml:space="preserve"> משאלה ועד תשובה</w:t>
      </w:r>
      <w:r w:rsidR="0029074B">
        <w:rPr>
          <w:rFonts w:ascii="David" w:hAnsi="David" w:cs="David" w:hint="cs"/>
          <w:sz w:val="28"/>
          <w:szCs w:val="28"/>
          <w:rtl/>
        </w:rPr>
        <w:t xml:space="preserve">, מי שמפעיל אותה הוא "הצרכן" </w:t>
      </w:r>
      <w:r w:rsidR="0029074B">
        <w:rPr>
          <w:rFonts w:ascii="David" w:hAnsi="David" w:cs="David"/>
          <w:sz w:val="28"/>
          <w:szCs w:val="28"/>
          <w:rtl/>
        </w:rPr>
        <w:t>–</w:t>
      </w:r>
      <w:r w:rsidR="0029074B">
        <w:rPr>
          <w:rFonts w:ascii="David" w:hAnsi="David" w:cs="David" w:hint="cs"/>
          <w:sz w:val="28"/>
          <w:szCs w:val="28"/>
          <w:rtl/>
        </w:rPr>
        <w:t xml:space="preserve"> המנהיג האסטרטגי.</w:t>
      </w:r>
      <w:r w:rsidR="0029074B">
        <w:rPr>
          <w:rFonts w:ascii="David" w:hAnsi="David" w:cs="David" w:hint="cs"/>
          <w:noProof/>
          <w:sz w:val="28"/>
          <w:szCs w:val="28"/>
          <w:rtl/>
          <w:lang w:val="he-IL"/>
        </w:rPr>
        <w:drawing>
          <wp:inline distT="0" distB="0" distL="0" distR="0" wp14:anchorId="229C65B3" wp14:editId="22465DD1">
            <wp:extent cx="5486400" cy="3200400"/>
            <wp:effectExtent l="0" t="0" r="0" b="0"/>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Pr>
          <w:rFonts w:ascii="David" w:hAnsi="David" w:cs="David" w:hint="cs"/>
          <w:sz w:val="28"/>
          <w:szCs w:val="28"/>
          <w:rtl/>
        </w:rPr>
        <w:t xml:space="preserve"> </w:t>
      </w:r>
    </w:p>
    <w:p w14:paraId="3535553D" w14:textId="2F54FBE3" w:rsidR="005C247A" w:rsidRPr="001C3CF9" w:rsidRDefault="001C3CF9" w:rsidP="001C3CF9">
      <w:pPr>
        <w:rPr>
          <w:rFonts w:ascii="David" w:hAnsi="David" w:cs="David"/>
          <w:sz w:val="28"/>
          <w:szCs w:val="28"/>
          <w:rtl/>
        </w:rPr>
      </w:pPr>
      <w:r w:rsidRPr="001C3CF9">
        <w:rPr>
          <w:rFonts w:ascii="David" w:hAnsi="David" w:cs="David" w:hint="cs"/>
          <w:sz w:val="28"/>
          <w:szCs w:val="28"/>
          <w:rtl/>
        </w:rPr>
        <w:t>מקובל להבחין בין סוגי מאמצי איסוף שונים</w:t>
      </w:r>
      <w:r w:rsidR="00340867">
        <w:rPr>
          <w:rFonts w:ascii="David" w:hAnsi="David" w:cs="David" w:hint="cs"/>
          <w:sz w:val="28"/>
          <w:szCs w:val="28"/>
          <w:rtl/>
        </w:rPr>
        <w:t>, בהתאם למרחב ההתעניינות ולצורכי ומאפייני התקופה וע"פ סדר עדיפות</w:t>
      </w:r>
      <w:r w:rsidRPr="001C3CF9">
        <w:rPr>
          <w:rFonts w:ascii="David" w:hAnsi="David" w:cs="David" w:hint="cs"/>
          <w:sz w:val="28"/>
          <w:szCs w:val="28"/>
          <w:rtl/>
        </w:rPr>
        <w:t>:</w:t>
      </w:r>
    </w:p>
    <w:p w14:paraId="07D7CB75" w14:textId="1D6F3DD0" w:rsidR="001C3CF9" w:rsidRPr="001C3CF9" w:rsidRDefault="001C3CF9" w:rsidP="001C3CF9">
      <w:pPr>
        <w:pStyle w:val="a3"/>
        <w:numPr>
          <w:ilvl w:val="0"/>
          <w:numId w:val="11"/>
        </w:numPr>
        <w:rPr>
          <w:rFonts w:ascii="David" w:hAnsi="David" w:cs="David"/>
          <w:sz w:val="28"/>
          <w:szCs w:val="28"/>
        </w:rPr>
      </w:pPr>
      <w:proofErr w:type="spellStart"/>
      <w:r w:rsidRPr="001C3CF9">
        <w:rPr>
          <w:rFonts w:ascii="David" w:hAnsi="David" w:cs="David" w:hint="cs"/>
          <w:sz w:val="28"/>
          <w:szCs w:val="28"/>
          <w:rtl/>
        </w:rPr>
        <w:t>ויזינט</w:t>
      </w:r>
      <w:proofErr w:type="spellEnd"/>
      <w:r w:rsidRPr="001C3CF9">
        <w:rPr>
          <w:rFonts w:ascii="David" w:hAnsi="David" w:cs="David" w:hint="cs"/>
          <w:sz w:val="28"/>
          <w:szCs w:val="28"/>
          <w:rtl/>
        </w:rPr>
        <w:t xml:space="preserve"> </w:t>
      </w:r>
      <w:r w:rsidRPr="001C3CF9">
        <w:rPr>
          <w:rFonts w:ascii="David" w:hAnsi="David" w:cs="David"/>
          <w:sz w:val="28"/>
          <w:szCs w:val="28"/>
          <w:rtl/>
        </w:rPr>
        <w:t>–</w:t>
      </w:r>
      <w:r w:rsidRPr="001C3CF9">
        <w:rPr>
          <w:rFonts w:ascii="David" w:hAnsi="David" w:cs="David" w:hint="cs"/>
          <w:sz w:val="28"/>
          <w:szCs w:val="28"/>
          <w:rtl/>
        </w:rPr>
        <w:t xml:space="preserve"> מודיעי</w:t>
      </w:r>
      <w:r w:rsidR="003224FE">
        <w:rPr>
          <w:rFonts w:ascii="David" w:hAnsi="David" w:cs="David" w:hint="cs"/>
          <w:sz w:val="28"/>
          <w:szCs w:val="28"/>
          <w:rtl/>
        </w:rPr>
        <w:t>ן</w:t>
      </w:r>
      <w:r w:rsidRPr="001C3CF9">
        <w:rPr>
          <w:rFonts w:ascii="David" w:hAnsi="David" w:cs="David" w:hint="cs"/>
          <w:sz w:val="28"/>
          <w:szCs w:val="28"/>
          <w:rtl/>
        </w:rPr>
        <w:t xml:space="preserve"> חזותי</w:t>
      </w:r>
    </w:p>
    <w:p w14:paraId="3F8DAADC" w14:textId="4CD1AAD4" w:rsidR="001C3CF9" w:rsidRPr="001C3CF9" w:rsidRDefault="001C3CF9" w:rsidP="001C3CF9">
      <w:pPr>
        <w:pStyle w:val="a3"/>
        <w:numPr>
          <w:ilvl w:val="0"/>
          <w:numId w:val="11"/>
        </w:numPr>
        <w:rPr>
          <w:rFonts w:ascii="David" w:hAnsi="David" w:cs="David"/>
          <w:sz w:val="28"/>
          <w:szCs w:val="28"/>
        </w:rPr>
      </w:pPr>
      <w:proofErr w:type="spellStart"/>
      <w:r w:rsidRPr="001C3CF9">
        <w:rPr>
          <w:rFonts w:ascii="David" w:hAnsi="David" w:cs="David" w:hint="cs"/>
          <w:sz w:val="28"/>
          <w:szCs w:val="28"/>
          <w:rtl/>
        </w:rPr>
        <w:t>יומינט</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אנושי, הפעלת סוכנים, תשאול</w:t>
      </w:r>
    </w:p>
    <w:p w14:paraId="62627DBF" w14:textId="171231F0" w:rsidR="001C3CF9" w:rsidRDefault="001C3CF9" w:rsidP="001C3CF9">
      <w:pPr>
        <w:pStyle w:val="a3"/>
        <w:numPr>
          <w:ilvl w:val="0"/>
          <w:numId w:val="11"/>
        </w:numPr>
        <w:rPr>
          <w:rFonts w:ascii="David" w:hAnsi="David" w:cs="David"/>
          <w:sz w:val="28"/>
          <w:szCs w:val="28"/>
        </w:rPr>
      </w:pPr>
      <w:proofErr w:type="spellStart"/>
      <w:r w:rsidRPr="001C3CF9">
        <w:rPr>
          <w:rFonts w:ascii="David" w:hAnsi="David" w:cs="David" w:hint="cs"/>
          <w:sz w:val="28"/>
          <w:szCs w:val="28"/>
          <w:rtl/>
        </w:rPr>
        <w:t>סיג</w:t>
      </w:r>
      <w:r>
        <w:rPr>
          <w:rFonts w:ascii="David" w:hAnsi="David" w:cs="David" w:hint="cs"/>
          <w:sz w:val="28"/>
          <w:szCs w:val="28"/>
          <w:rtl/>
        </w:rPr>
        <w:t>י</w:t>
      </w:r>
      <w:r w:rsidRPr="001C3CF9">
        <w:rPr>
          <w:rFonts w:ascii="David" w:hAnsi="David" w:cs="David" w:hint="cs"/>
          <w:sz w:val="28"/>
          <w:szCs w:val="28"/>
          <w:rtl/>
        </w:rPr>
        <w:t>נט</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סיגנלים, מבוסס תקשורת</w:t>
      </w:r>
    </w:p>
    <w:p w14:paraId="3EAB9FF5" w14:textId="69879F16" w:rsidR="003224FE" w:rsidRDefault="003224FE" w:rsidP="001C3CF9">
      <w:pPr>
        <w:pStyle w:val="a3"/>
        <w:numPr>
          <w:ilvl w:val="0"/>
          <w:numId w:val="11"/>
        </w:numPr>
        <w:rPr>
          <w:rFonts w:ascii="David" w:hAnsi="David" w:cs="David"/>
          <w:sz w:val="28"/>
          <w:szCs w:val="28"/>
        </w:rPr>
      </w:pPr>
      <w:proofErr w:type="spellStart"/>
      <w:r>
        <w:rPr>
          <w:rFonts w:ascii="David" w:hAnsi="David" w:cs="David" w:hint="cs"/>
          <w:sz w:val="28"/>
          <w:szCs w:val="28"/>
          <w:rtl/>
        </w:rPr>
        <w:t>אוסינט</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מודיעין גלוי, עיתונות, טלוויזי</w:t>
      </w:r>
      <w:r>
        <w:rPr>
          <w:rFonts w:ascii="David" w:hAnsi="David" w:cs="David" w:hint="eastAsia"/>
          <w:sz w:val="28"/>
          <w:szCs w:val="28"/>
          <w:rtl/>
        </w:rPr>
        <w:t>ה</w:t>
      </w:r>
      <w:r>
        <w:rPr>
          <w:rFonts w:ascii="David" w:hAnsi="David" w:cs="David" w:hint="cs"/>
          <w:sz w:val="28"/>
          <w:szCs w:val="28"/>
          <w:rtl/>
        </w:rPr>
        <w:t>, ספרות...</w:t>
      </w:r>
    </w:p>
    <w:p w14:paraId="43BF96AC" w14:textId="4AC51E49" w:rsidR="003224FE" w:rsidRDefault="003224FE" w:rsidP="001C3CF9">
      <w:pPr>
        <w:pStyle w:val="a3"/>
        <w:numPr>
          <w:ilvl w:val="0"/>
          <w:numId w:val="11"/>
        </w:numPr>
        <w:rPr>
          <w:rFonts w:ascii="David" w:hAnsi="David" w:cs="David"/>
          <w:sz w:val="28"/>
          <w:szCs w:val="28"/>
        </w:rPr>
      </w:pPr>
      <w:proofErr w:type="spellStart"/>
      <w:r>
        <w:rPr>
          <w:rFonts w:ascii="David" w:hAnsi="David" w:cs="David" w:hint="cs"/>
          <w:sz w:val="28"/>
          <w:szCs w:val="28"/>
          <w:rtl/>
        </w:rPr>
        <w:t>הלינט</w:t>
      </w:r>
      <w:proofErr w:type="spellEnd"/>
      <w:r>
        <w:rPr>
          <w:rFonts w:ascii="David" w:hAnsi="David" w:cs="David" w:hint="cs"/>
          <w:sz w:val="28"/>
          <w:szCs w:val="28"/>
          <w:rtl/>
        </w:rPr>
        <w:t xml:space="preserve">  </w:t>
      </w:r>
    </w:p>
    <w:p w14:paraId="25F3D7E9" w14:textId="27CBD494" w:rsidR="00466670" w:rsidRDefault="00340867" w:rsidP="00466670">
      <w:pPr>
        <w:rPr>
          <w:rFonts w:ascii="David" w:hAnsi="David" w:cs="David"/>
          <w:sz w:val="28"/>
          <w:szCs w:val="28"/>
          <w:rtl/>
        </w:rPr>
      </w:pPr>
      <w:r>
        <w:rPr>
          <w:rFonts w:ascii="David" w:hAnsi="David" w:cs="David" w:hint="cs"/>
          <w:sz w:val="28"/>
          <w:szCs w:val="28"/>
          <w:rtl/>
        </w:rPr>
        <w:t>*בד"כ קהילות מודיעין אוספות ידע יותר ממה שנדרש וצריך, חיפוש אחר "ידיעת הזהב"...</w:t>
      </w:r>
      <w:r w:rsidR="00466670">
        <w:rPr>
          <w:rFonts w:ascii="David" w:hAnsi="David" w:cs="David" w:hint="cs"/>
          <w:sz w:val="28"/>
          <w:szCs w:val="28"/>
          <w:rtl/>
        </w:rPr>
        <w:t>ידיעה אחת ש"תיתן תשובה להכול...". בהיסטוריה זה כמעט ולא קרה.</w:t>
      </w:r>
    </w:p>
    <w:p w14:paraId="5370B91F" w14:textId="77777777" w:rsidR="00EF57F7" w:rsidRDefault="00466670" w:rsidP="00466670">
      <w:pPr>
        <w:rPr>
          <w:rFonts w:ascii="David" w:hAnsi="David" w:cs="David"/>
          <w:sz w:val="28"/>
          <w:szCs w:val="28"/>
          <w:rtl/>
        </w:rPr>
      </w:pPr>
      <w:r>
        <w:rPr>
          <w:rFonts w:ascii="David" w:hAnsi="David" w:cs="David" w:hint="cs"/>
          <w:sz w:val="28"/>
          <w:szCs w:val="28"/>
          <w:rtl/>
        </w:rPr>
        <w:t xml:space="preserve">ליבת המקצוע המודיעיני היא </w:t>
      </w:r>
      <w:r w:rsidRPr="00466670">
        <w:rPr>
          <w:rFonts w:ascii="David" w:hAnsi="David" w:cs="David" w:hint="cs"/>
          <w:b/>
          <w:bCs/>
          <w:sz w:val="28"/>
          <w:szCs w:val="28"/>
          <w:rtl/>
        </w:rPr>
        <w:t>מחקר</w:t>
      </w:r>
      <w:r>
        <w:rPr>
          <w:rFonts w:ascii="David" w:hAnsi="David" w:cs="David" w:hint="cs"/>
          <w:sz w:val="28"/>
          <w:szCs w:val="28"/>
          <w:rtl/>
        </w:rPr>
        <w:t xml:space="preserve">. אנאליסט נדרש להתמודד עם 2 בעיות מקצועיות </w:t>
      </w:r>
      <w:proofErr w:type="spellStart"/>
      <w:r>
        <w:rPr>
          <w:rFonts w:ascii="David" w:hAnsi="David" w:cs="David" w:hint="cs"/>
          <w:sz w:val="28"/>
          <w:szCs w:val="28"/>
          <w:rtl/>
        </w:rPr>
        <w:t>קוארדינאליות</w:t>
      </w:r>
      <w:proofErr w:type="spellEnd"/>
      <w:r w:rsidR="00EF57F7">
        <w:rPr>
          <w:rFonts w:ascii="David" w:hAnsi="David" w:cs="David" w:hint="cs"/>
          <w:sz w:val="28"/>
          <w:szCs w:val="28"/>
          <w:rtl/>
        </w:rPr>
        <w:t>:</w:t>
      </w:r>
    </w:p>
    <w:p w14:paraId="51A6FFEA" w14:textId="1EEDBDBD" w:rsidR="00466670" w:rsidRDefault="00466670" w:rsidP="00EF57F7">
      <w:pPr>
        <w:pStyle w:val="a3"/>
        <w:numPr>
          <w:ilvl w:val="0"/>
          <w:numId w:val="12"/>
        </w:numPr>
        <w:rPr>
          <w:rFonts w:ascii="David" w:hAnsi="David" w:cs="David"/>
          <w:sz w:val="28"/>
          <w:szCs w:val="28"/>
        </w:rPr>
      </w:pPr>
      <w:r w:rsidRPr="00EF57F7">
        <w:rPr>
          <w:rFonts w:ascii="David" w:hAnsi="David" w:cs="David" w:hint="cs"/>
          <w:sz w:val="28"/>
          <w:szCs w:val="28"/>
          <w:rtl/>
        </w:rPr>
        <w:t xml:space="preserve"> ליישב סתירות, להבחין בין עיקר ותפל. בתוך המידע שנאסף, קיימות סתירות פנימיות למול המציאות והוא נדרש ליישב את הסתירה הזו.</w:t>
      </w:r>
    </w:p>
    <w:p w14:paraId="2194CF78" w14:textId="0727BBC0" w:rsidR="00EF57F7" w:rsidRDefault="00EF57F7" w:rsidP="00EF57F7">
      <w:pPr>
        <w:pStyle w:val="a3"/>
        <w:numPr>
          <w:ilvl w:val="0"/>
          <w:numId w:val="12"/>
        </w:numPr>
        <w:rPr>
          <w:rFonts w:ascii="David" w:hAnsi="David" w:cs="David"/>
          <w:sz w:val="28"/>
          <w:szCs w:val="28"/>
        </w:rPr>
      </w:pPr>
      <w:r>
        <w:rPr>
          <w:rFonts w:ascii="David" w:hAnsi="David" w:cs="David" w:hint="cs"/>
          <w:sz w:val="28"/>
          <w:szCs w:val="28"/>
          <w:rtl/>
        </w:rPr>
        <w:t>לוודא שישנה המשכיות בין הערכות המצב הקודמות. שאין סתירה בין המציאות שתוארה עד כה.</w:t>
      </w:r>
    </w:p>
    <w:p w14:paraId="1A5A7770" w14:textId="10AFA14F" w:rsidR="00CD3664" w:rsidRDefault="00CD3664" w:rsidP="00CD3664">
      <w:pPr>
        <w:rPr>
          <w:rFonts w:ascii="David" w:hAnsi="David" w:cs="David"/>
          <w:sz w:val="28"/>
          <w:szCs w:val="28"/>
          <w:rtl/>
        </w:rPr>
      </w:pPr>
      <w:r>
        <w:rPr>
          <w:rFonts w:ascii="David" w:hAnsi="David" w:cs="David" w:hint="cs"/>
          <w:sz w:val="28"/>
          <w:szCs w:val="28"/>
          <w:rtl/>
        </w:rPr>
        <w:t>הפצת הידע לכל אורך השרשרת המודיעינית</w:t>
      </w:r>
      <w:r w:rsidR="00850991">
        <w:rPr>
          <w:rFonts w:ascii="David" w:hAnsi="David" w:cs="David" w:hint="cs"/>
          <w:sz w:val="28"/>
          <w:szCs w:val="28"/>
          <w:rtl/>
        </w:rPr>
        <w:t>. מנעד ההפצה הוא רחב.</w:t>
      </w:r>
    </w:p>
    <w:p w14:paraId="3CCC0022" w14:textId="6D28B090" w:rsidR="00850991" w:rsidRDefault="00850991" w:rsidP="00CD3664">
      <w:pPr>
        <w:rPr>
          <w:rFonts w:ascii="David" w:hAnsi="David" w:cs="David"/>
          <w:sz w:val="28"/>
          <w:szCs w:val="28"/>
          <w:rtl/>
        </w:rPr>
      </w:pPr>
      <w:r>
        <w:rPr>
          <w:rFonts w:ascii="David" w:hAnsi="David" w:cs="David" w:hint="cs"/>
          <w:sz w:val="28"/>
          <w:szCs w:val="28"/>
          <w:rtl/>
        </w:rPr>
        <w:t>"</w:t>
      </w:r>
      <w:r w:rsidR="00134839">
        <w:rPr>
          <w:rFonts w:ascii="David" w:hAnsi="David" w:cs="David" w:hint="cs"/>
          <w:sz w:val="28"/>
          <w:szCs w:val="28"/>
          <w:rtl/>
        </w:rPr>
        <w:t>ה</w:t>
      </w:r>
      <w:r>
        <w:rPr>
          <w:rFonts w:ascii="David" w:hAnsi="David" w:cs="David" w:hint="cs"/>
          <w:sz w:val="28"/>
          <w:szCs w:val="28"/>
          <w:rtl/>
        </w:rPr>
        <w:t>מעגל ה</w:t>
      </w:r>
      <w:r w:rsidR="00134839">
        <w:rPr>
          <w:rFonts w:ascii="David" w:hAnsi="David" w:cs="David" w:hint="cs"/>
          <w:sz w:val="28"/>
          <w:szCs w:val="28"/>
          <w:rtl/>
        </w:rPr>
        <w:t>מודיעיני</w:t>
      </w:r>
      <w:r>
        <w:rPr>
          <w:rFonts w:ascii="David" w:hAnsi="David" w:cs="David" w:hint="cs"/>
          <w:sz w:val="28"/>
          <w:szCs w:val="28"/>
          <w:rtl/>
        </w:rPr>
        <w:t>" איננו נסגר בפעם אחת, הוא דינאמי ומתעצב כל הזמן.</w:t>
      </w:r>
    </w:p>
    <w:p w14:paraId="4D0A6EB6" w14:textId="7FAEC561" w:rsidR="00134839" w:rsidRDefault="00134839" w:rsidP="00134839">
      <w:pPr>
        <w:pStyle w:val="a3"/>
        <w:numPr>
          <w:ilvl w:val="0"/>
          <w:numId w:val="13"/>
        </w:numPr>
        <w:rPr>
          <w:rFonts w:ascii="David" w:hAnsi="David" w:cs="David"/>
          <w:sz w:val="28"/>
          <w:szCs w:val="28"/>
        </w:rPr>
      </w:pPr>
      <w:r>
        <w:rPr>
          <w:rFonts w:ascii="David" w:hAnsi="David" w:cs="David" w:hint="cs"/>
          <w:sz w:val="28"/>
          <w:szCs w:val="28"/>
          <w:rtl/>
        </w:rPr>
        <w:t>איסוף</w:t>
      </w:r>
    </w:p>
    <w:p w14:paraId="6ED70B4D" w14:textId="04F4C82B" w:rsidR="00134839" w:rsidRDefault="00134839" w:rsidP="00134839">
      <w:pPr>
        <w:pStyle w:val="a3"/>
        <w:numPr>
          <w:ilvl w:val="0"/>
          <w:numId w:val="13"/>
        </w:numPr>
        <w:rPr>
          <w:rFonts w:ascii="David" w:hAnsi="David" w:cs="David"/>
          <w:sz w:val="28"/>
          <w:szCs w:val="28"/>
        </w:rPr>
      </w:pPr>
      <w:r>
        <w:rPr>
          <w:rFonts w:ascii="David" w:hAnsi="David" w:cs="David" w:hint="cs"/>
          <w:sz w:val="28"/>
          <w:szCs w:val="28"/>
          <w:rtl/>
        </w:rPr>
        <w:t>מחקר</w:t>
      </w:r>
    </w:p>
    <w:p w14:paraId="3DAFC84D" w14:textId="1877E368" w:rsidR="00134839" w:rsidRDefault="00134839" w:rsidP="00134839">
      <w:pPr>
        <w:pStyle w:val="a3"/>
        <w:numPr>
          <w:ilvl w:val="0"/>
          <w:numId w:val="13"/>
        </w:numPr>
        <w:rPr>
          <w:rFonts w:ascii="David" w:hAnsi="David" w:cs="David"/>
          <w:sz w:val="28"/>
          <w:szCs w:val="28"/>
        </w:rPr>
      </w:pPr>
      <w:r>
        <w:rPr>
          <w:rFonts w:ascii="David" w:hAnsi="David" w:cs="David" w:hint="cs"/>
          <w:sz w:val="28"/>
          <w:szCs w:val="28"/>
          <w:rtl/>
        </w:rPr>
        <w:t xml:space="preserve">הצגת התוצרים ל"צרכן </w:t>
      </w:r>
      <w:proofErr w:type="spellStart"/>
      <w:r>
        <w:rPr>
          <w:rFonts w:ascii="David" w:hAnsi="David" w:cs="David" w:hint="cs"/>
          <w:sz w:val="28"/>
          <w:szCs w:val="28"/>
          <w:rtl/>
        </w:rPr>
        <w:t>האסטרגי</w:t>
      </w:r>
      <w:proofErr w:type="spellEnd"/>
      <w:r>
        <w:rPr>
          <w:rFonts w:ascii="David" w:hAnsi="David" w:cs="David" w:hint="cs"/>
          <w:sz w:val="28"/>
          <w:szCs w:val="28"/>
          <w:rtl/>
        </w:rPr>
        <w:t>"</w:t>
      </w:r>
    </w:p>
    <w:p w14:paraId="4A5BC307" w14:textId="173B764D" w:rsidR="002D142C" w:rsidRDefault="002D142C" w:rsidP="002D142C">
      <w:pPr>
        <w:pStyle w:val="a3"/>
        <w:ind w:hanging="721"/>
        <w:rPr>
          <w:rFonts w:ascii="David" w:hAnsi="David" w:cs="David"/>
          <w:sz w:val="28"/>
          <w:szCs w:val="28"/>
          <w:rtl/>
        </w:rPr>
      </w:pPr>
      <w:r>
        <w:rPr>
          <w:rFonts w:ascii="David" w:hAnsi="David" w:cs="David" w:hint="cs"/>
          <w:sz w:val="28"/>
          <w:szCs w:val="28"/>
          <w:rtl/>
        </w:rPr>
        <w:t>*בכל אחד מהשלבים הללו, יכולות להיות "תקלות", הערכות חסר, שגיאה בהבנת המציאות.</w:t>
      </w:r>
    </w:p>
    <w:p w14:paraId="527C5F70" w14:textId="08B51E90" w:rsidR="00D847C5" w:rsidRDefault="00D847C5" w:rsidP="002D142C">
      <w:pPr>
        <w:pStyle w:val="a3"/>
        <w:ind w:hanging="721"/>
        <w:rPr>
          <w:rFonts w:ascii="David" w:hAnsi="David" w:cs="David"/>
          <w:sz w:val="28"/>
          <w:szCs w:val="28"/>
          <w:rtl/>
        </w:rPr>
      </w:pPr>
      <w:r>
        <w:rPr>
          <w:rFonts w:ascii="David" w:hAnsi="David" w:cs="David" w:hint="cs"/>
          <w:sz w:val="28"/>
          <w:szCs w:val="28"/>
          <w:rtl/>
        </w:rPr>
        <w:lastRenderedPageBreak/>
        <w:t xml:space="preserve">במאה ה-20 היו 3 הפתעות מודיעיניות קולוסאליות: </w:t>
      </w:r>
    </w:p>
    <w:p w14:paraId="5F3633E0" w14:textId="07C92659" w:rsidR="00D847C5" w:rsidRDefault="00D847C5" w:rsidP="00D847C5">
      <w:pPr>
        <w:pStyle w:val="a3"/>
        <w:numPr>
          <w:ilvl w:val="0"/>
          <w:numId w:val="14"/>
        </w:numPr>
        <w:rPr>
          <w:rFonts w:ascii="David" w:hAnsi="David" w:cs="David"/>
          <w:sz w:val="28"/>
          <w:szCs w:val="28"/>
        </w:rPr>
      </w:pPr>
      <w:r>
        <w:rPr>
          <w:rFonts w:ascii="David" w:hAnsi="David" w:cs="David" w:hint="cs"/>
          <w:sz w:val="28"/>
          <w:szCs w:val="28"/>
          <w:rtl/>
        </w:rPr>
        <w:t xml:space="preserve">פרל </w:t>
      </w:r>
      <w:proofErr w:type="spellStart"/>
      <w:r>
        <w:rPr>
          <w:rFonts w:ascii="David" w:hAnsi="David" w:cs="David" w:hint="cs"/>
          <w:sz w:val="28"/>
          <w:szCs w:val="28"/>
          <w:rtl/>
        </w:rPr>
        <w:t>הרבור</w:t>
      </w:r>
      <w:proofErr w:type="spellEnd"/>
      <w:r>
        <w:rPr>
          <w:rFonts w:ascii="David" w:hAnsi="David" w:cs="David" w:hint="cs"/>
          <w:sz w:val="28"/>
          <w:szCs w:val="28"/>
          <w:rtl/>
        </w:rPr>
        <w:t xml:space="preserve"> ב- 7.12.41 </w:t>
      </w:r>
      <w:r>
        <w:rPr>
          <w:rFonts w:ascii="David" w:hAnsi="David" w:cs="David"/>
          <w:sz w:val="28"/>
          <w:szCs w:val="28"/>
          <w:rtl/>
        </w:rPr>
        <w:t>–</w:t>
      </w:r>
      <w:r>
        <w:rPr>
          <w:rFonts w:ascii="David" w:hAnsi="David" w:cs="David" w:hint="cs"/>
          <w:sz w:val="28"/>
          <w:szCs w:val="28"/>
          <w:rtl/>
        </w:rPr>
        <w:t xml:space="preserve"> הפתעה של המודיעין האמריקאי.</w:t>
      </w:r>
    </w:p>
    <w:p w14:paraId="4AD0EBC7" w14:textId="5E4E9D19" w:rsidR="00D847C5" w:rsidRDefault="00D847C5" w:rsidP="00D847C5">
      <w:pPr>
        <w:pStyle w:val="a3"/>
        <w:numPr>
          <w:ilvl w:val="0"/>
          <w:numId w:val="14"/>
        </w:numPr>
        <w:rPr>
          <w:rFonts w:ascii="David" w:hAnsi="David" w:cs="David"/>
          <w:sz w:val="28"/>
          <w:szCs w:val="28"/>
        </w:rPr>
      </w:pPr>
      <w:r>
        <w:rPr>
          <w:rFonts w:ascii="David" w:hAnsi="David" w:cs="David" w:hint="cs"/>
          <w:sz w:val="28"/>
          <w:szCs w:val="28"/>
          <w:rtl/>
        </w:rPr>
        <w:t xml:space="preserve">מלחמת יום הכיפורים 3.10.73 </w:t>
      </w:r>
      <w:r>
        <w:rPr>
          <w:rFonts w:ascii="David" w:hAnsi="David" w:cs="David"/>
          <w:sz w:val="28"/>
          <w:szCs w:val="28"/>
          <w:rtl/>
        </w:rPr>
        <w:t>–</w:t>
      </w:r>
      <w:r>
        <w:rPr>
          <w:rFonts w:ascii="David" w:hAnsi="David" w:cs="David" w:hint="cs"/>
          <w:sz w:val="28"/>
          <w:szCs w:val="28"/>
          <w:rtl/>
        </w:rPr>
        <w:t xml:space="preserve"> הפתעת המודיעין הישראלי</w:t>
      </w:r>
      <w:r w:rsidR="00CC4E52">
        <w:rPr>
          <w:rFonts w:ascii="David" w:hAnsi="David" w:cs="David" w:hint="cs"/>
          <w:sz w:val="28"/>
          <w:szCs w:val="28"/>
          <w:rtl/>
        </w:rPr>
        <w:t>.</w:t>
      </w:r>
    </w:p>
    <w:p w14:paraId="7BE9BE26" w14:textId="0BA18D23" w:rsidR="00D847C5" w:rsidRDefault="00D847C5" w:rsidP="00D847C5">
      <w:pPr>
        <w:pStyle w:val="a3"/>
        <w:numPr>
          <w:ilvl w:val="0"/>
          <w:numId w:val="14"/>
        </w:numPr>
        <w:rPr>
          <w:rFonts w:ascii="David" w:hAnsi="David" w:cs="David"/>
          <w:sz w:val="28"/>
          <w:szCs w:val="28"/>
        </w:rPr>
      </w:pPr>
      <w:r>
        <w:rPr>
          <w:rFonts w:ascii="David" w:hAnsi="David" w:cs="David" w:hint="cs"/>
          <w:sz w:val="28"/>
          <w:szCs w:val="28"/>
          <w:rtl/>
        </w:rPr>
        <w:t xml:space="preserve">מבצע </w:t>
      </w:r>
      <w:proofErr w:type="spellStart"/>
      <w:r>
        <w:rPr>
          <w:rFonts w:ascii="David" w:hAnsi="David" w:cs="David" w:hint="cs"/>
          <w:sz w:val="28"/>
          <w:szCs w:val="28"/>
          <w:rtl/>
        </w:rPr>
        <w:t>ברברוסה</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w:t>
      </w:r>
      <w:r w:rsidR="009F71A4">
        <w:rPr>
          <w:rFonts w:ascii="David" w:hAnsi="David" w:cs="David" w:hint="cs"/>
          <w:sz w:val="28"/>
          <w:szCs w:val="28"/>
          <w:rtl/>
        </w:rPr>
        <w:t xml:space="preserve">22.6.41 - </w:t>
      </w:r>
      <w:r>
        <w:rPr>
          <w:rFonts w:ascii="David" w:hAnsi="David" w:cs="David" w:hint="cs"/>
          <w:sz w:val="28"/>
          <w:szCs w:val="28"/>
          <w:rtl/>
        </w:rPr>
        <w:t>הפתעת המודיעין הסובייטי</w:t>
      </w:r>
      <w:r w:rsidR="00CC4E52">
        <w:rPr>
          <w:rFonts w:ascii="David" w:hAnsi="David" w:cs="David" w:hint="cs"/>
          <w:sz w:val="28"/>
          <w:szCs w:val="28"/>
          <w:rtl/>
        </w:rPr>
        <w:t>.</w:t>
      </w:r>
    </w:p>
    <w:p w14:paraId="31F35D88" w14:textId="77777777" w:rsidR="00D054FF" w:rsidRDefault="00D847C5" w:rsidP="00D847C5">
      <w:pPr>
        <w:rPr>
          <w:rFonts w:ascii="David" w:hAnsi="David" w:cs="David"/>
          <w:sz w:val="28"/>
          <w:szCs w:val="28"/>
          <w:rtl/>
        </w:rPr>
      </w:pPr>
      <w:r>
        <w:rPr>
          <w:rFonts w:ascii="David" w:hAnsi="David" w:cs="David" w:hint="cs"/>
          <w:sz w:val="28"/>
          <w:szCs w:val="28"/>
          <w:rtl/>
        </w:rPr>
        <w:t>בכל המקרים הללו, ההפתעה כמעט "עלתה" בהפסד אסטרטגי לאותן מדינות.</w:t>
      </w:r>
      <w:r w:rsidR="000A208A">
        <w:rPr>
          <w:rFonts w:ascii="David" w:hAnsi="David" w:cs="David" w:hint="cs"/>
          <w:sz w:val="28"/>
          <w:szCs w:val="28"/>
          <w:rtl/>
        </w:rPr>
        <w:t xml:space="preserve"> בשלושת המקרים, הידע הגיע לסוכנויות המודיעין השונות, על אף ניסיון ההסתרה ע"י "הצד השני". </w:t>
      </w:r>
    </w:p>
    <w:p w14:paraId="357DB10D" w14:textId="13B6382A" w:rsidR="00D847C5" w:rsidRDefault="00AF63E5" w:rsidP="00D847C5">
      <w:pPr>
        <w:rPr>
          <w:rFonts w:ascii="David" w:hAnsi="David" w:cs="David"/>
          <w:sz w:val="28"/>
          <w:szCs w:val="28"/>
          <w:rtl/>
        </w:rPr>
      </w:pPr>
      <w:r>
        <w:rPr>
          <w:rFonts w:ascii="David" w:hAnsi="David" w:cs="David" w:hint="cs"/>
          <w:b/>
          <w:bCs/>
          <w:sz w:val="28"/>
          <w:szCs w:val="28"/>
          <w:rtl/>
        </w:rPr>
        <w:t>'</w:t>
      </w:r>
      <w:r w:rsidR="000A208A" w:rsidRPr="000A208A">
        <w:rPr>
          <w:rFonts w:ascii="David" w:hAnsi="David" w:cs="David" w:hint="cs"/>
          <w:b/>
          <w:bCs/>
          <w:sz w:val="28"/>
          <w:szCs w:val="28"/>
          <w:rtl/>
        </w:rPr>
        <w:t>דלות ההבנה</w:t>
      </w:r>
      <w:r>
        <w:rPr>
          <w:rFonts w:ascii="David" w:hAnsi="David" w:cs="David" w:hint="cs"/>
          <w:b/>
          <w:bCs/>
          <w:sz w:val="28"/>
          <w:szCs w:val="28"/>
          <w:rtl/>
        </w:rPr>
        <w:t>'</w:t>
      </w:r>
      <w:r w:rsidR="000A208A">
        <w:rPr>
          <w:rFonts w:ascii="David" w:hAnsi="David" w:cs="David" w:hint="cs"/>
          <w:sz w:val="28"/>
          <w:szCs w:val="28"/>
          <w:rtl/>
        </w:rPr>
        <w:t xml:space="preserve"> היא זו שהביאה למצבים הללו </w:t>
      </w:r>
      <w:r w:rsidR="000A208A">
        <w:rPr>
          <w:rFonts w:ascii="David" w:hAnsi="David" w:cs="David"/>
          <w:sz w:val="28"/>
          <w:szCs w:val="28"/>
          <w:rtl/>
        </w:rPr>
        <w:t>–</w:t>
      </w:r>
      <w:r w:rsidR="000A208A">
        <w:rPr>
          <w:rFonts w:ascii="David" w:hAnsi="David" w:cs="David" w:hint="cs"/>
          <w:sz w:val="28"/>
          <w:szCs w:val="28"/>
          <w:rtl/>
        </w:rPr>
        <w:t xml:space="preserve"> השפעות קוגניטיביות, פסיכולוגיות, הטיות, </w:t>
      </w:r>
      <w:r>
        <w:rPr>
          <w:rFonts w:ascii="David" w:hAnsi="David" w:cs="David" w:hint="cs"/>
          <w:sz w:val="28"/>
          <w:szCs w:val="28"/>
          <w:rtl/>
        </w:rPr>
        <w:t>"</w:t>
      </w:r>
      <w:r w:rsidR="000A208A">
        <w:rPr>
          <w:rFonts w:ascii="David" w:hAnsi="David" w:cs="David" w:hint="cs"/>
          <w:sz w:val="28"/>
          <w:szCs w:val="28"/>
          <w:rtl/>
        </w:rPr>
        <w:t>נעילות</w:t>
      </w:r>
      <w:r>
        <w:rPr>
          <w:rFonts w:ascii="David" w:hAnsi="David" w:cs="David" w:hint="cs"/>
          <w:sz w:val="28"/>
          <w:szCs w:val="28"/>
          <w:rtl/>
        </w:rPr>
        <w:t>"</w:t>
      </w:r>
      <w:r w:rsidR="000A208A">
        <w:rPr>
          <w:rFonts w:ascii="David" w:hAnsi="David" w:cs="David" w:hint="cs"/>
          <w:sz w:val="28"/>
          <w:szCs w:val="28"/>
          <w:rtl/>
        </w:rPr>
        <w:t xml:space="preserve"> קונספטואליות, </w:t>
      </w:r>
      <w:r w:rsidR="00CC4E52">
        <w:rPr>
          <w:rFonts w:ascii="David" w:hAnsi="David" w:cs="David" w:hint="cs"/>
          <w:sz w:val="28"/>
          <w:szCs w:val="28"/>
          <w:rtl/>
        </w:rPr>
        <w:t xml:space="preserve">ארגוניות, בירוקרטיות וסיבות פרסונאליות. כל אלו, בלא מעט מהמקרים מונעים את ההגעה ל"תשובה הנכונה". אחד התוצרים הללו בישראל לדוג', היא </w:t>
      </w:r>
      <w:r w:rsidR="00D054FF">
        <w:rPr>
          <w:rFonts w:ascii="David" w:hAnsi="David" w:cs="David" w:hint="cs"/>
          <w:sz w:val="28"/>
          <w:szCs w:val="28"/>
          <w:rtl/>
        </w:rPr>
        <w:t>הקמת</w:t>
      </w:r>
      <w:r w:rsidR="00CC4E52">
        <w:rPr>
          <w:rFonts w:ascii="David" w:hAnsi="David" w:cs="David" w:hint="cs"/>
          <w:sz w:val="28"/>
          <w:szCs w:val="28"/>
          <w:rtl/>
        </w:rPr>
        <w:t xml:space="preserve"> מחלקת הבקרה באגף המודיעין</w:t>
      </w:r>
      <w:r w:rsidR="00D054FF">
        <w:rPr>
          <w:rFonts w:ascii="David" w:hAnsi="David" w:cs="David" w:hint="cs"/>
          <w:sz w:val="28"/>
          <w:szCs w:val="28"/>
          <w:rtl/>
        </w:rPr>
        <w:t>,</w:t>
      </w:r>
      <w:r w:rsidR="00CC4E52">
        <w:rPr>
          <w:rFonts w:ascii="David" w:hAnsi="David" w:cs="David" w:hint="cs"/>
          <w:sz w:val="28"/>
          <w:szCs w:val="28"/>
          <w:rtl/>
        </w:rPr>
        <w:t xml:space="preserve"> מתוך ניסיון להתמודד עם המציאות טוב יותר</w:t>
      </w:r>
      <w:r w:rsidR="00D054FF">
        <w:rPr>
          <w:rFonts w:ascii="David" w:hAnsi="David" w:cs="David" w:hint="cs"/>
          <w:sz w:val="28"/>
          <w:szCs w:val="28"/>
          <w:rtl/>
        </w:rPr>
        <w:t xml:space="preserve"> (הרחבת פלורליזם מחקרי).</w:t>
      </w:r>
    </w:p>
    <w:p w14:paraId="2F25F1F8" w14:textId="1FE157D1" w:rsidR="00AF63E5" w:rsidRPr="00531E4A" w:rsidRDefault="00AF63E5" w:rsidP="00D847C5">
      <w:pPr>
        <w:rPr>
          <w:rFonts w:ascii="David" w:hAnsi="David" w:cs="David"/>
          <w:sz w:val="28"/>
          <w:szCs w:val="28"/>
          <w:rtl/>
        </w:rPr>
      </w:pPr>
      <w:r>
        <w:rPr>
          <w:rFonts w:ascii="David" w:hAnsi="David" w:cs="David" w:hint="cs"/>
          <w:b/>
          <w:bCs/>
          <w:sz w:val="28"/>
          <w:szCs w:val="28"/>
          <w:rtl/>
        </w:rPr>
        <w:t>'</w:t>
      </w:r>
      <w:r w:rsidRPr="00AF63E5">
        <w:rPr>
          <w:rFonts w:ascii="David" w:hAnsi="David" w:cs="David" w:hint="cs"/>
          <w:b/>
          <w:bCs/>
          <w:sz w:val="28"/>
          <w:szCs w:val="28"/>
          <w:rtl/>
        </w:rPr>
        <w:t>פוליטיזציה של מודיעין</w:t>
      </w:r>
      <w:r>
        <w:rPr>
          <w:rFonts w:ascii="David" w:hAnsi="David" w:cs="David" w:hint="cs"/>
          <w:b/>
          <w:bCs/>
          <w:sz w:val="28"/>
          <w:szCs w:val="28"/>
          <w:rtl/>
        </w:rPr>
        <w:t>'</w:t>
      </w:r>
      <w:r w:rsidR="00531E4A">
        <w:rPr>
          <w:rFonts w:ascii="David" w:hAnsi="David" w:cs="David" w:hint="cs"/>
          <w:b/>
          <w:bCs/>
          <w:sz w:val="28"/>
          <w:szCs w:val="28"/>
          <w:rtl/>
        </w:rPr>
        <w:t xml:space="preserve">, </w:t>
      </w:r>
      <w:r w:rsidR="00D66C91">
        <w:rPr>
          <w:rFonts w:ascii="David" w:hAnsi="David" w:cs="David" w:hint="cs"/>
          <w:sz w:val="28"/>
          <w:szCs w:val="28"/>
          <w:rtl/>
        </w:rPr>
        <w:t>מודיעין שאיננו משקף את המציאות כי אם השאיפות של מקבלי ההחלטות האסטרטגיים</w:t>
      </w:r>
      <w:r w:rsidR="00D66C91">
        <w:rPr>
          <w:rFonts w:ascii="David" w:hAnsi="David" w:cs="David" w:hint="cs"/>
          <w:sz w:val="28"/>
          <w:szCs w:val="28"/>
          <w:rtl/>
        </w:rPr>
        <w:t xml:space="preserve">. </w:t>
      </w:r>
      <w:r w:rsidR="00531E4A" w:rsidRPr="00531E4A">
        <w:rPr>
          <w:rFonts w:ascii="David" w:hAnsi="David" w:cs="David" w:hint="cs"/>
          <w:sz w:val="28"/>
          <w:szCs w:val="28"/>
          <w:rtl/>
        </w:rPr>
        <w:t xml:space="preserve">סטאלין מול אנשי המודיעין שלו ערב מבצע </w:t>
      </w:r>
      <w:proofErr w:type="spellStart"/>
      <w:r w:rsidR="00531E4A" w:rsidRPr="00531E4A">
        <w:rPr>
          <w:rFonts w:ascii="David" w:hAnsi="David" w:cs="David" w:hint="cs"/>
          <w:sz w:val="28"/>
          <w:szCs w:val="28"/>
          <w:rtl/>
        </w:rPr>
        <w:t>ברברוסה</w:t>
      </w:r>
      <w:proofErr w:type="spellEnd"/>
      <w:r w:rsidR="00531E4A" w:rsidRPr="00531E4A">
        <w:rPr>
          <w:rFonts w:ascii="David" w:hAnsi="David" w:cs="David" w:hint="cs"/>
          <w:sz w:val="28"/>
          <w:szCs w:val="28"/>
          <w:rtl/>
        </w:rPr>
        <w:t xml:space="preserve"> (לא מוכן לקבל תפיסה שונה מהבנתו)</w:t>
      </w:r>
      <w:r w:rsidR="008F56B5">
        <w:rPr>
          <w:rFonts w:ascii="David" w:hAnsi="David" w:cs="David" w:hint="cs"/>
          <w:sz w:val="28"/>
          <w:szCs w:val="28"/>
          <w:rtl/>
        </w:rPr>
        <w:t>. זו אינה "גזרה משמים", גם במדינות שאינן טוטליטריות זה קורה, כדוג' הפלישה של ארה"ב לעיראק ב- 1993 (הבנה שישנן יכולות בלתי קונבנציונאליות בעיראק). בקשת חומרים "להפללה" למול העולם כולו</w:t>
      </w:r>
      <w:r w:rsidR="00D66C91">
        <w:rPr>
          <w:rFonts w:ascii="David" w:hAnsi="David" w:cs="David" w:hint="cs"/>
          <w:sz w:val="28"/>
          <w:szCs w:val="28"/>
          <w:rtl/>
        </w:rPr>
        <w:t>.</w:t>
      </w:r>
    </w:p>
    <w:p w14:paraId="051D46D6" w14:textId="283DC89F" w:rsidR="00AF63E5" w:rsidRPr="00AF63E5" w:rsidRDefault="00AF63E5" w:rsidP="00D847C5">
      <w:pPr>
        <w:rPr>
          <w:rFonts w:ascii="David" w:hAnsi="David" w:cs="David"/>
          <w:sz w:val="28"/>
          <w:szCs w:val="28"/>
        </w:rPr>
      </w:pPr>
      <w:r>
        <w:rPr>
          <w:rFonts w:ascii="David" w:hAnsi="David" w:cs="David" w:hint="cs"/>
          <w:sz w:val="28"/>
          <w:szCs w:val="28"/>
          <w:rtl/>
        </w:rPr>
        <w:t xml:space="preserve">*ה'סיכון' הגדול ביותר הוא השילוב בין 3 </w:t>
      </w:r>
      <w:proofErr w:type="spellStart"/>
      <w:r>
        <w:rPr>
          <w:rFonts w:ascii="David" w:hAnsi="David" w:cs="David" w:hint="cs"/>
          <w:sz w:val="28"/>
          <w:szCs w:val="28"/>
          <w:rtl/>
        </w:rPr>
        <w:t>הלקונות</w:t>
      </w:r>
      <w:proofErr w:type="spellEnd"/>
      <w:r>
        <w:rPr>
          <w:rFonts w:ascii="David" w:hAnsi="David" w:cs="David" w:hint="cs"/>
          <w:sz w:val="28"/>
          <w:szCs w:val="28"/>
          <w:rtl/>
        </w:rPr>
        <w:t xml:space="preserve"> - פערי מידע, דלות הבנה ופוליטיזציה של מודיעין</w:t>
      </w:r>
      <w:r w:rsidR="00F07EDD">
        <w:rPr>
          <w:rStyle w:val="a6"/>
          <w:rFonts w:ascii="David" w:hAnsi="David" w:cs="David"/>
          <w:sz w:val="28"/>
          <w:szCs w:val="28"/>
        </w:rPr>
        <w:footnoteReference w:id="2"/>
      </w:r>
    </w:p>
    <w:p w14:paraId="194E9E22" w14:textId="3AF5160A" w:rsidR="001C41A4" w:rsidRDefault="001C41A4" w:rsidP="001C41A4">
      <w:pPr>
        <w:rPr>
          <w:rFonts w:ascii="David" w:hAnsi="David" w:cs="David"/>
          <w:sz w:val="28"/>
          <w:szCs w:val="28"/>
          <w:rtl/>
        </w:rPr>
      </w:pPr>
      <w:r>
        <w:rPr>
          <w:rFonts w:ascii="David" w:hAnsi="David" w:cs="David" w:hint="cs"/>
          <w:sz w:val="28"/>
          <w:szCs w:val="28"/>
          <w:rtl/>
        </w:rPr>
        <w:t xml:space="preserve">בהסתכלות עולמית, בד"כ הפונקציות המחקריות קטנות יותר מהגורמים </w:t>
      </w:r>
      <w:proofErr w:type="spellStart"/>
      <w:r>
        <w:rPr>
          <w:rFonts w:ascii="David" w:hAnsi="David" w:cs="David" w:hint="cs"/>
          <w:sz w:val="28"/>
          <w:szCs w:val="28"/>
          <w:rtl/>
        </w:rPr>
        <w:t>האיסופיים</w:t>
      </w:r>
      <w:proofErr w:type="spellEnd"/>
      <w:r>
        <w:rPr>
          <w:rFonts w:ascii="David" w:hAnsi="David" w:cs="David" w:hint="cs"/>
          <w:sz w:val="28"/>
          <w:szCs w:val="28"/>
          <w:rtl/>
        </w:rPr>
        <w:t xml:space="preserve">. ישנן מדינות אשר בהחלטה, משקיעות יותר במאמצי האיסוף מאשר למאמץ המחקר. </w:t>
      </w:r>
    </w:p>
    <w:p w14:paraId="675B5572" w14:textId="683BFAD6" w:rsidR="0002207A" w:rsidRDefault="0002207A" w:rsidP="001C41A4">
      <w:pPr>
        <w:rPr>
          <w:rFonts w:ascii="David" w:hAnsi="David" w:cs="David"/>
          <w:sz w:val="28"/>
          <w:szCs w:val="28"/>
          <w:rtl/>
        </w:rPr>
      </w:pPr>
      <w:r>
        <w:rPr>
          <w:rFonts w:ascii="David" w:hAnsi="David" w:cs="David" w:hint="cs"/>
          <w:sz w:val="28"/>
          <w:szCs w:val="28"/>
          <w:rtl/>
        </w:rPr>
        <w:t xml:space="preserve">"אפקטים מסדר שני" </w:t>
      </w:r>
      <w:r>
        <w:rPr>
          <w:rFonts w:ascii="David" w:hAnsi="David" w:cs="David"/>
          <w:sz w:val="28"/>
          <w:szCs w:val="28"/>
          <w:rtl/>
        </w:rPr>
        <w:t>–</w:t>
      </w:r>
      <w:r>
        <w:rPr>
          <w:rFonts w:ascii="David" w:hAnsi="David" w:cs="David" w:hint="cs"/>
          <w:sz w:val="28"/>
          <w:szCs w:val="28"/>
          <w:rtl/>
        </w:rPr>
        <w:t xml:space="preserve"> במסגרת </w:t>
      </w:r>
      <w:proofErr w:type="spellStart"/>
      <w:r>
        <w:rPr>
          <w:rFonts w:ascii="David" w:hAnsi="David" w:cs="David" w:hint="cs"/>
          <w:sz w:val="28"/>
          <w:szCs w:val="28"/>
          <w:rtl/>
        </w:rPr>
        <w:t>הע"מ</w:t>
      </w:r>
      <w:proofErr w:type="spellEnd"/>
      <w:r>
        <w:rPr>
          <w:rFonts w:ascii="David" w:hAnsi="David" w:cs="David" w:hint="cs"/>
          <w:sz w:val="28"/>
          <w:szCs w:val="28"/>
          <w:rtl/>
        </w:rPr>
        <w:t xml:space="preserve"> מודיעיניות, כיצד להתייחס לדוג' לפעילות של </w:t>
      </w:r>
      <w:proofErr w:type="spellStart"/>
      <w:r>
        <w:rPr>
          <w:rFonts w:ascii="David" w:hAnsi="David" w:cs="David" w:hint="cs"/>
          <w:sz w:val="28"/>
          <w:szCs w:val="28"/>
          <w:rtl/>
        </w:rPr>
        <w:t>אשרף</w:t>
      </w:r>
      <w:proofErr w:type="spellEnd"/>
      <w:r>
        <w:rPr>
          <w:rFonts w:ascii="David" w:hAnsi="David" w:cs="David" w:hint="cs"/>
          <w:sz w:val="28"/>
          <w:szCs w:val="28"/>
          <w:rtl/>
        </w:rPr>
        <w:t xml:space="preserve"> מרואן "ערב" מלחמת יום הכיפורים. נכון להיום ישנן 2 אסכולות: </w:t>
      </w:r>
      <w:proofErr w:type="spellStart"/>
      <w:r>
        <w:rPr>
          <w:rFonts w:ascii="David" w:hAnsi="David" w:cs="David" w:hint="cs"/>
          <w:sz w:val="28"/>
          <w:szCs w:val="28"/>
          <w:rtl/>
        </w:rPr>
        <w:t>אשרף</w:t>
      </w:r>
      <w:proofErr w:type="spellEnd"/>
      <w:r>
        <w:rPr>
          <w:rFonts w:ascii="David" w:hAnsi="David" w:cs="David" w:hint="cs"/>
          <w:sz w:val="28"/>
          <w:szCs w:val="28"/>
          <w:rtl/>
        </w:rPr>
        <w:t xml:space="preserve"> מרואן כמקור מודיעיני</w:t>
      </w:r>
      <w:r w:rsidR="00E46E9D">
        <w:rPr>
          <w:rFonts w:ascii="David" w:hAnsi="David" w:cs="David" w:hint="cs"/>
          <w:sz w:val="28"/>
          <w:szCs w:val="28"/>
          <w:rtl/>
        </w:rPr>
        <w:t>, או שהוא היה חלק אינטגראלי ממבצע הונאה מצרי.</w:t>
      </w:r>
    </w:p>
    <w:p w14:paraId="6012E37E" w14:textId="4DE45966" w:rsidR="00493477" w:rsidRDefault="00493477" w:rsidP="001C41A4">
      <w:pPr>
        <w:rPr>
          <w:rFonts w:ascii="David" w:hAnsi="David" w:cs="David"/>
          <w:sz w:val="28"/>
          <w:szCs w:val="28"/>
          <w:rtl/>
        </w:rPr>
      </w:pPr>
      <w:r>
        <w:rPr>
          <w:rFonts w:ascii="David" w:hAnsi="David" w:cs="David" w:hint="cs"/>
          <w:sz w:val="28"/>
          <w:szCs w:val="28"/>
          <w:rtl/>
        </w:rPr>
        <w:t xml:space="preserve">חשיבות המודיעין לפני ובמהלך ניהול משבר אסטרטגי </w:t>
      </w:r>
      <w:r>
        <w:rPr>
          <w:rFonts w:ascii="David" w:hAnsi="David" w:cs="David"/>
          <w:sz w:val="28"/>
          <w:szCs w:val="28"/>
          <w:rtl/>
        </w:rPr>
        <w:t>–</w:t>
      </w:r>
      <w:r>
        <w:rPr>
          <w:rFonts w:ascii="David" w:hAnsi="David" w:cs="David" w:hint="cs"/>
          <w:sz w:val="28"/>
          <w:szCs w:val="28"/>
          <w:rtl/>
        </w:rPr>
        <w:t xml:space="preserve"> חשיבות הדיאגנוזה המודיעינית ביחס לסיגנלים. ככל שמקיימים מחקרים היסטוריים, מייחסים לצד השני רציונאליות וקוהרנטיות, הרה מעבר למה שמתרחש בפועל...כך גם ע"י הצד השני.</w:t>
      </w:r>
    </w:p>
    <w:p w14:paraId="4C468694" w14:textId="31A0AC4C" w:rsidR="00493477" w:rsidRDefault="00493477" w:rsidP="001C41A4">
      <w:pPr>
        <w:rPr>
          <w:rFonts w:ascii="David" w:hAnsi="David" w:cs="David"/>
          <w:sz w:val="28"/>
          <w:szCs w:val="28"/>
          <w:rtl/>
        </w:rPr>
      </w:pPr>
      <w:r>
        <w:rPr>
          <w:rFonts w:ascii="David" w:hAnsi="David" w:cs="David" w:hint="cs"/>
          <w:sz w:val="28"/>
          <w:szCs w:val="28"/>
          <w:rtl/>
        </w:rPr>
        <w:t xml:space="preserve">התפקיד החשוב ביותר של המודיעין הוא גם במתן התרעה אסטרטגית ובניסיון למנוע הפתעות אסטרטגיות מודיעיניות וגם בניהול </w:t>
      </w:r>
      <w:proofErr w:type="spellStart"/>
      <w:r>
        <w:rPr>
          <w:rFonts w:ascii="David" w:hAnsi="David" w:cs="David" w:hint="cs"/>
          <w:sz w:val="28"/>
          <w:szCs w:val="28"/>
          <w:rtl/>
        </w:rPr>
        <w:t>הימיומי</w:t>
      </w:r>
      <w:proofErr w:type="spellEnd"/>
      <w:r>
        <w:rPr>
          <w:rFonts w:ascii="David" w:hAnsi="David" w:cs="David" w:hint="cs"/>
          <w:sz w:val="28"/>
          <w:szCs w:val="28"/>
          <w:rtl/>
        </w:rPr>
        <w:t xml:space="preserve"> של האיסוף המודיעיני.</w:t>
      </w:r>
    </w:p>
    <w:p w14:paraId="3A7BD05B" w14:textId="77BE826C" w:rsidR="0002207A" w:rsidRDefault="00CB2A95" w:rsidP="002F57A8">
      <w:pPr>
        <w:spacing w:line="360" w:lineRule="auto"/>
        <w:rPr>
          <w:rFonts w:ascii="David" w:hAnsi="David" w:cs="David"/>
          <w:b/>
          <w:bCs/>
          <w:sz w:val="28"/>
          <w:szCs w:val="28"/>
          <w:u w:val="single"/>
          <w:rtl/>
        </w:rPr>
      </w:pPr>
      <w:r w:rsidRPr="00BC2FD3">
        <w:rPr>
          <w:rFonts w:ascii="David" w:hAnsi="David" w:cs="David" w:hint="cs"/>
          <w:b/>
          <w:bCs/>
          <w:sz w:val="28"/>
          <w:szCs w:val="28"/>
          <w:u w:val="single"/>
          <w:rtl/>
        </w:rPr>
        <w:t>משך ש</w:t>
      </w:r>
      <w:r>
        <w:rPr>
          <w:rFonts w:ascii="David" w:hAnsi="David" w:cs="David" w:hint="cs"/>
          <w:b/>
          <w:bCs/>
          <w:sz w:val="28"/>
          <w:szCs w:val="28"/>
          <w:u w:val="single"/>
          <w:rtl/>
        </w:rPr>
        <w:t>לישי</w:t>
      </w:r>
      <w:r w:rsidRPr="00BC2FD3">
        <w:rPr>
          <w:rFonts w:ascii="David" w:hAnsi="David" w:cs="David" w:hint="cs"/>
          <w:b/>
          <w:bCs/>
          <w:sz w:val="28"/>
          <w:szCs w:val="28"/>
          <w:u w:val="single"/>
          <w:rtl/>
        </w:rPr>
        <w:t xml:space="preserve"> </w:t>
      </w:r>
      <w:r w:rsidRPr="00BC2FD3">
        <w:rPr>
          <w:rFonts w:ascii="David" w:hAnsi="David" w:cs="David"/>
          <w:b/>
          <w:bCs/>
          <w:sz w:val="28"/>
          <w:szCs w:val="28"/>
          <w:u w:val="single"/>
          <w:rtl/>
        </w:rPr>
        <w:t>–</w:t>
      </w:r>
      <w:r w:rsidRPr="00BC2FD3">
        <w:rPr>
          <w:rFonts w:ascii="David" w:hAnsi="David" w:cs="David" w:hint="cs"/>
          <w:b/>
          <w:bCs/>
          <w:sz w:val="28"/>
          <w:szCs w:val="28"/>
          <w:u w:val="single"/>
          <w:rtl/>
        </w:rPr>
        <w:t xml:space="preserve"> </w:t>
      </w:r>
      <w:r w:rsidR="002F57A8">
        <w:rPr>
          <w:rFonts w:ascii="David" w:hAnsi="David" w:cs="David" w:hint="cs"/>
          <w:b/>
          <w:bCs/>
          <w:sz w:val="28"/>
          <w:szCs w:val="28"/>
          <w:u w:val="single"/>
          <w:rtl/>
        </w:rPr>
        <w:t>תרבות אסטרטגית של "שחקן"</w:t>
      </w:r>
    </w:p>
    <w:p w14:paraId="5B6DE743" w14:textId="7D8745D3" w:rsidR="002F57A8" w:rsidRDefault="002F57A8" w:rsidP="002F57A8">
      <w:pPr>
        <w:spacing w:line="360" w:lineRule="auto"/>
        <w:rPr>
          <w:rFonts w:ascii="David" w:hAnsi="David" w:cs="David"/>
          <w:sz w:val="28"/>
          <w:szCs w:val="28"/>
          <w:rtl/>
        </w:rPr>
      </w:pPr>
      <w:r>
        <w:rPr>
          <w:rFonts w:ascii="David" w:hAnsi="David" w:cs="David" w:hint="cs"/>
          <w:sz w:val="28"/>
          <w:szCs w:val="28"/>
          <w:rtl/>
        </w:rPr>
        <w:t xml:space="preserve">תרבות אסטרטגית </w:t>
      </w:r>
      <w:r>
        <w:rPr>
          <w:rFonts w:ascii="David" w:hAnsi="David" w:cs="David"/>
          <w:sz w:val="28"/>
          <w:szCs w:val="28"/>
          <w:rtl/>
        </w:rPr>
        <w:t>–</w:t>
      </w:r>
      <w:r>
        <w:rPr>
          <w:rFonts w:ascii="David" w:hAnsi="David" w:cs="David" w:hint="cs"/>
          <w:sz w:val="28"/>
          <w:szCs w:val="28"/>
          <w:rtl/>
        </w:rPr>
        <w:t xml:space="preserve"> זהו מכלול של נורמות, ערכים כתובים ולא כתובים ומסורות המגדירים גישה של קהילה מודיעינית. זהו כלי אנליטי המתווסף לניתוח </w:t>
      </w:r>
      <w:r w:rsidRPr="00D33928">
        <w:rPr>
          <w:rFonts w:ascii="David" w:hAnsi="David" w:cs="David" w:hint="cs"/>
          <w:sz w:val="28"/>
          <w:szCs w:val="28"/>
          <w:rtl/>
        </w:rPr>
        <w:t xml:space="preserve">אנליטי </w:t>
      </w:r>
      <w:r w:rsidR="00D33928" w:rsidRPr="00D33928">
        <w:rPr>
          <w:rFonts w:ascii="David" w:hAnsi="David" w:cs="David" w:hint="cs"/>
          <w:sz w:val="28"/>
          <w:szCs w:val="28"/>
          <w:rtl/>
        </w:rPr>
        <w:t>של ה</w:t>
      </w:r>
      <w:r w:rsidR="00D33928">
        <w:rPr>
          <w:rFonts w:ascii="David" w:hAnsi="David" w:cs="David" w:hint="cs"/>
          <w:sz w:val="28"/>
          <w:szCs w:val="28"/>
          <w:rtl/>
        </w:rPr>
        <w:t>"</w:t>
      </w:r>
      <w:r w:rsidR="00D33928" w:rsidRPr="00D33928">
        <w:rPr>
          <w:rFonts w:ascii="David" w:hAnsi="David" w:cs="David" w:hint="cs"/>
          <w:sz w:val="28"/>
          <w:szCs w:val="28"/>
          <w:rtl/>
        </w:rPr>
        <w:t>צד השני</w:t>
      </w:r>
      <w:r w:rsidR="00D33928">
        <w:rPr>
          <w:rFonts w:ascii="David" w:hAnsi="David" w:cs="David" w:hint="cs"/>
          <w:sz w:val="28"/>
          <w:szCs w:val="28"/>
          <w:rtl/>
        </w:rPr>
        <w:t>" בשאלות של שלום ומלחמה. זהו כלי לביצוע דיאגנוזות לאופן שבו מדינות ממשיגות לדוג' סייבר ו</w:t>
      </w:r>
      <w:r w:rsidR="005B3097">
        <w:rPr>
          <w:rFonts w:ascii="David" w:hAnsi="David" w:cs="David" w:hint="cs"/>
          <w:sz w:val="28"/>
          <w:szCs w:val="28"/>
          <w:rtl/>
        </w:rPr>
        <w:t>מ</w:t>
      </w:r>
      <w:r w:rsidR="00D33928">
        <w:rPr>
          <w:rFonts w:ascii="David" w:hAnsi="David" w:cs="David" w:hint="cs"/>
          <w:sz w:val="28"/>
          <w:szCs w:val="28"/>
          <w:rtl/>
        </w:rPr>
        <w:t>ערכות למול האתגר/ איום.</w:t>
      </w:r>
    </w:p>
    <w:p w14:paraId="14C81B7E" w14:textId="77777777" w:rsidR="00514E94" w:rsidRDefault="00D33928" w:rsidP="00514E94">
      <w:pPr>
        <w:spacing w:line="360" w:lineRule="auto"/>
        <w:rPr>
          <w:rFonts w:ascii="David" w:hAnsi="David" w:cs="David"/>
          <w:sz w:val="28"/>
          <w:szCs w:val="28"/>
          <w:rtl/>
        </w:rPr>
      </w:pPr>
      <w:r>
        <w:rPr>
          <w:rFonts w:ascii="David" w:hAnsi="David" w:cs="David" w:hint="cs"/>
          <w:sz w:val="28"/>
          <w:szCs w:val="28"/>
          <w:rtl/>
        </w:rPr>
        <w:t>למאפיינים תרבותיים ישנה השפעה על התרבות האסטרטגית של מדינות</w:t>
      </w:r>
      <w:r w:rsidR="00514E94">
        <w:rPr>
          <w:rFonts w:ascii="David" w:hAnsi="David" w:cs="David" w:hint="cs"/>
          <w:sz w:val="28"/>
          <w:szCs w:val="28"/>
          <w:rtl/>
        </w:rPr>
        <w:t>:</w:t>
      </w:r>
    </w:p>
    <w:p w14:paraId="71EF2D98" w14:textId="77777777" w:rsidR="00514E94" w:rsidRDefault="00D33928" w:rsidP="00514E94">
      <w:pPr>
        <w:pStyle w:val="a3"/>
        <w:numPr>
          <w:ilvl w:val="0"/>
          <w:numId w:val="15"/>
        </w:numPr>
        <w:spacing w:line="360" w:lineRule="auto"/>
        <w:rPr>
          <w:rFonts w:ascii="David" w:hAnsi="David" w:cs="David"/>
          <w:sz w:val="28"/>
          <w:szCs w:val="28"/>
        </w:rPr>
      </w:pPr>
      <w:r w:rsidRPr="00514E94">
        <w:rPr>
          <w:rFonts w:ascii="David" w:hAnsi="David" w:cs="David" w:hint="cs"/>
          <w:sz w:val="28"/>
          <w:szCs w:val="28"/>
          <w:rtl/>
        </w:rPr>
        <w:t>היחס לטכנולוגיה</w:t>
      </w:r>
      <w:r w:rsidR="00514E94" w:rsidRPr="00514E94">
        <w:rPr>
          <w:rFonts w:ascii="David" w:hAnsi="David" w:cs="David" w:hint="cs"/>
          <w:sz w:val="28"/>
          <w:szCs w:val="28"/>
          <w:rtl/>
        </w:rPr>
        <w:t xml:space="preserve"> וההבדלים ב"תאוריות הניצחון"</w:t>
      </w:r>
    </w:p>
    <w:p w14:paraId="74260F7B" w14:textId="77777777" w:rsidR="00514E94" w:rsidRDefault="00D33928" w:rsidP="00514E94">
      <w:pPr>
        <w:pStyle w:val="a3"/>
        <w:numPr>
          <w:ilvl w:val="0"/>
          <w:numId w:val="15"/>
        </w:numPr>
        <w:spacing w:line="360" w:lineRule="auto"/>
        <w:rPr>
          <w:rFonts w:ascii="David" w:hAnsi="David" w:cs="David"/>
          <w:sz w:val="28"/>
          <w:szCs w:val="28"/>
        </w:rPr>
      </w:pPr>
      <w:r w:rsidRPr="00514E94">
        <w:rPr>
          <w:rFonts w:ascii="David" w:hAnsi="David" w:cs="David" w:hint="cs"/>
          <w:sz w:val="28"/>
          <w:szCs w:val="28"/>
          <w:rtl/>
        </w:rPr>
        <w:lastRenderedPageBreak/>
        <w:t>מבנה ארגוני של מטה כללי</w:t>
      </w:r>
    </w:p>
    <w:p w14:paraId="1B1C3C36" w14:textId="77777777" w:rsidR="00514E94" w:rsidRDefault="00514E94" w:rsidP="00514E94">
      <w:pPr>
        <w:pStyle w:val="a3"/>
        <w:numPr>
          <w:ilvl w:val="0"/>
          <w:numId w:val="15"/>
        </w:numPr>
        <w:spacing w:line="360" w:lineRule="auto"/>
        <w:rPr>
          <w:rFonts w:ascii="David" w:hAnsi="David" w:cs="David"/>
          <w:sz w:val="28"/>
          <w:szCs w:val="28"/>
        </w:rPr>
      </w:pPr>
      <w:r w:rsidRPr="00514E94">
        <w:rPr>
          <w:rFonts w:ascii="David" w:hAnsi="David" w:cs="David" w:hint="cs"/>
          <w:sz w:val="28"/>
          <w:szCs w:val="28"/>
          <w:rtl/>
        </w:rPr>
        <w:t>חדשנות מ"למטה למעלה" (</w:t>
      </w:r>
      <w:r w:rsidRPr="00514E94">
        <w:rPr>
          <w:rFonts w:ascii="David" w:hAnsi="David" w:cs="David"/>
          <w:sz w:val="28"/>
          <w:szCs w:val="28"/>
        </w:rPr>
        <w:t>adaptation</w:t>
      </w:r>
      <w:r w:rsidRPr="00514E94">
        <w:rPr>
          <w:rFonts w:ascii="David" w:hAnsi="David" w:cs="David" w:hint="cs"/>
          <w:sz w:val="28"/>
          <w:szCs w:val="28"/>
          <w:rtl/>
        </w:rPr>
        <w:t>) או מ"למעלה למטה" (</w:t>
      </w:r>
      <w:r w:rsidRPr="00514E94">
        <w:rPr>
          <w:rFonts w:ascii="David" w:hAnsi="David" w:cs="David"/>
          <w:sz w:val="28"/>
          <w:szCs w:val="28"/>
        </w:rPr>
        <w:t>anticipation</w:t>
      </w:r>
      <w:r w:rsidRPr="00514E94">
        <w:rPr>
          <w:rFonts w:ascii="David" w:hAnsi="David" w:cs="David" w:hint="cs"/>
          <w:sz w:val="28"/>
          <w:szCs w:val="28"/>
          <w:rtl/>
        </w:rPr>
        <w:t xml:space="preserve">) </w:t>
      </w:r>
    </w:p>
    <w:p w14:paraId="719E12B1" w14:textId="77777777" w:rsidR="00514E94" w:rsidRDefault="00514E94" w:rsidP="00514E94">
      <w:pPr>
        <w:pStyle w:val="a3"/>
        <w:numPr>
          <w:ilvl w:val="0"/>
          <w:numId w:val="15"/>
        </w:numPr>
        <w:spacing w:line="360" w:lineRule="auto"/>
        <w:rPr>
          <w:rFonts w:ascii="David" w:hAnsi="David" w:cs="David"/>
          <w:sz w:val="28"/>
          <w:szCs w:val="28"/>
        </w:rPr>
      </w:pPr>
      <w:r w:rsidRPr="00514E94">
        <w:rPr>
          <w:rFonts w:ascii="David" w:hAnsi="David" w:cs="David" w:hint="cs"/>
          <w:sz w:val="28"/>
          <w:szCs w:val="28"/>
          <w:rtl/>
        </w:rPr>
        <w:t xml:space="preserve">ניתוח אסטרטגי ואומנות המערכה. </w:t>
      </w:r>
    </w:p>
    <w:p w14:paraId="2C13BEA1" w14:textId="77777777" w:rsidR="00514E94" w:rsidRDefault="00514E94" w:rsidP="00514E94">
      <w:pPr>
        <w:pStyle w:val="a3"/>
        <w:numPr>
          <w:ilvl w:val="0"/>
          <w:numId w:val="15"/>
        </w:numPr>
        <w:spacing w:line="360" w:lineRule="auto"/>
        <w:rPr>
          <w:rFonts w:ascii="David" w:hAnsi="David" w:cs="David"/>
          <w:sz w:val="28"/>
          <w:szCs w:val="28"/>
        </w:rPr>
      </w:pPr>
      <w:r w:rsidRPr="00514E94">
        <w:rPr>
          <w:rFonts w:ascii="David" w:hAnsi="David" w:cs="David" w:hint="cs"/>
          <w:sz w:val="28"/>
          <w:szCs w:val="28"/>
          <w:rtl/>
        </w:rPr>
        <w:t>תרבות דיאלקטית-</w:t>
      </w:r>
      <w:proofErr w:type="spellStart"/>
      <w:r w:rsidRPr="00514E94">
        <w:rPr>
          <w:rFonts w:ascii="David" w:hAnsi="David" w:cs="David" w:hint="cs"/>
          <w:sz w:val="28"/>
          <w:szCs w:val="28"/>
          <w:rtl/>
        </w:rPr>
        <w:t>הולסטית</w:t>
      </w:r>
      <w:proofErr w:type="spellEnd"/>
      <w:r w:rsidRPr="00514E94">
        <w:rPr>
          <w:rFonts w:ascii="David" w:hAnsi="David" w:cs="David" w:hint="cs"/>
          <w:sz w:val="28"/>
          <w:szCs w:val="28"/>
          <w:rtl/>
        </w:rPr>
        <w:t xml:space="preserve"> לעומת לוגית-אנליטית</w:t>
      </w:r>
      <w:r w:rsidR="00D33928" w:rsidRPr="00514E94">
        <w:rPr>
          <w:rFonts w:ascii="David" w:hAnsi="David" w:cs="David" w:hint="cs"/>
          <w:sz w:val="28"/>
          <w:szCs w:val="28"/>
          <w:rtl/>
        </w:rPr>
        <w:t xml:space="preserve">. </w:t>
      </w:r>
    </w:p>
    <w:p w14:paraId="43C9F33C" w14:textId="58400BDB" w:rsidR="00D33928" w:rsidRPr="00514E94" w:rsidRDefault="00D33928" w:rsidP="00514E94">
      <w:pPr>
        <w:pStyle w:val="a3"/>
        <w:spacing w:line="360" w:lineRule="auto"/>
        <w:rPr>
          <w:rFonts w:ascii="David" w:hAnsi="David" w:cs="David"/>
          <w:sz w:val="28"/>
          <w:szCs w:val="28"/>
          <w:rtl/>
        </w:rPr>
      </w:pPr>
      <w:r w:rsidRPr="00514E94">
        <w:rPr>
          <w:rFonts w:ascii="David" w:hAnsi="David" w:cs="David" w:hint="cs"/>
          <w:sz w:val="28"/>
          <w:szCs w:val="28"/>
          <w:rtl/>
        </w:rPr>
        <w:t>אלו מאפיינים הממחישים את ההבדלים התרבותיים בין מדינות (ישראל וארה"ב לדוג' ביחס לסין)</w:t>
      </w:r>
    </w:p>
    <w:p w14:paraId="7ECCDB08" w14:textId="165D212B" w:rsidR="005B3097" w:rsidRPr="0072464A" w:rsidRDefault="005B3097" w:rsidP="001C41A4">
      <w:pPr>
        <w:rPr>
          <w:rFonts w:ascii="David" w:hAnsi="David" w:cs="David"/>
          <w:b/>
          <w:bCs/>
          <w:sz w:val="28"/>
          <w:szCs w:val="28"/>
          <w:rtl/>
        </w:rPr>
      </w:pPr>
      <w:r w:rsidRPr="0072464A">
        <w:rPr>
          <w:rFonts w:ascii="David" w:hAnsi="David" w:cs="David" w:hint="cs"/>
          <w:b/>
          <w:bCs/>
          <w:sz w:val="28"/>
          <w:szCs w:val="28"/>
        </w:rPr>
        <w:t>NET ASSESMENT</w:t>
      </w:r>
      <w:r w:rsidR="003C2705">
        <w:rPr>
          <w:rFonts w:ascii="David" w:hAnsi="David" w:cs="David" w:hint="cs"/>
          <w:b/>
          <w:bCs/>
          <w:sz w:val="28"/>
          <w:szCs w:val="28"/>
          <w:rtl/>
        </w:rPr>
        <w:t xml:space="preserve"> </w:t>
      </w:r>
      <w:r w:rsidR="003C2705">
        <w:rPr>
          <w:rFonts w:ascii="David" w:hAnsi="David" w:cs="David"/>
          <w:b/>
          <w:bCs/>
          <w:sz w:val="28"/>
          <w:szCs w:val="28"/>
          <w:rtl/>
        </w:rPr>
        <w:t>–</w:t>
      </w:r>
      <w:r w:rsidR="003C2705">
        <w:rPr>
          <w:rFonts w:ascii="David" w:hAnsi="David" w:cs="David" w:hint="cs"/>
          <w:b/>
          <w:bCs/>
          <w:sz w:val="28"/>
          <w:szCs w:val="28"/>
          <w:rtl/>
        </w:rPr>
        <w:t xml:space="preserve"> "הערכת נטו"</w:t>
      </w:r>
    </w:p>
    <w:p w14:paraId="501373AC" w14:textId="40A5CDC0" w:rsidR="005B3097" w:rsidRDefault="005B3097" w:rsidP="001C41A4">
      <w:pPr>
        <w:rPr>
          <w:rFonts w:ascii="David" w:hAnsi="David" w:cs="David"/>
          <w:sz w:val="28"/>
          <w:szCs w:val="28"/>
          <w:rtl/>
        </w:rPr>
      </w:pPr>
      <w:r>
        <w:rPr>
          <w:rFonts w:ascii="David" w:hAnsi="David" w:cs="David" w:hint="cs"/>
          <w:sz w:val="28"/>
          <w:szCs w:val="28"/>
          <w:rtl/>
        </w:rPr>
        <w:t xml:space="preserve">מהי בעיה אסטרטגית ? מתוך סך האיומים האסטרטגיים על המדינה, הפיכת איום לבעיה, הוא </w:t>
      </w:r>
      <w:r w:rsidRPr="0072464A">
        <w:rPr>
          <w:rFonts w:ascii="David" w:hAnsi="David" w:cs="David" w:hint="cs"/>
          <w:b/>
          <w:bCs/>
          <w:sz w:val="28"/>
          <w:szCs w:val="28"/>
          <w:rtl/>
        </w:rPr>
        <w:t xml:space="preserve">חוסר היכולת </w:t>
      </w:r>
      <w:proofErr w:type="spellStart"/>
      <w:r w:rsidRPr="0072464A">
        <w:rPr>
          <w:rFonts w:ascii="David" w:hAnsi="David" w:cs="David" w:hint="cs"/>
          <w:b/>
          <w:bCs/>
          <w:sz w:val="28"/>
          <w:szCs w:val="28"/>
          <w:rtl/>
        </w:rPr>
        <w:t>לאמוד</w:t>
      </w:r>
      <w:proofErr w:type="spellEnd"/>
      <w:r w:rsidRPr="0072464A">
        <w:rPr>
          <w:rFonts w:ascii="David" w:hAnsi="David" w:cs="David" w:hint="cs"/>
          <w:b/>
          <w:bCs/>
          <w:sz w:val="28"/>
          <w:szCs w:val="28"/>
          <w:rtl/>
        </w:rPr>
        <w:t xml:space="preserve"> אותה/ להגיב אליה</w:t>
      </w:r>
      <w:r w:rsidR="0072464A">
        <w:rPr>
          <w:rFonts w:ascii="David" w:hAnsi="David" w:cs="David" w:hint="cs"/>
          <w:sz w:val="28"/>
          <w:szCs w:val="28"/>
          <w:rtl/>
        </w:rPr>
        <w:t xml:space="preserve">. </w:t>
      </w:r>
    </w:p>
    <w:p w14:paraId="33D31D9C" w14:textId="0DCE1BF5" w:rsidR="0072464A" w:rsidRDefault="003C2705" w:rsidP="001C41A4">
      <w:pPr>
        <w:rPr>
          <w:rFonts w:ascii="David" w:hAnsi="David" w:cs="David"/>
          <w:sz w:val="28"/>
          <w:szCs w:val="28"/>
          <w:rtl/>
        </w:rPr>
      </w:pPr>
      <w:r>
        <w:rPr>
          <w:rFonts w:ascii="David" w:hAnsi="David" w:cs="David" w:hint="cs"/>
          <w:sz w:val="28"/>
          <w:szCs w:val="28"/>
          <w:rtl/>
        </w:rPr>
        <w:t>"המפגש" בין "כחול" ו"אדום", שכלול תמורות, היכן אנחנו ביחס ליריב ולהיפך. זהו תהליך אינטואיטיבי. השונות באה לידי ביטוי בתרבות הארגונית בין גופים ומדינות.</w:t>
      </w:r>
    </w:p>
    <w:p w14:paraId="3713355C" w14:textId="724EA1B2" w:rsidR="003C2705" w:rsidRDefault="003C2705" w:rsidP="001C41A4">
      <w:pPr>
        <w:rPr>
          <w:rFonts w:ascii="David" w:hAnsi="David" w:cs="David"/>
          <w:sz w:val="28"/>
          <w:szCs w:val="28"/>
          <w:rtl/>
        </w:rPr>
      </w:pPr>
      <w:r>
        <w:rPr>
          <w:rFonts w:ascii="David" w:hAnsi="David" w:cs="David" w:hint="cs"/>
          <w:sz w:val="28"/>
          <w:szCs w:val="28"/>
          <w:rtl/>
        </w:rPr>
        <w:t xml:space="preserve">"הערכת נטו" - תכלול כלל המרכיבים והמידע אשר על בסיסו מתקיים תהליך של חשיבה אסטרטגית. זהו שלב </w:t>
      </w:r>
      <w:r w:rsidRPr="003C2705">
        <w:rPr>
          <w:rFonts w:ascii="David" w:hAnsi="David" w:cs="David" w:hint="cs"/>
          <w:b/>
          <w:bCs/>
          <w:sz w:val="28"/>
          <w:szCs w:val="28"/>
          <w:rtl/>
        </w:rPr>
        <w:t>מקדים</w:t>
      </w:r>
      <w:r>
        <w:rPr>
          <w:rFonts w:ascii="David" w:hAnsi="David" w:cs="David" w:hint="cs"/>
          <w:sz w:val="28"/>
          <w:szCs w:val="28"/>
          <w:rtl/>
        </w:rPr>
        <w:t xml:space="preserve"> לתכנון אסטרטגי. זה כולל גם את הסביבה שבה אנו חיים, בעלות ברית, מגמות שאינן קשורות לאויב, אפקטים "מסדר שני". רק לאחר ההערכת נטו, מתקיים תהליך של תכנון אסטרטגי.</w:t>
      </w:r>
    </w:p>
    <w:p w14:paraId="4D9E22AC" w14:textId="29FDDECF" w:rsidR="00E365AD" w:rsidRDefault="00E365AD" w:rsidP="001C41A4">
      <w:pPr>
        <w:rPr>
          <w:rFonts w:ascii="David" w:hAnsi="David" w:cs="David"/>
          <w:sz w:val="28"/>
          <w:szCs w:val="28"/>
          <w:rtl/>
        </w:rPr>
      </w:pPr>
      <w:r>
        <w:rPr>
          <w:rFonts w:ascii="David" w:hAnsi="David" w:cs="David" w:hint="cs"/>
          <w:sz w:val="28"/>
          <w:szCs w:val="28"/>
          <w:rtl/>
        </w:rPr>
        <w:t xml:space="preserve">לקיחה בחשבון את מכלול הגורמים  הרגישים המשפיעים על "הצד השני" </w:t>
      </w:r>
      <w:r>
        <w:rPr>
          <w:rFonts w:ascii="David" w:hAnsi="David" w:cs="David"/>
          <w:sz w:val="28"/>
          <w:szCs w:val="28"/>
          <w:rtl/>
        </w:rPr>
        <w:t>–</w:t>
      </w:r>
      <w:r>
        <w:rPr>
          <w:rFonts w:ascii="David" w:hAnsi="David" w:cs="David" w:hint="cs"/>
          <w:sz w:val="28"/>
          <w:szCs w:val="28"/>
          <w:rtl/>
        </w:rPr>
        <w:t xml:space="preserve"> דוקטרינות, נטיות לאומיות, תרבות ארגונית ועוד.</w:t>
      </w:r>
    </w:p>
    <w:p w14:paraId="0B598138" w14:textId="32D0CF83" w:rsidR="00E365AD" w:rsidRDefault="00E365AD" w:rsidP="001C41A4">
      <w:pPr>
        <w:rPr>
          <w:rFonts w:ascii="David" w:hAnsi="David" w:cs="David"/>
          <w:sz w:val="28"/>
          <w:szCs w:val="28"/>
          <w:rtl/>
        </w:rPr>
      </w:pPr>
      <w:r w:rsidRPr="00C34592">
        <w:rPr>
          <w:rFonts w:ascii="David" w:hAnsi="David" w:cs="David" w:hint="cs"/>
          <w:b/>
          <w:bCs/>
          <w:sz w:val="28"/>
          <w:szCs w:val="28"/>
          <w:rtl/>
        </w:rPr>
        <w:t>היכן זה "נולד"</w:t>
      </w:r>
      <w:r>
        <w:rPr>
          <w:rFonts w:ascii="David" w:hAnsi="David" w:cs="David" w:hint="cs"/>
          <w:sz w:val="28"/>
          <w:szCs w:val="28"/>
          <w:rtl/>
        </w:rPr>
        <w:t xml:space="preserve"> ? </w:t>
      </w:r>
      <w:r>
        <w:rPr>
          <w:rFonts w:ascii="David" w:hAnsi="David" w:cs="David"/>
          <w:sz w:val="28"/>
          <w:szCs w:val="28"/>
        </w:rPr>
        <w:t>office of net assessment</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משרד שהוקם בארה"ב ב</w:t>
      </w:r>
      <w:r w:rsidR="00E14F89">
        <w:rPr>
          <w:rFonts w:ascii="David" w:hAnsi="David" w:cs="David" w:hint="cs"/>
          <w:sz w:val="28"/>
          <w:szCs w:val="28"/>
          <w:rtl/>
        </w:rPr>
        <w:t>שנת</w:t>
      </w:r>
      <w:r>
        <w:rPr>
          <w:rFonts w:ascii="David" w:hAnsi="David" w:cs="David" w:hint="cs"/>
          <w:sz w:val="28"/>
          <w:szCs w:val="28"/>
          <w:rtl/>
        </w:rPr>
        <w:t xml:space="preserve"> 1973. הוא כפוף למשרד ההגנה האמריקאי. מייסד המשרד הוא אנדרו מרשל (עסק באותה תקופה בגיבוש  דוקטרינות גרעיניות). הנרי קיסינג'ר מבין שאין יכולת לתת לנשיא ארה"ב תשובות לשאלות מורכבות בתחרות מול ברית המועצות</w:t>
      </w:r>
      <w:r w:rsidR="00AA1506">
        <w:rPr>
          <w:rFonts w:ascii="David" w:hAnsi="David" w:cs="David" w:hint="cs"/>
          <w:sz w:val="28"/>
          <w:szCs w:val="28"/>
          <w:rtl/>
        </w:rPr>
        <w:t xml:space="preserve"> ועל כן הוא פונה לאנדרו מרשל בבקשה לגיבוש תשובות לשאלות אלו. הוא עמד בראש המשרד הזה עד שנת 2015.</w:t>
      </w:r>
    </w:p>
    <w:p w14:paraId="0FB5A956" w14:textId="25DF9AC1" w:rsidR="00E14F89" w:rsidRDefault="00E14F89" w:rsidP="001C41A4">
      <w:pPr>
        <w:rPr>
          <w:rFonts w:ascii="David" w:hAnsi="David" w:cs="David"/>
          <w:sz w:val="28"/>
          <w:szCs w:val="28"/>
          <w:rtl/>
        </w:rPr>
      </w:pPr>
      <w:r w:rsidRPr="00C34592">
        <w:rPr>
          <w:rFonts w:ascii="David" w:hAnsi="David" w:cs="David" w:hint="cs"/>
          <w:b/>
          <w:bCs/>
          <w:sz w:val="28"/>
          <w:szCs w:val="28"/>
          <w:rtl/>
        </w:rPr>
        <w:t>ייעוד המשרד?</w:t>
      </w:r>
      <w:r>
        <w:rPr>
          <w:rFonts w:ascii="David" w:hAnsi="David" w:cs="David" w:hint="cs"/>
          <w:sz w:val="28"/>
          <w:szCs w:val="28"/>
          <w:rtl/>
        </w:rPr>
        <w:t xml:space="preserve"> צרכן המרכזי הוא שר ההגנה, הציפייה מהמשרד </w:t>
      </w:r>
      <w:r>
        <w:rPr>
          <w:rFonts w:ascii="David" w:hAnsi="David" w:cs="David"/>
          <w:sz w:val="28"/>
          <w:szCs w:val="28"/>
          <w:rtl/>
        </w:rPr>
        <w:t>–</w:t>
      </w:r>
      <w:r>
        <w:rPr>
          <w:rFonts w:ascii="David" w:hAnsi="David" w:cs="David" w:hint="cs"/>
          <w:sz w:val="28"/>
          <w:szCs w:val="28"/>
          <w:rtl/>
        </w:rPr>
        <w:t xml:space="preserve"> בכל נקודת זמן, לספר "סיפור"</w:t>
      </w:r>
      <w:r>
        <w:rPr>
          <w:rFonts w:ascii="David" w:hAnsi="David" w:cs="David" w:hint="cs"/>
          <w:sz w:val="28"/>
          <w:szCs w:val="28"/>
        </w:rPr>
        <w:t xml:space="preserve"> </w:t>
      </w:r>
      <w:r>
        <w:rPr>
          <w:rFonts w:ascii="David" w:hAnsi="David" w:cs="David" w:hint="cs"/>
          <w:sz w:val="28"/>
          <w:szCs w:val="28"/>
          <w:rtl/>
        </w:rPr>
        <w:t xml:space="preserve">קוהרנטי על המאזן בין "הכחולים" </w:t>
      </w:r>
      <w:proofErr w:type="spellStart"/>
      <w:r>
        <w:rPr>
          <w:rFonts w:ascii="David" w:hAnsi="David" w:cs="David" w:hint="cs"/>
          <w:sz w:val="28"/>
          <w:szCs w:val="28"/>
          <w:rtl/>
        </w:rPr>
        <w:t>וה"אדומים</w:t>
      </w:r>
      <w:proofErr w:type="spellEnd"/>
      <w:r>
        <w:rPr>
          <w:rFonts w:ascii="David" w:hAnsi="David" w:cs="David" w:hint="cs"/>
          <w:sz w:val="28"/>
          <w:szCs w:val="28"/>
          <w:rtl/>
        </w:rPr>
        <w:t xml:space="preserve">". הם מסתמכים על מקורות ידע ומידע </w:t>
      </w:r>
      <w:r w:rsidR="00C34592">
        <w:rPr>
          <w:rFonts w:ascii="David" w:hAnsi="David" w:cs="David" w:hint="cs"/>
          <w:sz w:val="28"/>
          <w:szCs w:val="28"/>
          <w:rtl/>
        </w:rPr>
        <w:t>'</w:t>
      </w:r>
      <w:r>
        <w:rPr>
          <w:rFonts w:ascii="David" w:hAnsi="David" w:cs="David" w:hint="cs"/>
          <w:sz w:val="28"/>
          <w:szCs w:val="28"/>
          <w:rtl/>
        </w:rPr>
        <w:t>סטנדרטי</w:t>
      </w:r>
      <w:r w:rsidR="00C34592">
        <w:rPr>
          <w:rFonts w:ascii="David" w:hAnsi="David" w:cs="David" w:hint="cs"/>
          <w:sz w:val="28"/>
          <w:szCs w:val="28"/>
          <w:rtl/>
        </w:rPr>
        <w:t>'</w:t>
      </w:r>
      <w:r>
        <w:rPr>
          <w:rFonts w:ascii="David" w:hAnsi="David" w:cs="David" w:hint="cs"/>
          <w:sz w:val="28"/>
          <w:szCs w:val="28"/>
          <w:rtl/>
        </w:rPr>
        <w:t>, אך גם על מקורות נוספים</w:t>
      </w:r>
      <w:r w:rsidR="00C34592">
        <w:rPr>
          <w:rFonts w:ascii="David" w:hAnsi="David" w:cs="David" w:hint="cs"/>
          <w:sz w:val="28"/>
          <w:szCs w:val="28"/>
          <w:rtl/>
        </w:rPr>
        <w:t xml:space="preserve">, שאלות על הרתעה, נתונים כדוג' הרגלי שתיית אלכוהול בקרב הקצינים הסובייטיים, מגמות תרבותיות של הקצונה הסובייטית, היקף ההשקעה </w:t>
      </w:r>
      <w:proofErr w:type="spellStart"/>
      <w:r w:rsidR="00C34592">
        <w:rPr>
          <w:rFonts w:ascii="David" w:hAnsi="David" w:cs="David" w:hint="cs"/>
          <w:sz w:val="28"/>
          <w:szCs w:val="28"/>
          <w:rtl/>
        </w:rPr>
        <w:t>מהתל"ג</w:t>
      </w:r>
      <w:proofErr w:type="spellEnd"/>
      <w:r w:rsidR="00C34592">
        <w:rPr>
          <w:rFonts w:ascii="David" w:hAnsi="David" w:cs="David" w:hint="cs"/>
          <w:sz w:val="28"/>
          <w:szCs w:val="28"/>
          <w:rtl/>
        </w:rPr>
        <w:t xml:space="preserve"> הסובייטי על בונקרים.</w:t>
      </w:r>
    </w:p>
    <w:p w14:paraId="0E40B7CE" w14:textId="09AC9D4F" w:rsidR="00C34592" w:rsidRDefault="00C34592" w:rsidP="001C41A4">
      <w:pPr>
        <w:rPr>
          <w:rFonts w:ascii="David" w:hAnsi="David" w:cs="David"/>
          <w:sz w:val="28"/>
          <w:szCs w:val="28"/>
          <w:rtl/>
        </w:rPr>
      </w:pPr>
      <w:r w:rsidRPr="00C34592">
        <w:rPr>
          <w:rFonts w:ascii="David" w:hAnsi="David" w:cs="David" w:hint="cs"/>
          <w:b/>
          <w:bCs/>
          <w:sz w:val="28"/>
          <w:szCs w:val="28"/>
          <w:rtl/>
        </w:rPr>
        <w:t>התוצרים</w:t>
      </w:r>
      <w:r>
        <w:rPr>
          <w:rFonts w:ascii="David" w:hAnsi="David" w:cs="David" w:hint="cs"/>
          <w:sz w:val="28"/>
          <w:szCs w:val="28"/>
          <w:rtl/>
        </w:rPr>
        <w:t xml:space="preserve">: דיאגנוזה מודיעינית ולא </w:t>
      </w:r>
      <w:r w:rsidR="00315707">
        <w:rPr>
          <w:rFonts w:ascii="David" w:hAnsi="David" w:cs="David" w:hint="cs"/>
          <w:sz w:val="28"/>
          <w:szCs w:val="28"/>
          <w:rtl/>
        </w:rPr>
        <w:t>השערות</w:t>
      </w:r>
      <w:r>
        <w:rPr>
          <w:rFonts w:ascii="David" w:hAnsi="David" w:cs="David" w:hint="cs"/>
          <w:sz w:val="28"/>
          <w:szCs w:val="28"/>
          <w:rtl/>
        </w:rPr>
        <w:t>. הם יכולים לתת המחשות ורעיונות</w:t>
      </w:r>
      <w:r w:rsidR="00315707">
        <w:rPr>
          <w:rFonts w:ascii="David" w:hAnsi="David" w:cs="David" w:hint="cs"/>
          <w:sz w:val="28"/>
          <w:szCs w:val="28"/>
          <w:rtl/>
        </w:rPr>
        <w:t xml:space="preserve"> ובעיקר </w:t>
      </w:r>
      <w:r>
        <w:rPr>
          <w:rFonts w:ascii="David" w:hAnsi="David" w:cs="David" w:hint="cs"/>
          <w:sz w:val="28"/>
          <w:szCs w:val="28"/>
          <w:rtl/>
        </w:rPr>
        <w:t>תובנות שתומכות תכנון אסטרטגי, בסיס ל"תחרות האסטרטגית".</w:t>
      </w:r>
    </w:p>
    <w:p w14:paraId="3E1B91D4" w14:textId="09E7BC5A" w:rsidR="00315707" w:rsidRDefault="00315707" w:rsidP="001C41A4">
      <w:pPr>
        <w:rPr>
          <w:rFonts w:ascii="David" w:hAnsi="David" w:cs="David"/>
          <w:sz w:val="28"/>
          <w:szCs w:val="28"/>
          <w:rtl/>
        </w:rPr>
      </w:pPr>
      <w:r>
        <w:rPr>
          <w:rFonts w:ascii="David" w:hAnsi="David" w:cs="David" w:hint="cs"/>
          <w:sz w:val="28"/>
          <w:szCs w:val="28"/>
          <w:rtl/>
        </w:rPr>
        <w:t>טווח ההסתכלות של המשרד היא רחוקה מאוד והרב מעבר לטווח ה"קרוב".</w:t>
      </w:r>
    </w:p>
    <w:p w14:paraId="1A317B46" w14:textId="7804DF8F" w:rsidR="00315707" w:rsidRDefault="00315707" w:rsidP="001C41A4">
      <w:pPr>
        <w:rPr>
          <w:rFonts w:ascii="David" w:hAnsi="David" w:cs="David"/>
          <w:sz w:val="28"/>
          <w:szCs w:val="28"/>
          <w:rtl/>
        </w:rPr>
      </w:pPr>
      <w:r>
        <w:rPr>
          <w:rFonts w:ascii="David" w:hAnsi="David" w:cs="David" w:hint="cs"/>
          <w:sz w:val="28"/>
          <w:szCs w:val="28"/>
          <w:rtl/>
        </w:rPr>
        <w:t>דוג' לתוצרי המשרד: מחקר שתוצריו הערכה של הכלכלה הסובייטית</w:t>
      </w:r>
      <w:r w:rsidR="0030268E">
        <w:rPr>
          <w:rFonts w:ascii="David" w:hAnsi="David" w:cs="David" w:hint="cs"/>
          <w:sz w:val="28"/>
          <w:szCs w:val="28"/>
          <w:rtl/>
        </w:rPr>
        <w:t>, כתיבת ספר</w:t>
      </w:r>
      <w:r w:rsidR="00430F44">
        <w:rPr>
          <w:rFonts w:ascii="David" w:hAnsi="David" w:cs="David" w:hint="cs"/>
          <w:sz w:val="28"/>
          <w:szCs w:val="28"/>
          <w:rtl/>
        </w:rPr>
        <w:t>ים בנושא:</w:t>
      </w:r>
      <w:r w:rsidR="0030268E">
        <w:rPr>
          <w:rFonts w:ascii="David" w:hAnsi="David" w:cs="David" w:hint="cs"/>
          <w:sz w:val="28"/>
          <w:szCs w:val="28"/>
          <w:rtl/>
        </w:rPr>
        <w:t xml:space="preserve"> </w:t>
      </w:r>
      <w:r w:rsidR="00DC0A9B">
        <w:rPr>
          <w:rFonts w:ascii="David" w:hAnsi="David" w:cs="David"/>
          <w:sz w:val="28"/>
          <w:szCs w:val="28"/>
        </w:rPr>
        <w:t>"</w:t>
      </w:r>
      <w:r w:rsidR="0030268E">
        <w:rPr>
          <w:rFonts w:ascii="David" w:hAnsi="David" w:cs="David"/>
          <w:sz w:val="28"/>
          <w:szCs w:val="28"/>
        </w:rPr>
        <w:t>the next big thing</w:t>
      </w:r>
      <w:r w:rsidR="00DC0A9B">
        <w:rPr>
          <w:rFonts w:ascii="David" w:hAnsi="David" w:cs="David"/>
          <w:sz w:val="28"/>
          <w:szCs w:val="28"/>
        </w:rPr>
        <w:t>"</w:t>
      </w:r>
      <w:r w:rsidR="0030268E">
        <w:rPr>
          <w:rFonts w:ascii="David" w:hAnsi="David" w:cs="David" w:hint="cs"/>
          <w:sz w:val="28"/>
          <w:szCs w:val="28"/>
          <w:rtl/>
        </w:rPr>
        <w:t xml:space="preserve"> </w:t>
      </w:r>
      <w:r w:rsidR="00E74833">
        <w:rPr>
          <w:rFonts w:ascii="David" w:hAnsi="David" w:cs="David" w:hint="cs"/>
          <w:sz w:val="28"/>
          <w:szCs w:val="28"/>
          <w:rtl/>
        </w:rPr>
        <w:t>בהקשרים עתידניים</w:t>
      </w:r>
      <w:r w:rsidR="00E74833">
        <w:rPr>
          <w:rStyle w:val="a6"/>
          <w:rFonts w:ascii="David" w:hAnsi="David" w:cs="David"/>
          <w:sz w:val="28"/>
          <w:szCs w:val="28"/>
          <w:rtl/>
        </w:rPr>
        <w:footnoteReference w:id="3"/>
      </w:r>
      <w:r w:rsidR="00E74833">
        <w:rPr>
          <w:rFonts w:ascii="David" w:hAnsi="David" w:cs="David" w:hint="cs"/>
          <w:sz w:val="28"/>
          <w:szCs w:val="28"/>
          <w:rtl/>
        </w:rPr>
        <w:t xml:space="preserve">, </w:t>
      </w:r>
      <w:r w:rsidR="0030268E">
        <w:rPr>
          <w:rFonts w:ascii="David" w:hAnsi="David" w:cs="David" w:hint="cs"/>
          <w:sz w:val="28"/>
          <w:szCs w:val="28"/>
          <w:rtl/>
        </w:rPr>
        <w:t>על סגנון החשיבה של הרוסים</w:t>
      </w:r>
      <w:r w:rsidR="00E74833">
        <w:rPr>
          <w:rFonts w:ascii="David" w:hAnsi="David" w:cs="David" w:hint="cs"/>
          <w:sz w:val="28"/>
          <w:szCs w:val="28"/>
          <w:rtl/>
        </w:rPr>
        <w:t>, ניתוח תרבות אסטרטגית סובייטית</w:t>
      </w:r>
      <w:r w:rsidR="0030268E">
        <w:rPr>
          <w:rFonts w:ascii="David" w:hAnsi="David" w:cs="David" w:hint="cs"/>
          <w:sz w:val="28"/>
          <w:szCs w:val="28"/>
          <w:rtl/>
        </w:rPr>
        <w:t>.</w:t>
      </w:r>
    </w:p>
    <w:p w14:paraId="6E016696" w14:textId="55FC76C4" w:rsidR="00472386" w:rsidRDefault="00472386" w:rsidP="001C41A4">
      <w:pPr>
        <w:rPr>
          <w:rFonts w:ascii="David" w:hAnsi="David" w:cs="David"/>
          <w:sz w:val="28"/>
          <w:szCs w:val="28"/>
          <w:rtl/>
        </w:rPr>
      </w:pPr>
      <w:r>
        <w:rPr>
          <w:rFonts w:ascii="David" w:hAnsi="David" w:cs="David" w:hint="cs"/>
          <w:sz w:val="28"/>
          <w:szCs w:val="28"/>
          <w:rtl/>
        </w:rPr>
        <w:t xml:space="preserve">זוהי פונקציה המתארת באופן רחב ביותר את התנהגות "הצד השני". </w:t>
      </w:r>
      <w:r w:rsidR="00D651F7">
        <w:rPr>
          <w:rFonts w:ascii="David" w:hAnsi="David" w:cs="David" w:hint="cs"/>
          <w:sz w:val="28"/>
          <w:szCs w:val="28"/>
          <w:rtl/>
        </w:rPr>
        <w:t xml:space="preserve">ולצד זה, גם ניתוח ואבחון החולשות ב"צד הכחול". הגוף הזה </w:t>
      </w:r>
      <w:r w:rsidR="00AF6070">
        <w:rPr>
          <w:rFonts w:ascii="David" w:hAnsi="David" w:cs="David" w:hint="cs"/>
          <w:sz w:val="28"/>
          <w:szCs w:val="28"/>
          <w:rtl/>
        </w:rPr>
        <w:t xml:space="preserve">עוסק בדיאגנוסטיקה ועל איננו "מאיים" על גופים אחרים במדינה. </w:t>
      </w:r>
      <w:r>
        <w:rPr>
          <w:rFonts w:ascii="David" w:hAnsi="David" w:cs="David" w:hint="cs"/>
          <w:sz w:val="28"/>
          <w:szCs w:val="28"/>
          <w:rtl/>
        </w:rPr>
        <w:t xml:space="preserve">במדינות שונות בעולם </w:t>
      </w:r>
      <w:r w:rsidR="00D651F7">
        <w:rPr>
          <w:rFonts w:ascii="David" w:hAnsi="David" w:cs="David" w:hint="cs"/>
          <w:sz w:val="28"/>
          <w:szCs w:val="28"/>
          <w:rtl/>
        </w:rPr>
        <w:t>הוא</w:t>
      </w:r>
      <w:r>
        <w:rPr>
          <w:rFonts w:ascii="David" w:hAnsi="David" w:cs="David" w:hint="cs"/>
          <w:sz w:val="28"/>
          <w:szCs w:val="28"/>
          <w:rtl/>
        </w:rPr>
        <w:t xml:space="preserve"> ממוסד באופן שונה</w:t>
      </w:r>
      <w:r w:rsidR="00AF6070">
        <w:rPr>
          <w:rFonts w:ascii="David" w:hAnsi="David" w:cs="David" w:hint="cs"/>
          <w:sz w:val="28"/>
          <w:szCs w:val="28"/>
          <w:rtl/>
        </w:rPr>
        <w:t xml:space="preserve">. בהשראת הקמת הגוף הזה, נעשה ניסיון </w:t>
      </w:r>
      <w:r w:rsidR="00AF6070">
        <w:rPr>
          <w:rFonts w:ascii="David" w:hAnsi="David" w:cs="David" w:hint="cs"/>
          <w:sz w:val="28"/>
          <w:szCs w:val="28"/>
          <w:rtl/>
        </w:rPr>
        <w:lastRenderedPageBreak/>
        <w:t>גם בישראל להקים את המשרד "לעניינים אסטרטגיים"</w:t>
      </w:r>
      <w:r w:rsidR="00D651F7">
        <w:rPr>
          <w:rFonts w:ascii="David" w:hAnsi="David" w:cs="David" w:hint="cs"/>
          <w:sz w:val="28"/>
          <w:szCs w:val="28"/>
          <w:rtl/>
        </w:rPr>
        <w:t>.</w:t>
      </w:r>
      <w:r w:rsidR="00AF6070">
        <w:rPr>
          <w:rFonts w:ascii="David" w:hAnsi="David" w:cs="David" w:hint="cs"/>
          <w:sz w:val="28"/>
          <w:szCs w:val="28"/>
          <w:rtl/>
        </w:rPr>
        <w:t xml:space="preserve"> קיים גוף כזה גם באוסטרליה וגם בסינגפור, אשר תכליתו הסכלות בראייה עתידנית.</w:t>
      </w:r>
    </w:p>
    <w:p w14:paraId="5D341B1C" w14:textId="78FA9898" w:rsidR="00C34F60" w:rsidRPr="001C41A4" w:rsidRDefault="00472386" w:rsidP="001C41A4">
      <w:pPr>
        <w:rPr>
          <w:rFonts w:ascii="David" w:hAnsi="David" w:cs="David" w:hint="cs"/>
          <w:sz w:val="28"/>
          <w:szCs w:val="28"/>
          <w:rtl/>
        </w:rPr>
      </w:pPr>
      <w:r>
        <w:rPr>
          <w:rFonts w:ascii="David" w:hAnsi="David" w:cs="David" w:hint="cs"/>
          <w:sz w:val="28"/>
          <w:szCs w:val="28"/>
          <w:rtl/>
        </w:rPr>
        <w:t xml:space="preserve">כיום בצה"ל משתמשים בביטוי "היסט" לצורך ניתוח </w:t>
      </w:r>
      <w:proofErr w:type="spellStart"/>
      <w:r>
        <w:rPr>
          <w:rFonts w:ascii="David" w:hAnsi="David" w:cs="David" w:hint="cs"/>
          <w:sz w:val="28"/>
          <w:szCs w:val="28"/>
          <w:rtl/>
        </w:rPr>
        <w:t>והע"מ</w:t>
      </w:r>
      <w:proofErr w:type="spellEnd"/>
      <w:r>
        <w:rPr>
          <w:rFonts w:ascii="David" w:hAnsi="David" w:cs="David" w:hint="cs"/>
          <w:sz w:val="28"/>
          <w:szCs w:val="28"/>
          <w:rtl/>
        </w:rPr>
        <w:t xml:space="preserve"> </w:t>
      </w:r>
      <w:r w:rsidR="00637A33">
        <w:rPr>
          <w:rFonts w:ascii="David" w:hAnsi="David" w:cs="David" w:hint="cs"/>
          <w:sz w:val="28"/>
          <w:szCs w:val="28"/>
          <w:rtl/>
        </w:rPr>
        <w:t xml:space="preserve">של ההשתנות הנדרשת </w:t>
      </w:r>
      <w:r>
        <w:rPr>
          <w:rFonts w:ascii="David" w:hAnsi="David" w:cs="David" w:hint="cs"/>
          <w:sz w:val="28"/>
          <w:szCs w:val="28"/>
          <w:rtl/>
        </w:rPr>
        <w:t>ביחס ל</w:t>
      </w:r>
      <w:r w:rsidR="00637A33">
        <w:rPr>
          <w:rFonts w:ascii="David" w:hAnsi="David" w:cs="David" w:hint="cs"/>
          <w:sz w:val="28"/>
          <w:szCs w:val="28"/>
          <w:rtl/>
        </w:rPr>
        <w:t>איומים וה</w:t>
      </w:r>
      <w:r>
        <w:rPr>
          <w:rFonts w:ascii="David" w:hAnsi="David" w:cs="David" w:hint="cs"/>
          <w:sz w:val="28"/>
          <w:szCs w:val="28"/>
          <w:rtl/>
        </w:rPr>
        <w:t>שינויים ב"צד האדום".</w:t>
      </w:r>
      <w:bookmarkStart w:id="0" w:name="_GoBack"/>
      <w:bookmarkEnd w:id="0"/>
    </w:p>
    <w:p w14:paraId="7BEE93F6" w14:textId="77777777" w:rsidR="00E74833" w:rsidRPr="001C41A4" w:rsidRDefault="00E74833">
      <w:pPr>
        <w:rPr>
          <w:rFonts w:ascii="David" w:hAnsi="David" w:cs="David"/>
          <w:sz w:val="28"/>
          <w:szCs w:val="28"/>
        </w:rPr>
      </w:pPr>
    </w:p>
    <w:sectPr w:rsidR="00E74833" w:rsidRPr="001C41A4" w:rsidSect="005C247A">
      <w:pgSz w:w="11906" w:h="16838"/>
      <w:pgMar w:top="1440" w:right="1133"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9CDE9" w14:textId="77777777" w:rsidR="007A2DBA" w:rsidRDefault="007A2DBA" w:rsidP="00154AEA">
      <w:pPr>
        <w:spacing w:after="0" w:line="240" w:lineRule="auto"/>
      </w:pPr>
      <w:r>
        <w:separator/>
      </w:r>
    </w:p>
  </w:endnote>
  <w:endnote w:type="continuationSeparator" w:id="0">
    <w:p w14:paraId="01B51A88" w14:textId="77777777" w:rsidR="007A2DBA" w:rsidRDefault="007A2DBA" w:rsidP="00154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57D2E" w14:textId="77777777" w:rsidR="007A2DBA" w:rsidRDefault="007A2DBA" w:rsidP="00154AEA">
      <w:pPr>
        <w:spacing w:after="0" w:line="240" w:lineRule="auto"/>
      </w:pPr>
      <w:r>
        <w:separator/>
      </w:r>
    </w:p>
  </w:footnote>
  <w:footnote w:type="continuationSeparator" w:id="0">
    <w:p w14:paraId="2368C7F8" w14:textId="77777777" w:rsidR="007A2DBA" w:rsidRDefault="007A2DBA" w:rsidP="00154AEA">
      <w:pPr>
        <w:spacing w:after="0" w:line="240" w:lineRule="auto"/>
      </w:pPr>
      <w:r>
        <w:continuationSeparator/>
      </w:r>
    </w:p>
  </w:footnote>
  <w:footnote w:id="1">
    <w:p w14:paraId="5B279040" w14:textId="221B5BEC" w:rsidR="00164E7F" w:rsidRDefault="00164E7F">
      <w:pPr>
        <w:pStyle w:val="a4"/>
      </w:pPr>
      <w:r>
        <w:rPr>
          <w:rStyle w:val="a6"/>
        </w:rPr>
        <w:footnoteRef/>
      </w:r>
      <w:r>
        <w:rPr>
          <w:rtl/>
        </w:rPr>
        <w:t xml:space="preserve"> </w:t>
      </w:r>
      <w:r>
        <w:rPr>
          <w:rFonts w:hint="cs"/>
          <w:rtl/>
        </w:rPr>
        <w:t xml:space="preserve">המלצה לספר </w:t>
      </w:r>
      <w:r>
        <w:t xml:space="preserve">legacy of </w:t>
      </w:r>
      <w:proofErr w:type="spellStart"/>
      <w:r>
        <w:t>asshas</w:t>
      </w:r>
      <w:proofErr w:type="spellEnd"/>
    </w:p>
  </w:footnote>
  <w:footnote w:id="2">
    <w:p w14:paraId="65463D06" w14:textId="2CC07559" w:rsidR="00F07EDD" w:rsidRDefault="00F07EDD">
      <w:pPr>
        <w:pStyle w:val="a4"/>
        <w:rPr>
          <w:rFonts w:hint="cs"/>
          <w:rtl/>
        </w:rPr>
      </w:pPr>
      <w:r>
        <w:rPr>
          <w:rStyle w:val="a6"/>
        </w:rPr>
        <w:footnoteRef/>
      </w:r>
      <w:r>
        <w:rPr>
          <w:rtl/>
        </w:rPr>
        <w:t xml:space="preserve"> </w:t>
      </w:r>
      <w:r>
        <w:rPr>
          <w:rFonts w:hint="cs"/>
          <w:rtl/>
        </w:rPr>
        <w:t xml:space="preserve">המלצה על ספר של אורי בר יוסף </w:t>
      </w:r>
      <w:r>
        <w:rPr>
          <w:rtl/>
        </w:rPr>
        <w:t>–</w:t>
      </w:r>
      <w:r>
        <w:rPr>
          <w:rFonts w:hint="cs"/>
          <w:rtl/>
        </w:rPr>
        <w:t xml:space="preserve"> הצופה הנרדם</w:t>
      </w:r>
      <w:r w:rsidR="0002207A">
        <w:rPr>
          <w:rFonts w:hint="cs"/>
          <w:rtl/>
        </w:rPr>
        <w:t xml:space="preserve">, המלאך (ביוגרפיה על </w:t>
      </w:r>
      <w:proofErr w:type="spellStart"/>
      <w:r w:rsidR="0002207A">
        <w:rPr>
          <w:rFonts w:hint="cs"/>
          <w:rtl/>
        </w:rPr>
        <w:t>אשרף</w:t>
      </w:r>
      <w:proofErr w:type="spellEnd"/>
      <w:r w:rsidR="0002207A">
        <w:rPr>
          <w:rFonts w:hint="cs"/>
          <w:rtl/>
        </w:rPr>
        <w:t xml:space="preserve"> מרואן)</w:t>
      </w:r>
      <w:r>
        <w:rPr>
          <w:rFonts w:hint="cs"/>
          <w:rtl/>
        </w:rPr>
        <w:t xml:space="preserve"> וסרט "שתיקת הצופרים"</w:t>
      </w:r>
    </w:p>
  </w:footnote>
  <w:footnote w:id="3">
    <w:p w14:paraId="5EA5EB33" w14:textId="77777777" w:rsidR="00E74833" w:rsidRDefault="00E74833" w:rsidP="00E74833">
      <w:pPr>
        <w:pStyle w:val="a4"/>
        <w:rPr>
          <w:rFonts w:hint="cs"/>
          <w:rtl/>
        </w:rPr>
      </w:pPr>
      <w:r>
        <w:rPr>
          <w:rStyle w:val="a6"/>
        </w:rPr>
        <w:footnoteRef/>
      </w:r>
      <w:r>
        <w:rPr>
          <w:rtl/>
        </w:rPr>
        <w:t xml:space="preserve"> </w:t>
      </w:r>
      <w:r>
        <w:rPr>
          <w:rFonts w:hint="cs"/>
          <w:rtl/>
        </w:rPr>
        <w:t xml:space="preserve">ספר שכתב סם </w:t>
      </w:r>
      <w:proofErr w:type="spellStart"/>
      <w:r>
        <w:rPr>
          <w:rFonts w:hint="cs"/>
          <w:rtl/>
        </w:rPr>
        <w:t>הנטינגטון</w:t>
      </w:r>
      <w:proofErr w:type="spellEnd"/>
      <w:r>
        <w:rPr>
          <w:rFonts w:hint="cs"/>
          <w:rtl/>
        </w:rPr>
        <w:t>: התנגשות בין ציוויליזציו</w:t>
      </w:r>
      <w:r>
        <w:rPr>
          <w:rFonts w:hint="eastAsia"/>
          <w:rtl/>
        </w:rPr>
        <w:t>ת</w:t>
      </w:r>
      <w:r>
        <w:rPr>
          <w:rFonts w:hint="cs"/>
          <w:rtl/>
        </w:rPr>
        <w:t xml:space="preserve"> והסדר העולמי החדש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38EE"/>
    <w:multiLevelType w:val="hybridMultilevel"/>
    <w:tmpl w:val="26AC1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E71AF"/>
    <w:multiLevelType w:val="hybridMultilevel"/>
    <w:tmpl w:val="DC509922"/>
    <w:lvl w:ilvl="0" w:tplc="917CCFD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652996"/>
    <w:multiLevelType w:val="hybridMultilevel"/>
    <w:tmpl w:val="9710E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C6898"/>
    <w:multiLevelType w:val="hybridMultilevel"/>
    <w:tmpl w:val="B434D2BA"/>
    <w:lvl w:ilvl="0" w:tplc="11B47A5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F26D4D"/>
    <w:multiLevelType w:val="hybridMultilevel"/>
    <w:tmpl w:val="421A2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35D82"/>
    <w:multiLevelType w:val="hybridMultilevel"/>
    <w:tmpl w:val="881AE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15806"/>
    <w:multiLevelType w:val="hybridMultilevel"/>
    <w:tmpl w:val="FC2A8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D447CC"/>
    <w:multiLevelType w:val="hybridMultilevel"/>
    <w:tmpl w:val="F192199E"/>
    <w:lvl w:ilvl="0" w:tplc="881E8612">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4E9036B5"/>
    <w:multiLevelType w:val="hybridMultilevel"/>
    <w:tmpl w:val="8270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2058F6"/>
    <w:multiLevelType w:val="hybridMultilevel"/>
    <w:tmpl w:val="25245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F704CA"/>
    <w:multiLevelType w:val="hybridMultilevel"/>
    <w:tmpl w:val="6840B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AA4F12"/>
    <w:multiLevelType w:val="hybridMultilevel"/>
    <w:tmpl w:val="E11A3636"/>
    <w:lvl w:ilvl="0" w:tplc="586A44B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C51A46"/>
    <w:multiLevelType w:val="hybridMultilevel"/>
    <w:tmpl w:val="F48A0692"/>
    <w:lvl w:ilvl="0" w:tplc="624696E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E271E8"/>
    <w:multiLevelType w:val="hybridMultilevel"/>
    <w:tmpl w:val="7B1AFA68"/>
    <w:lvl w:ilvl="0" w:tplc="B2142644">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97471"/>
    <w:multiLevelType w:val="hybridMultilevel"/>
    <w:tmpl w:val="BE52D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12"/>
  </w:num>
  <w:num w:numId="5">
    <w:abstractNumId w:val="3"/>
  </w:num>
  <w:num w:numId="6">
    <w:abstractNumId w:val="2"/>
  </w:num>
  <w:num w:numId="7">
    <w:abstractNumId w:val="10"/>
  </w:num>
  <w:num w:numId="8">
    <w:abstractNumId w:val="13"/>
  </w:num>
  <w:num w:numId="9">
    <w:abstractNumId w:val="4"/>
  </w:num>
  <w:num w:numId="10">
    <w:abstractNumId w:val="11"/>
  </w:num>
  <w:num w:numId="11">
    <w:abstractNumId w:val="0"/>
  </w:num>
  <w:num w:numId="12">
    <w:abstractNumId w:val="14"/>
  </w:num>
  <w:num w:numId="13">
    <w:abstractNumId w:val="5"/>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7A"/>
    <w:rsid w:val="0002207A"/>
    <w:rsid w:val="00022102"/>
    <w:rsid w:val="000A208A"/>
    <w:rsid w:val="000C7DA6"/>
    <w:rsid w:val="000D2C14"/>
    <w:rsid w:val="000E51FA"/>
    <w:rsid w:val="00114436"/>
    <w:rsid w:val="00133684"/>
    <w:rsid w:val="00134839"/>
    <w:rsid w:val="00154AEA"/>
    <w:rsid w:val="00164E7F"/>
    <w:rsid w:val="0017751D"/>
    <w:rsid w:val="001C3CF9"/>
    <w:rsid w:val="001C41A4"/>
    <w:rsid w:val="0029074B"/>
    <w:rsid w:val="002D142C"/>
    <w:rsid w:val="002F57A8"/>
    <w:rsid w:val="0030268E"/>
    <w:rsid w:val="00315707"/>
    <w:rsid w:val="003224FE"/>
    <w:rsid w:val="00340867"/>
    <w:rsid w:val="0035633D"/>
    <w:rsid w:val="003905DB"/>
    <w:rsid w:val="003C2705"/>
    <w:rsid w:val="003E0BC4"/>
    <w:rsid w:val="00430F44"/>
    <w:rsid w:val="004663F1"/>
    <w:rsid w:val="00466670"/>
    <w:rsid w:val="00472386"/>
    <w:rsid w:val="00493477"/>
    <w:rsid w:val="0051207B"/>
    <w:rsid w:val="00514E94"/>
    <w:rsid w:val="00531E4A"/>
    <w:rsid w:val="00532A59"/>
    <w:rsid w:val="00534B99"/>
    <w:rsid w:val="00537A5A"/>
    <w:rsid w:val="005465DD"/>
    <w:rsid w:val="005A232D"/>
    <w:rsid w:val="005B3097"/>
    <w:rsid w:val="005C247A"/>
    <w:rsid w:val="005F3B28"/>
    <w:rsid w:val="00637A33"/>
    <w:rsid w:val="00646E0C"/>
    <w:rsid w:val="006D0A76"/>
    <w:rsid w:val="00711173"/>
    <w:rsid w:val="0072464A"/>
    <w:rsid w:val="007A2DBA"/>
    <w:rsid w:val="007C453B"/>
    <w:rsid w:val="007E33B6"/>
    <w:rsid w:val="007E690A"/>
    <w:rsid w:val="00835B39"/>
    <w:rsid w:val="00850991"/>
    <w:rsid w:val="008C1F93"/>
    <w:rsid w:val="008F56B5"/>
    <w:rsid w:val="0094257B"/>
    <w:rsid w:val="00975829"/>
    <w:rsid w:val="0099472C"/>
    <w:rsid w:val="009F71A4"/>
    <w:rsid w:val="00A06512"/>
    <w:rsid w:val="00A676AC"/>
    <w:rsid w:val="00AA1506"/>
    <w:rsid w:val="00AB2FDE"/>
    <w:rsid w:val="00AF6070"/>
    <w:rsid w:val="00AF63E5"/>
    <w:rsid w:val="00B26461"/>
    <w:rsid w:val="00B74E64"/>
    <w:rsid w:val="00BB7189"/>
    <w:rsid w:val="00BC2FD3"/>
    <w:rsid w:val="00C34592"/>
    <w:rsid w:val="00C34F60"/>
    <w:rsid w:val="00C840E3"/>
    <w:rsid w:val="00CB2A95"/>
    <w:rsid w:val="00CC4E52"/>
    <w:rsid w:val="00CC6A8F"/>
    <w:rsid w:val="00CD3664"/>
    <w:rsid w:val="00CD6626"/>
    <w:rsid w:val="00D054FF"/>
    <w:rsid w:val="00D33928"/>
    <w:rsid w:val="00D33BA1"/>
    <w:rsid w:val="00D651F7"/>
    <w:rsid w:val="00D66C91"/>
    <w:rsid w:val="00D847C5"/>
    <w:rsid w:val="00DC0A9B"/>
    <w:rsid w:val="00E14F89"/>
    <w:rsid w:val="00E365AD"/>
    <w:rsid w:val="00E46E9D"/>
    <w:rsid w:val="00E72256"/>
    <w:rsid w:val="00E74833"/>
    <w:rsid w:val="00E958AC"/>
    <w:rsid w:val="00EF57F7"/>
    <w:rsid w:val="00F026CF"/>
    <w:rsid w:val="00F07EDD"/>
    <w:rsid w:val="00FA2CF0"/>
    <w:rsid w:val="00FD42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80A5"/>
  <w15:chartTrackingRefBased/>
  <w15:docId w15:val="{ED1A5C23-A2A8-4346-A8FD-DD6557DE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6CF"/>
    <w:pPr>
      <w:ind w:left="720"/>
      <w:contextualSpacing/>
    </w:pPr>
  </w:style>
  <w:style w:type="paragraph" w:styleId="a4">
    <w:name w:val="footnote text"/>
    <w:basedOn w:val="a"/>
    <w:link w:val="a5"/>
    <w:uiPriority w:val="99"/>
    <w:semiHidden/>
    <w:unhideWhenUsed/>
    <w:rsid w:val="00154AEA"/>
    <w:pPr>
      <w:spacing w:after="0" w:line="240" w:lineRule="auto"/>
    </w:pPr>
    <w:rPr>
      <w:sz w:val="20"/>
      <w:szCs w:val="20"/>
    </w:rPr>
  </w:style>
  <w:style w:type="character" w:customStyle="1" w:styleId="a5">
    <w:name w:val="טקסט הערת שוליים תו"/>
    <w:basedOn w:val="a0"/>
    <w:link w:val="a4"/>
    <w:uiPriority w:val="99"/>
    <w:semiHidden/>
    <w:rsid w:val="00154AEA"/>
    <w:rPr>
      <w:sz w:val="20"/>
      <w:szCs w:val="20"/>
    </w:rPr>
  </w:style>
  <w:style w:type="character" w:styleId="a6">
    <w:name w:val="footnote reference"/>
    <w:basedOn w:val="a0"/>
    <w:uiPriority w:val="99"/>
    <w:semiHidden/>
    <w:unhideWhenUsed/>
    <w:rsid w:val="00154A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8A1C43-33EF-4208-8768-6D5138019D50}" type="doc">
      <dgm:prSet loTypeId="urn:microsoft.com/office/officeart/2005/8/layout/cycle6" loCatId="cycle" qsTypeId="urn:microsoft.com/office/officeart/2005/8/quickstyle/simple1" qsCatId="simple" csTypeId="urn:microsoft.com/office/officeart/2005/8/colors/accent1_2" csCatId="accent1" phldr="1"/>
      <dgm:spPr/>
      <dgm:t>
        <a:bodyPr/>
        <a:lstStyle/>
        <a:p>
          <a:pPr rtl="1"/>
          <a:endParaRPr lang="he-IL"/>
        </a:p>
      </dgm:t>
    </dgm:pt>
    <dgm:pt modelId="{A729B864-7200-42CD-B5EB-8A0F8C6C41AD}">
      <dgm:prSet phldrT="[טקסט]" custT="1"/>
      <dgm:spPr/>
      <dgm:t>
        <a:bodyPr/>
        <a:lstStyle/>
        <a:p>
          <a:pPr rtl="1"/>
          <a:r>
            <a:rPr lang="he-IL" sz="1400"/>
            <a:t>דרישות (</a:t>
          </a:r>
          <a:r>
            <a:rPr lang="en-US" sz="1400"/>
            <a:t>requirement</a:t>
          </a:r>
          <a:r>
            <a:rPr lang="he-IL" sz="1400"/>
            <a:t>)</a:t>
          </a:r>
        </a:p>
      </dgm:t>
    </dgm:pt>
    <dgm:pt modelId="{234A6B88-241E-4796-8D69-E7FAF3D555C5}" type="parTrans" cxnId="{9853F0B5-1099-4E68-A623-6DF79C934398}">
      <dgm:prSet/>
      <dgm:spPr/>
      <dgm:t>
        <a:bodyPr/>
        <a:lstStyle/>
        <a:p>
          <a:pPr rtl="1"/>
          <a:endParaRPr lang="he-IL" sz="2000"/>
        </a:p>
      </dgm:t>
    </dgm:pt>
    <dgm:pt modelId="{94FC27AA-9F28-4C7F-86AE-7F8C7D46BF66}" type="sibTrans" cxnId="{9853F0B5-1099-4E68-A623-6DF79C934398}">
      <dgm:prSet/>
      <dgm:spPr/>
      <dgm:t>
        <a:bodyPr/>
        <a:lstStyle/>
        <a:p>
          <a:pPr rtl="1"/>
          <a:endParaRPr lang="he-IL" sz="2000"/>
        </a:p>
      </dgm:t>
    </dgm:pt>
    <dgm:pt modelId="{7767D2C7-AE1B-46FC-8FC8-06A3CEF17A2F}">
      <dgm:prSet phldrT="[טקסט]" custT="1"/>
      <dgm:spPr/>
      <dgm:t>
        <a:bodyPr/>
        <a:lstStyle/>
        <a:p>
          <a:pPr rtl="1"/>
          <a:r>
            <a:rPr lang="he-IL" sz="1400"/>
            <a:t>איסוף (</a:t>
          </a:r>
          <a:r>
            <a:rPr lang="en-US" sz="1400"/>
            <a:t>collection</a:t>
          </a:r>
          <a:r>
            <a:rPr lang="he-IL" sz="1400"/>
            <a:t>)</a:t>
          </a:r>
        </a:p>
      </dgm:t>
    </dgm:pt>
    <dgm:pt modelId="{E1DAE3AB-22CF-4975-8EAC-08A5F52A7E0F}" type="parTrans" cxnId="{C5157BEB-31CA-4876-9815-BBF91F10DB9D}">
      <dgm:prSet/>
      <dgm:spPr/>
      <dgm:t>
        <a:bodyPr/>
        <a:lstStyle/>
        <a:p>
          <a:pPr rtl="1"/>
          <a:endParaRPr lang="he-IL" sz="2000"/>
        </a:p>
      </dgm:t>
    </dgm:pt>
    <dgm:pt modelId="{B219F86C-5D97-466A-ACC6-DC90C88A58E0}" type="sibTrans" cxnId="{C5157BEB-31CA-4876-9815-BBF91F10DB9D}">
      <dgm:prSet/>
      <dgm:spPr/>
      <dgm:t>
        <a:bodyPr/>
        <a:lstStyle/>
        <a:p>
          <a:pPr rtl="1"/>
          <a:endParaRPr lang="he-IL" sz="2000"/>
        </a:p>
      </dgm:t>
    </dgm:pt>
    <dgm:pt modelId="{3C787A7A-E18F-4385-B230-706CF9BB984F}">
      <dgm:prSet phldrT="[טקסט]" custT="1"/>
      <dgm:spPr/>
      <dgm:t>
        <a:bodyPr/>
        <a:lstStyle/>
        <a:p>
          <a:pPr rtl="1"/>
          <a:r>
            <a:rPr lang="he-IL" sz="1400"/>
            <a:t>עיבוד (</a:t>
          </a:r>
          <a:r>
            <a:rPr lang="en-US" sz="1400"/>
            <a:t>processing</a:t>
          </a:r>
          <a:r>
            <a:rPr lang="he-IL" sz="1400"/>
            <a:t>)</a:t>
          </a:r>
        </a:p>
      </dgm:t>
    </dgm:pt>
    <dgm:pt modelId="{4D6D4E1B-05E9-4381-ACC2-42C933BA0209}" type="parTrans" cxnId="{72C030C8-71BC-492C-A983-1E3CC648B59F}">
      <dgm:prSet/>
      <dgm:spPr/>
      <dgm:t>
        <a:bodyPr/>
        <a:lstStyle/>
        <a:p>
          <a:pPr rtl="1"/>
          <a:endParaRPr lang="he-IL" sz="2000"/>
        </a:p>
      </dgm:t>
    </dgm:pt>
    <dgm:pt modelId="{3682256D-2C17-4D99-AA06-6E952AB5FDBF}" type="sibTrans" cxnId="{72C030C8-71BC-492C-A983-1E3CC648B59F}">
      <dgm:prSet/>
      <dgm:spPr/>
      <dgm:t>
        <a:bodyPr/>
        <a:lstStyle/>
        <a:p>
          <a:pPr rtl="1"/>
          <a:endParaRPr lang="he-IL" sz="2000"/>
        </a:p>
      </dgm:t>
    </dgm:pt>
    <dgm:pt modelId="{97C3F00C-7B86-4F1E-9806-816D14A50FA3}">
      <dgm:prSet phldrT="[טקסט]" custT="1"/>
      <dgm:spPr/>
      <dgm:t>
        <a:bodyPr/>
        <a:lstStyle/>
        <a:p>
          <a:pPr rtl="1"/>
          <a:r>
            <a:rPr lang="he-IL" sz="1400"/>
            <a:t>ניתוח, מחקר (</a:t>
          </a:r>
          <a:r>
            <a:rPr lang="en-US" sz="1400"/>
            <a:t>analysis</a:t>
          </a:r>
          <a:r>
            <a:rPr lang="he-IL" sz="1400"/>
            <a:t>)</a:t>
          </a:r>
        </a:p>
      </dgm:t>
    </dgm:pt>
    <dgm:pt modelId="{A286EDD0-21D1-4474-9DC7-789616359363}" type="parTrans" cxnId="{D665C9BE-F0BA-40AC-9F08-FBFA93915495}">
      <dgm:prSet/>
      <dgm:spPr/>
      <dgm:t>
        <a:bodyPr/>
        <a:lstStyle/>
        <a:p>
          <a:pPr rtl="1"/>
          <a:endParaRPr lang="he-IL" sz="2000"/>
        </a:p>
      </dgm:t>
    </dgm:pt>
    <dgm:pt modelId="{C10F9D29-2B68-48A0-A332-000AE25A66E7}" type="sibTrans" cxnId="{D665C9BE-F0BA-40AC-9F08-FBFA93915495}">
      <dgm:prSet/>
      <dgm:spPr/>
      <dgm:t>
        <a:bodyPr/>
        <a:lstStyle/>
        <a:p>
          <a:pPr rtl="1"/>
          <a:endParaRPr lang="he-IL" sz="2000"/>
        </a:p>
      </dgm:t>
    </dgm:pt>
    <dgm:pt modelId="{4AC4DDA0-FEE7-40FB-892D-D6C3E3EF25C6}">
      <dgm:prSet phldrT="[טקסט]" custT="1"/>
      <dgm:spPr/>
      <dgm:t>
        <a:bodyPr/>
        <a:lstStyle/>
        <a:p>
          <a:pPr rtl="1"/>
          <a:r>
            <a:rPr lang="en-US" sz="1400"/>
            <a:t>dissemination</a:t>
          </a:r>
          <a:endParaRPr lang="he-IL" sz="1400"/>
        </a:p>
        <a:p>
          <a:pPr rtl="1"/>
          <a:r>
            <a:rPr lang="he-IL" sz="1400"/>
            <a:t>הפצה</a:t>
          </a:r>
        </a:p>
      </dgm:t>
    </dgm:pt>
    <dgm:pt modelId="{DADCBC32-A62A-4346-BE4E-8C9230139CBD}" type="parTrans" cxnId="{4197B049-5F15-4BFD-A014-77A271AEEF53}">
      <dgm:prSet/>
      <dgm:spPr/>
      <dgm:t>
        <a:bodyPr/>
        <a:lstStyle/>
        <a:p>
          <a:pPr rtl="1"/>
          <a:endParaRPr lang="he-IL" sz="2000"/>
        </a:p>
      </dgm:t>
    </dgm:pt>
    <dgm:pt modelId="{1A34C1D3-A9F0-4868-A268-525D0751F952}" type="sibTrans" cxnId="{4197B049-5F15-4BFD-A014-77A271AEEF53}">
      <dgm:prSet/>
      <dgm:spPr/>
      <dgm:t>
        <a:bodyPr/>
        <a:lstStyle/>
        <a:p>
          <a:pPr rtl="1"/>
          <a:endParaRPr lang="he-IL" sz="2000"/>
        </a:p>
      </dgm:t>
    </dgm:pt>
    <dgm:pt modelId="{E9090691-5349-4FAA-9FEE-D668090B7A38}" type="pres">
      <dgm:prSet presAssocID="{408A1C43-33EF-4208-8768-6D5138019D50}" presName="cycle" presStyleCnt="0">
        <dgm:presLayoutVars>
          <dgm:dir/>
          <dgm:resizeHandles val="exact"/>
        </dgm:presLayoutVars>
      </dgm:prSet>
      <dgm:spPr/>
    </dgm:pt>
    <dgm:pt modelId="{CAD37E68-0FCB-4A5B-8571-BF1CDC6C5BA3}" type="pres">
      <dgm:prSet presAssocID="{A729B864-7200-42CD-B5EB-8A0F8C6C41AD}" presName="node" presStyleLbl="node1" presStyleIdx="0" presStyleCnt="5" custScaleX="125775">
        <dgm:presLayoutVars>
          <dgm:bulletEnabled val="1"/>
        </dgm:presLayoutVars>
      </dgm:prSet>
      <dgm:spPr/>
    </dgm:pt>
    <dgm:pt modelId="{7498CB39-CE91-4EEB-81CD-5F0EB4B632FF}" type="pres">
      <dgm:prSet presAssocID="{A729B864-7200-42CD-B5EB-8A0F8C6C41AD}" presName="spNode" presStyleCnt="0"/>
      <dgm:spPr/>
    </dgm:pt>
    <dgm:pt modelId="{F0A1FF6E-2B10-43B4-8391-4404B3E1A8C1}" type="pres">
      <dgm:prSet presAssocID="{94FC27AA-9F28-4C7F-86AE-7F8C7D46BF66}" presName="sibTrans" presStyleLbl="sibTrans1D1" presStyleIdx="0" presStyleCnt="5"/>
      <dgm:spPr/>
    </dgm:pt>
    <dgm:pt modelId="{688BA551-F830-421D-8428-1E4A8F10CB40}" type="pres">
      <dgm:prSet presAssocID="{7767D2C7-AE1B-46FC-8FC8-06A3CEF17A2F}" presName="node" presStyleLbl="node1" presStyleIdx="1" presStyleCnt="5">
        <dgm:presLayoutVars>
          <dgm:bulletEnabled val="1"/>
        </dgm:presLayoutVars>
      </dgm:prSet>
      <dgm:spPr/>
    </dgm:pt>
    <dgm:pt modelId="{5533B5F1-CE40-46C1-AA3C-1279E0FE02FA}" type="pres">
      <dgm:prSet presAssocID="{7767D2C7-AE1B-46FC-8FC8-06A3CEF17A2F}" presName="spNode" presStyleCnt="0"/>
      <dgm:spPr/>
    </dgm:pt>
    <dgm:pt modelId="{C74BC5B2-67BE-4482-8D92-1CE549DE6908}" type="pres">
      <dgm:prSet presAssocID="{B219F86C-5D97-466A-ACC6-DC90C88A58E0}" presName="sibTrans" presStyleLbl="sibTrans1D1" presStyleIdx="1" presStyleCnt="5"/>
      <dgm:spPr/>
    </dgm:pt>
    <dgm:pt modelId="{DF468C88-69FB-406F-8A37-96AF1F4A6283}" type="pres">
      <dgm:prSet presAssocID="{3C787A7A-E18F-4385-B230-706CF9BB984F}" presName="node" presStyleLbl="node1" presStyleIdx="2" presStyleCnt="5" custScaleX="116351">
        <dgm:presLayoutVars>
          <dgm:bulletEnabled val="1"/>
        </dgm:presLayoutVars>
      </dgm:prSet>
      <dgm:spPr/>
    </dgm:pt>
    <dgm:pt modelId="{5BDC374F-5D5A-48DE-9ED0-D8D0378096D2}" type="pres">
      <dgm:prSet presAssocID="{3C787A7A-E18F-4385-B230-706CF9BB984F}" presName="spNode" presStyleCnt="0"/>
      <dgm:spPr/>
    </dgm:pt>
    <dgm:pt modelId="{EA729D17-D211-4397-B429-62944CDEB108}" type="pres">
      <dgm:prSet presAssocID="{3682256D-2C17-4D99-AA06-6E952AB5FDBF}" presName="sibTrans" presStyleLbl="sibTrans1D1" presStyleIdx="2" presStyleCnt="5"/>
      <dgm:spPr/>
    </dgm:pt>
    <dgm:pt modelId="{48706148-C798-4DF4-A80A-90046A472E1C}" type="pres">
      <dgm:prSet presAssocID="{97C3F00C-7B86-4F1E-9806-816D14A50FA3}" presName="node" presStyleLbl="node1" presStyleIdx="3" presStyleCnt="5">
        <dgm:presLayoutVars>
          <dgm:bulletEnabled val="1"/>
        </dgm:presLayoutVars>
      </dgm:prSet>
      <dgm:spPr/>
    </dgm:pt>
    <dgm:pt modelId="{F70B0CE9-7517-4811-AD8F-3E4C16F5BBC1}" type="pres">
      <dgm:prSet presAssocID="{97C3F00C-7B86-4F1E-9806-816D14A50FA3}" presName="spNode" presStyleCnt="0"/>
      <dgm:spPr/>
    </dgm:pt>
    <dgm:pt modelId="{E5C825F7-F9D1-4EA9-AD78-1D33E4752432}" type="pres">
      <dgm:prSet presAssocID="{C10F9D29-2B68-48A0-A332-000AE25A66E7}" presName="sibTrans" presStyleLbl="sibTrans1D1" presStyleIdx="3" presStyleCnt="5"/>
      <dgm:spPr/>
    </dgm:pt>
    <dgm:pt modelId="{CC708AD4-36CC-4658-9046-39C7261BD577}" type="pres">
      <dgm:prSet presAssocID="{4AC4DDA0-FEE7-40FB-892D-D6C3E3EF25C6}" presName="node" presStyleLbl="node1" presStyleIdx="4" presStyleCnt="5" custScaleX="127587">
        <dgm:presLayoutVars>
          <dgm:bulletEnabled val="1"/>
        </dgm:presLayoutVars>
      </dgm:prSet>
      <dgm:spPr/>
    </dgm:pt>
    <dgm:pt modelId="{D12FC1A3-961B-4EAC-8BB0-E72BFC379775}" type="pres">
      <dgm:prSet presAssocID="{4AC4DDA0-FEE7-40FB-892D-D6C3E3EF25C6}" presName="spNode" presStyleCnt="0"/>
      <dgm:spPr/>
    </dgm:pt>
    <dgm:pt modelId="{F55E8CA5-04C6-4822-A4BB-452B72DE9CDC}" type="pres">
      <dgm:prSet presAssocID="{1A34C1D3-A9F0-4868-A268-525D0751F952}" presName="sibTrans" presStyleLbl="sibTrans1D1" presStyleIdx="4" presStyleCnt="5"/>
      <dgm:spPr/>
    </dgm:pt>
  </dgm:ptLst>
  <dgm:cxnLst>
    <dgm:cxn modelId="{2EF36A17-35B8-42C8-875A-FE0B10ECD57A}" type="presOf" srcId="{3C787A7A-E18F-4385-B230-706CF9BB984F}" destId="{DF468C88-69FB-406F-8A37-96AF1F4A6283}" srcOrd="0" destOrd="0" presId="urn:microsoft.com/office/officeart/2005/8/layout/cycle6"/>
    <dgm:cxn modelId="{214C6C2A-56E6-497C-A595-4E92A2B3C87E}" type="presOf" srcId="{4AC4DDA0-FEE7-40FB-892D-D6C3E3EF25C6}" destId="{CC708AD4-36CC-4658-9046-39C7261BD577}" srcOrd="0" destOrd="0" presId="urn:microsoft.com/office/officeart/2005/8/layout/cycle6"/>
    <dgm:cxn modelId="{573DE848-1D50-4E2C-A559-9652CB7A0457}" type="presOf" srcId="{97C3F00C-7B86-4F1E-9806-816D14A50FA3}" destId="{48706148-C798-4DF4-A80A-90046A472E1C}" srcOrd="0" destOrd="0" presId="urn:microsoft.com/office/officeart/2005/8/layout/cycle6"/>
    <dgm:cxn modelId="{4197B049-5F15-4BFD-A014-77A271AEEF53}" srcId="{408A1C43-33EF-4208-8768-6D5138019D50}" destId="{4AC4DDA0-FEE7-40FB-892D-D6C3E3EF25C6}" srcOrd="4" destOrd="0" parTransId="{DADCBC32-A62A-4346-BE4E-8C9230139CBD}" sibTransId="{1A34C1D3-A9F0-4868-A268-525D0751F952}"/>
    <dgm:cxn modelId="{3C82ED50-0A89-4282-B4F9-EFC9B54BF87E}" type="presOf" srcId="{B219F86C-5D97-466A-ACC6-DC90C88A58E0}" destId="{C74BC5B2-67BE-4482-8D92-1CE549DE6908}" srcOrd="0" destOrd="0" presId="urn:microsoft.com/office/officeart/2005/8/layout/cycle6"/>
    <dgm:cxn modelId="{27BD6759-ED70-461B-8D9A-D2EBF0324E22}" type="presOf" srcId="{3682256D-2C17-4D99-AA06-6E952AB5FDBF}" destId="{EA729D17-D211-4397-B429-62944CDEB108}" srcOrd="0" destOrd="0" presId="urn:microsoft.com/office/officeart/2005/8/layout/cycle6"/>
    <dgm:cxn modelId="{B061577A-DE87-4B9D-A60D-F4E32A147707}" type="presOf" srcId="{1A34C1D3-A9F0-4868-A268-525D0751F952}" destId="{F55E8CA5-04C6-4822-A4BB-452B72DE9CDC}" srcOrd="0" destOrd="0" presId="urn:microsoft.com/office/officeart/2005/8/layout/cycle6"/>
    <dgm:cxn modelId="{CCAD867D-39D5-4630-AA3F-0E8B0D189121}" type="presOf" srcId="{94FC27AA-9F28-4C7F-86AE-7F8C7D46BF66}" destId="{F0A1FF6E-2B10-43B4-8391-4404B3E1A8C1}" srcOrd="0" destOrd="0" presId="urn:microsoft.com/office/officeart/2005/8/layout/cycle6"/>
    <dgm:cxn modelId="{9F7F588B-8F20-43C4-9C2C-F7DEE2ABF16A}" type="presOf" srcId="{A729B864-7200-42CD-B5EB-8A0F8C6C41AD}" destId="{CAD37E68-0FCB-4A5B-8571-BF1CDC6C5BA3}" srcOrd="0" destOrd="0" presId="urn:microsoft.com/office/officeart/2005/8/layout/cycle6"/>
    <dgm:cxn modelId="{6C6C4EA2-AB85-4F71-AE05-4B65CFA1E49A}" type="presOf" srcId="{7767D2C7-AE1B-46FC-8FC8-06A3CEF17A2F}" destId="{688BA551-F830-421D-8428-1E4A8F10CB40}" srcOrd="0" destOrd="0" presId="urn:microsoft.com/office/officeart/2005/8/layout/cycle6"/>
    <dgm:cxn modelId="{93A4A8A5-1934-40B8-A08B-20C4E07F3BCC}" type="presOf" srcId="{C10F9D29-2B68-48A0-A332-000AE25A66E7}" destId="{E5C825F7-F9D1-4EA9-AD78-1D33E4752432}" srcOrd="0" destOrd="0" presId="urn:microsoft.com/office/officeart/2005/8/layout/cycle6"/>
    <dgm:cxn modelId="{9853F0B5-1099-4E68-A623-6DF79C934398}" srcId="{408A1C43-33EF-4208-8768-6D5138019D50}" destId="{A729B864-7200-42CD-B5EB-8A0F8C6C41AD}" srcOrd="0" destOrd="0" parTransId="{234A6B88-241E-4796-8D69-E7FAF3D555C5}" sibTransId="{94FC27AA-9F28-4C7F-86AE-7F8C7D46BF66}"/>
    <dgm:cxn modelId="{D665C9BE-F0BA-40AC-9F08-FBFA93915495}" srcId="{408A1C43-33EF-4208-8768-6D5138019D50}" destId="{97C3F00C-7B86-4F1E-9806-816D14A50FA3}" srcOrd="3" destOrd="0" parTransId="{A286EDD0-21D1-4474-9DC7-789616359363}" sibTransId="{C10F9D29-2B68-48A0-A332-000AE25A66E7}"/>
    <dgm:cxn modelId="{72C030C8-71BC-492C-A983-1E3CC648B59F}" srcId="{408A1C43-33EF-4208-8768-6D5138019D50}" destId="{3C787A7A-E18F-4385-B230-706CF9BB984F}" srcOrd="2" destOrd="0" parTransId="{4D6D4E1B-05E9-4381-ACC2-42C933BA0209}" sibTransId="{3682256D-2C17-4D99-AA06-6E952AB5FDBF}"/>
    <dgm:cxn modelId="{C5157BEB-31CA-4876-9815-BBF91F10DB9D}" srcId="{408A1C43-33EF-4208-8768-6D5138019D50}" destId="{7767D2C7-AE1B-46FC-8FC8-06A3CEF17A2F}" srcOrd="1" destOrd="0" parTransId="{E1DAE3AB-22CF-4975-8EAC-08A5F52A7E0F}" sibTransId="{B219F86C-5D97-466A-ACC6-DC90C88A58E0}"/>
    <dgm:cxn modelId="{882D14EC-4E38-4D10-B8A1-3333AD4FDB51}" type="presOf" srcId="{408A1C43-33EF-4208-8768-6D5138019D50}" destId="{E9090691-5349-4FAA-9FEE-D668090B7A38}" srcOrd="0" destOrd="0" presId="urn:microsoft.com/office/officeart/2005/8/layout/cycle6"/>
    <dgm:cxn modelId="{9062486F-A320-475F-818F-32D9AD789C22}" type="presParOf" srcId="{E9090691-5349-4FAA-9FEE-D668090B7A38}" destId="{CAD37E68-0FCB-4A5B-8571-BF1CDC6C5BA3}" srcOrd="0" destOrd="0" presId="urn:microsoft.com/office/officeart/2005/8/layout/cycle6"/>
    <dgm:cxn modelId="{DF09A912-97F7-4AC7-8A69-39A8436A5B81}" type="presParOf" srcId="{E9090691-5349-4FAA-9FEE-D668090B7A38}" destId="{7498CB39-CE91-4EEB-81CD-5F0EB4B632FF}" srcOrd="1" destOrd="0" presId="urn:microsoft.com/office/officeart/2005/8/layout/cycle6"/>
    <dgm:cxn modelId="{7F96B944-8CB2-42AA-A4E5-93608F7A3D51}" type="presParOf" srcId="{E9090691-5349-4FAA-9FEE-D668090B7A38}" destId="{F0A1FF6E-2B10-43B4-8391-4404B3E1A8C1}" srcOrd="2" destOrd="0" presId="urn:microsoft.com/office/officeart/2005/8/layout/cycle6"/>
    <dgm:cxn modelId="{39D13B4F-4134-48B2-9B22-6C8381F0F85A}" type="presParOf" srcId="{E9090691-5349-4FAA-9FEE-D668090B7A38}" destId="{688BA551-F830-421D-8428-1E4A8F10CB40}" srcOrd="3" destOrd="0" presId="urn:microsoft.com/office/officeart/2005/8/layout/cycle6"/>
    <dgm:cxn modelId="{731A59E0-21C4-402A-B941-953A73524C54}" type="presParOf" srcId="{E9090691-5349-4FAA-9FEE-D668090B7A38}" destId="{5533B5F1-CE40-46C1-AA3C-1279E0FE02FA}" srcOrd="4" destOrd="0" presId="urn:microsoft.com/office/officeart/2005/8/layout/cycle6"/>
    <dgm:cxn modelId="{DAEA9500-2033-40A1-BC00-479A9A124E6A}" type="presParOf" srcId="{E9090691-5349-4FAA-9FEE-D668090B7A38}" destId="{C74BC5B2-67BE-4482-8D92-1CE549DE6908}" srcOrd="5" destOrd="0" presId="urn:microsoft.com/office/officeart/2005/8/layout/cycle6"/>
    <dgm:cxn modelId="{0EDB7F49-58AA-4AB7-82EF-3CEECC08B1AB}" type="presParOf" srcId="{E9090691-5349-4FAA-9FEE-D668090B7A38}" destId="{DF468C88-69FB-406F-8A37-96AF1F4A6283}" srcOrd="6" destOrd="0" presId="urn:microsoft.com/office/officeart/2005/8/layout/cycle6"/>
    <dgm:cxn modelId="{422BD7DE-4BCE-49BF-8B7D-3BF31C681B39}" type="presParOf" srcId="{E9090691-5349-4FAA-9FEE-D668090B7A38}" destId="{5BDC374F-5D5A-48DE-9ED0-D8D0378096D2}" srcOrd="7" destOrd="0" presId="urn:microsoft.com/office/officeart/2005/8/layout/cycle6"/>
    <dgm:cxn modelId="{7034DD4D-063E-4C2E-82CF-E983ABE0B5DD}" type="presParOf" srcId="{E9090691-5349-4FAA-9FEE-D668090B7A38}" destId="{EA729D17-D211-4397-B429-62944CDEB108}" srcOrd="8" destOrd="0" presId="urn:microsoft.com/office/officeart/2005/8/layout/cycle6"/>
    <dgm:cxn modelId="{A2C07F04-10EE-4F67-BFDB-1A897E86682F}" type="presParOf" srcId="{E9090691-5349-4FAA-9FEE-D668090B7A38}" destId="{48706148-C798-4DF4-A80A-90046A472E1C}" srcOrd="9" destOrd="0" presId="urn:microsoft.com/office/officeart/2005/8/layout/cycle6"/>
    <dgm:cxn modelId="{63B832D6-702D-4713-A660-35C6B50070FA}" type="presParOf" srcId="{E9090691-5349-4FAA-9FEE-D668090B7A38}" destId="{F70B0CE9-7517-4811-AD8F-3E4C16F5BBC1}" srcOrd="10" destOrd="0" presId="urn:microsoft.com/office/officeart/2005/8/layout/cycle6"/>
    <dgm:cxn modelId="{F4400895-C947-4EB0-A6EE-C0447AED88CC}" type="presParOf" srcId="{E9090691-5349-4FAA-9FEE-D668090B7A38}" destId="{E5C825F7-F9D1-4EA9-AD78-1D33E4752432}" srcOrd="11" destOrd="0" presId="urn:microsoft.com/office/officeart/2005/8/layout/cycle6"/>
    <dgm:cxn modelId="{FB0AAE7A-830B-4CC7-963C-F0310DEC6F11}" type="presParOf" srcId="{E9090691-5349-4FAA-9FEE-D668090B7A38}" destId="{CC708AD4-36CC-4658-9046-39C7261BD577}" srcOrd="12" destOrd="0" presId="urn:microsoft.com/office/officeart/2005/8/layout/cycle6"/>
    <dgm:cxn modelId="{6553548F-1B80-41EE-B0C2-5FDF52FCF46A}" type="presParOf" srcId="{E9090691-5349-4FAA-9FEE-D668090B7A38}" destId="{D12FC1A3-961B-4EAC-8BB0-E72BFC379775}" srcOrd="13" destOrd="0" presId="urn:microsoft.com/office/officeart/2005/8/layout/cycle6"/>
    <dgm:cxn modelId="{A859937B-9AA0-4DAF-9256-BC40364611EE}" type="presParOf" srcId="{E9090691-5349-4FAA-9FEE-D668090B7A38}" destId="{F55E8CA5-04C6-4822-A4BB-452B72DE9CDC}" srcOrd="14" destOrd="0" presId="urn:microsoft.com/office/officeart/2005/8/layout/cycle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D37E68-0FCB-4A5B-8571-BF1CDC6C5BA3}">
      <dsp:nvSpPr>
        <dsp:cNvPr id="0" name=""/>
        <dsp:cNvSpPr/>
      </dsp:nvSpPr>
      <dsp:spPr>
        <a:xfrm>
          <a:off x="2155223" y="1154"/>
          <a:ext cx="1320802"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1">
            <a:lnSpc>
              <a:spcPct val="90000"/>
            </a:lnSpc>
            <a:spcBef>
              <a:spcPct val="0"/>
            </a:spcBef>
            <a:spcAft>
              <a:spcPct val="35000"/>
            </a:spcAft>
            <a:buNone/>
          </a:pPr>
          <a:r>
            <a:rPr lang="he-IL" sz="1400" kern="1200"/>
            <a:t>דרישות (</a:t>
          </a:r>
          <a:r>
            <a:rPr lang="en-US" sz="1400" kern="1200"/>
            <a:t>requirement</a:t>
          </a:r>
          <a:r>
            <a:rPr lang="he-IL" sz="1400" kern="1200"/>
            <a:t>)</a:t>
          </a:r>
        </a:p>
      </dsp:txBody>
      <dsp:txXfrm>
        <a:off x="2188544" y="34475"/>
        <a:ext cx="1254160" cy="615943"/>
      </dsp:txXfrm>
    </dsp:sp>
    <dsp:sp modelId="{F0A1FF6E-2B10-43B4-8391-4404B3E1A8C1}">
      <dsp:nvSpPr>
        <dsp:cNvPr id="0" name=""/>
        <dsp:cNvSpPr/>
      </dsp:nvSpPr>
      <dsp:spPr>
        <a:xfrm>
          <a:off x="1450233" y="342446"/>
          <a:ext cx="2730783" cy="2730783"/>
        </a:xfrm>
        <a:custGeom>
          <a:avLst/>
          <a:gdLst/>
          <a:ahLst/>
          <a:cxnLst/>
          <a:rect l="0" t="0" r="0" b="0"/>
          <a:pathLst>
            <a:path>
              <a:moveTo>
                <a:pt x="2031383" y="173439"/>
              </a:moveTo>
              <a:arcTo wR="1365391" hR="1365391" stAng="17951631" swAng="159316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88BA551-F830-421D-8428-1E4A8F10CB40}">
      <dsp:nvSpPr>
        <dsp:cNvPr id="0" name=""/>
        <dsp:cNvSpPr/>
      </dsp:nvSpPr>
      <dsp:spPr>
        <a:xfrm>
          <a:off x="3589124" y="944616"/>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1">
            <a:lnSpc>
              <a:spcPct val="90000"/>
            </a:lnSpc>
            <a:spcBef>
              <a:spcPct val="0"/>
            </a:spcBef>
            <a:spcAft>
              <a:spcPct val="35000"/>
            </a:spcAft>
            <a:buNone/>
          </a:pPr>
          <a:r>
            <a:rPr lang="he-IL" sz="1400" kern="1200"/>
            <a:t>איסוף (</a:t>
          </a:r>
          <a:r>
            <a:rPr lang="en-US" sz="1400" kern="1200"/>
            <a:t>collection</a:t>
          </a:r>
          <a:r>
            <a:rPr lang="he-IL" sz="1400" kern="1200"/>
            <a:t>)</a:t>
          </a:r>
        </a:p>
      </dsp:txBody>
      <dsp:txXfrm>
        <a:off x="3622445" y="977937"/>
        <a:ext cx="983489" cy="615943"/>
      </dsp:txXfrm>
    </dsp:sp>
    <dsp:sp modelId="{C74BC5B2-67BE-4482-8D92-1CE549DE6908}">
      <dsp:nvSpPr>
        <dsp:cNvPr id="0" name=""/>
        <dsp:cNvSpPr/>
      </dsp:nvSpPr>
      <dsp:spPr>
        <a:xfrm>
          <a:off x="1450233" y="342446"/>
          <a:ext cx="2730783" cy="2730783"/>
        </a:xfrm>
        <a:custGeom>
          <a:avLst/>
          <a:gdLst/>
          <a:ahLst/>
          <a:cxnLst/>
          <a:rect l="0" t="0" r="0" b="0"/>
          <a:pathLst>
            <a:path>
              <a:moveTo>
                <a:pt x="2728889" y="1293491"/>
              </a:moveTo>
              <a:arcTo wR="1365391" hR="1365391" stAng="21418887" swAng="2198521"/>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F468C88-69FB-406F-8A37-96AF1F4A6283}">
      <dsp:nvSpPr>
        <dsp:cNvPr id="0" name=""/>
        <dsp:cNvSpPr/>
      </dsp:nvSpPr>
      <dsp:spPr>
        <a:xfrm>
          <a:off x="3007262" y="2471170"/>
          <a:ext cx="1221838"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1">
            <a:lnSpc>
              <a:spcPct val="90000"/>
            </a:lnSpc>
            <a:spcBef>
              <a:spcPct val="0"/>
            </a:spcBef>
            <a:spcAft>
              <a:spcPct val="35000"/>
            </a:spcAft>
            <a:buNone/>
          </a:pPr>
          <a:r>
            <a:rPr lang="he-IL" sz="1400" kern="1200"/>
            <a:t>עיבוד (</a:t>
          </a:r>
          <a:r>
            <a:rPr lang="en-US" sz="1400" kern="1200"/>
            <a:t>processing</a:t>
          </a:r>
          <a:r>
            <a:rPr lang="he-IL" sz="1400" kern="1200"/>
            <a:t>)</a:t>
          </a:r>
        </a:p>
      </dsp:txBody>
      <dsp:txXfrm>
        <a:off x="3040583" y="2504491"/>
        <a:ext cx="1155196" cy="615943"/>
      </dsp:txXfrm>
    </dsp:sp>
    <dsp:sp modelId="{EA729D17-D211-4397-B429-62944CDEB108}">
      <dsp:nvSpPr>
        <dsp:cNvPr id="0" name=""/>
        <dsp:cNvSpPr/>
      </dsp:nvSpPr>
      <dsp:spPr>
        <a:xfrm>
          <a:off x="1450233" y="342446"/>
          <a:ext cx="2730783" cy="2730783"/>
        </a:xfrm>
        <a:custGeom>
          <a:avLst/>
          <a:gdLst/>
          <a:ahLst/>
          <a:cxnLst/>
          <a:rect l="0" t="0" r="0" b="0"/>
          <a:pathLst>
            <a:path>
              <a:moveTo>
                <a:pt x="1552381" y="2717918"/>
              </a:moveTo>
              <a:arcTo wR="1365391" hR="1365391" stAng="4927718" swAng="116402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8706148-C798-4DF4-A80A-90046A472E1C}">
      <dsp:nvSpPr>
        <dsp:cNvPr id="0" name=""/>
        <dsp:cNvSpPr/>
      </dsp:nvSpPr>
      <dsp:spPr>
        <a:xfrm>
          <a:off x="1488002" y="2471170"/>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1">
            <a:lnSpc>
              <a:spcPct val="90000"/>
            </a:lnSpc>
            <a:spcBef>
              <a:spcPct val="0"/>
            </a:spcBef>
            <a:spcAft>
              <a:spcPct val="35000"/>
            </a:spcAft>
            <a:buNone/>
          </a:pPr>
          <a:r>
            <a:rPr lang="he-IL" sz="1400" kern="1200"/>
            <a:t>ניתוח, מחקר (</a:t>
          </a:r>
          <a:r>
            <a:rPr lang="en-US" sz="1400" kern="1200"/>
            <a:t>analysis</a:t>
          </a:r>
          <a:r>
            <a:rPr lang="he-IL" sz="1400" kern="1200"/>
            <a:t>)</a:t>
          </a:r>
        </a:p>
      </dsp:txBody>
      <dsp:txXfrm>
        <a:off x="1521323" y="2504491"/>
        <a:ext cx="983489" cy="615943"/>
      </dsp:txXfrm>
    </dsp:sp>
    <dsp:sp modelId="{E5C825F7-F9D1-4EA9-AD78-1D33E4752432}">
      <dsp:nvSpPr>
        <dsp:cNvPr id="0" name=""/>
        <dsp:cNvSpPr/>
      </dsp:nvSpPr>
      <dsp:spPr>
        <a:xfrm>
          <a:off x="1450233" y="342446"/>
          <a:ext cx="2730783" cy="2730783"/>
        </a:xfrm>
        <a:custGeom>
          <a:avLst/>
          <a:gdLst/>
          <a:ahLst/>
          <a:cxnLst/>
          <a:rect l="0" t="0" r="0" b="0"/>
          <a:pathLst>
            <a:path>
              <a:moveTo>
                <a:pt x="228437" y="2121453"/>
              </a:moveTo>
              <a:arcTo wR="1365391" hR="1365391" stAng="8782592" swAng="2198521"/>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C708AD4-36CC-4658-9046-39C7261BD577}">
      <dsp:nvSpPr>
        <dsp:cNvPr id="0" name=""/>
        <dsp:cNvSpPr/>
      </dsp:nvSpPr>
      <dsp:spPr>
        <a:xfrm>
          <a:off x="847144" y="944616"/>
          <a:ext cx="1339830"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1">
            <a:lnSpc>
              <a:spcPct val="90000"/>
            </a:lnSpc>
            <a:spcBef>
              <a:spcPct val="0"/>
            </a:spcBef>
            <a:spcAft>
              <a:spcPct val="35000"/>
            </a:spcAft>
            <a:buNone/>
          </a:pPr>
          <a:r>
            <a:rPr lang="en-US" sz="1400" kern="1200"/>
            <a:t>dissemination</a:t>
          </a:r>
          <a:endParaRPr lang="he-IL" sz="1400" kern="1200"/>
        </a:p>
        <a:p>
          <a:pPr marL="0" lvl="0" indent="0" algn="ctr" defTabSz="622300" rtl="1">
            <a:lnSpc>
              <a:spcPct val="90000"/>
            </a:lnSpc>
            <a:spcBef>
              <a:spcPct val="0"/>
            </a:spcBef>
            <a:spcAft>
              <a:spcPct val="35000"/>
            </a:spcAft>
            <a:buNone/>
          </a:pPr>
          <a:r>
            <a:rPr lang="he-IL" sz="1400" kern="1200"/>
            <a:t>הפצה</a:t>
          </a:r>
        </a:p>
      </dsp:txBody>
      <dsp:txXfrm>
        <a:off x="880465" y="977937"/>
        <a:ext cx="1273188" cy="615943"/>
      </dsp:txXfrm>
    </dsp:sp>
    <dsp:sp modelId="{F55E8CA5-04C6-4822-A4BB-452B72DE9CDC}">
      <dsp:nvSpPr>
        <dsp:cNvPr id="0" name=""/>
        <dsp:cNvSpPr/>
      </dsp:nvSpPr>
      <dsp:spPr>
        <a:xfrm>
          <a:off x="1450233" y="342446"/>
          <a:ext cx="2730783" cy="2730783"/>
        </a:xfrm>
        <a:custGeom>
          <a:avLst/>
          <a:gdLst/>
          <a:ahLst/>
          <a:cxnLst/>
          <a:rect l="0" t="0" r="0" b="0"/>
          <a:pathLst>
            <a:path>
              <a:moveTo>
                <a:pt x="236818" y="596875"/>
              </a:moveTo>
              <a:arcTo wR="1365391" hR="1365391" stAng="12855205" swAng="159316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18EF0-6E9F-4B8E-A0DF-05A883A0F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7</Pages>
  <Words>1800</Words>
  <Characters>9002</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ronen kadosh</dc:creator>
  <cp:keywords/>
  <dc:description/>
  <cp:lastModifiedBy>ronen kadosh</cp:lastModifiedBy>
  <cp:revision>113</cp:revision>
  <dcterms:created xsi:type="dcterms:W3CDTF">2019-09-18T17:23:00Z</dcterms:created>
  <dcterms:modified xsi:type="dcterms:W3CDTF">2019-09-19T12:03:00Z</dcterms:modified>
</cp:coreProperties>
</file>