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BC703" w14:textId="29826DB1" w:rsidR="00083CC9" w:rsidRDefault="00083CC9" w:rsidP="00324593">
      <w:pPr>
        <w:jc w:val="center"/>
        <w:rPr>
          <w:b/>
          <w:bCs/>
          <w:sz w:val="24"/>
          <w:szCs w:val="24"/>
          <w:u w:val="single"/>
          <w:rtl/>
        </w:rPr>
      </w:pPr>
      <w:r>
        <w:rPr>
          <w:rFonts w:hint="cs"/>
          <w:rtl/>
        </w:rPr>
        <w:t xml:space="preserve">הנדון: </w:t>
      </w:r>
      <w:r>
        <w:rPr>
          <w:rFonts w:hint="cs"/>
          <w:b/>
          <w:bCs/>
          <w:sz w:val="24"/>
          <w:szCs w:val="24"/>
          <w:u w:val="single"/>
          <w:rtl/>
        </w:rPr>
        <w:t xml:space="preserve">סיכום "פנימיה" למערכת מעל"ה- </w:t>
      </w:r>
      <w:r w:rsidR="00324593">
        <w:rPr>
          <w:b/>
          <w:bCs/>
          <w:sz w:val="24"/>
          <w:szCs w:val="24"/>
          <w:u w:val="single"/>
        </w:rPr>
        <w:t>01.02.2015</w:t>
      </w:r>
    </w:p>
    <w:p w14:paraId="164DF7AC" w14:textId="77777777" w:rsidR="00083CC9" w:rsidRDefault="00083CC9" w:rsidP="00083CC9">
      <w:pPr>
        <w:rPr>
          <w:sz w:val="24"/>
          <w:szCs w:val="24"/>
          <w:rtl/>
        </w:rPr>
      </w:pPr>
    </w:p>
    <w:p w14:paraId="6DFBDCFF" w14:textId="70FFB84B" w:rsidR="00083CC9" w:rsidRDefault="00083CC9" w:rsidP="00324593">
      <w:pPr>
        <w:pStyle w:val="ListParagraph"/>
        <w:numPr>
          <w:ilvl w:val="0"/>
          <w:numId w:val="1"/>
        </w:numPr>
        <w:spacing w:line="360" w:lineRule="auto"/>
        <w:rPr>
          <w:sz w:val="24"/>
          <w:szCs w:val="24"/>
        </w:rPr>
      </w:pPr>
      <w:r>
        <w:rPr>
          <w:rFonts w:hint="cs"/>
          <w:sz w:val="24"/>
          <w:szCs w:val="24"/>
          <w:rtl/>
        </w:rPr>
        <w:t xml:space="preserve">בתאריך ה- </w:t>
      </w:r>
      <w:r w:rsidR="00324593">
        <w:rPr>
          <w:sz w:val="24"/>
          <w:szCs w:val="24"/>
        </w:rPr>
        <w:t xml:space="preserve"> 01.02.2015</w:t>
      </w:r>
      <w:r>
        <w:rPr>
          <w:rFonts w:hint="cs"/>
          <w:sz w:val="24"/>
          <w:szCs w:val="24"/>
          <w:rtl/>
        </w:rPr>
        <w:t xml:space="preserve">התקיימה "פנימיה" למערכת מעל"ה, כהכנה לסקר </w:t>
      </w:r>
      <w:r>
        <w:rPr>
          <w:rFonts w:hint="cs"/>
          <w:sz w:val="24"/>
          <w:szCs w:val="24"/>
        </w:rPr>
        <w:t>PDR/CDR</w:t>
      </w:r>
      <w:r>
        <w:rPr>
          <w:rFonts w:hint="cs"/>
          <w:sz w:val="24"/>
          <w:szCs w:val="24"/>
          <w:rtl/>
        </w:rPr>
        <w:t xml:space="preserve"> אשר צפוי להתקיים בסוף חודש פברואר 2015. </w:t>
      </w:r>
    </w:p>
    <w:p w14:paraId="74E98C64" w14:textId="77777777" w:rsidR="00083CC9" w:rsidRDefault="00083CC9" w:rsidP="00083CC9">
      <w:pPr>
        <w:pStyle w:val="ListParagraph"/>
        <w:numPr>
          <w:ilvl w:val="0"/>
          <w:numId w:val="1"/>
        </w:numPr>
        <w:spacing w:line="360" w:lineRule="auto"/>
        <w:rPr>
          <w:sz w:val="24"/>
          <w:szCs w:val="24"/>
        </w:rPr>
      </w:pPr>
      <w:r>
        <w:rPr>
          <w:rFonts w:hint="cs"/>
          <w:sz w:val="24"/>
          <w:szCs w:val="24"/>
          <w:rtl/>
        </w:rPr>
        <w:t xml:space="preserve">הפנימיה התקיימה במשרדי חב' בריטניקה, הספק הזוכה, ובהשתתפות: </w:t>
      </w:r>
    </w:p>
    <w:p w14:paraId="2FCFDB8F" w14:textId="5B08A8AE" w:rsidR="00083CC9" w:rsidRDefault="5B08A8AE" w:rsidP="00083CC9">
      <w:pPr>
        <w:pStyle w:val="ListParagraph"/>
        <w:numPr>
          <w:ilvl w:val="1"/>
          <w:numId w:val="1"/>
        </w:numPr>
        <w:spacing w:line="360" w:lineRule="auto"/>
        <w:rPr>
          <w:sz w:val="24"/>
          <w:szCs w:val="24"/>
        </w:rPr>
      </w:pPr>
      <w:r w:rsidRPr="5B08A8AE">
        <w:rPr>
          <w:sz w:val="24"/>
          <w:szCs w:val="24"/>
          <w:rtl/>
        </w:rPr>
        <w:t>נציגי אמל"ח מוביל – אט"ל, קרית ההדרכה</w:t>
      </w:r>
    </w:p>
    <w:p w14:paraId="0F974E3C" w14:textId="77777777" w:rsidR="00625129" w:rsidRDefault="00625129" w:rsidP="00083CC9">
      <w:pPr>
        <w:pStyle w:val="ListParagraph"/>
        <w:numPr>
          <w:ilvl w:val="1"/>
          <w:numId w:val="1"/>
        </w:numPr>
        <w:spacing w:line="360" w:lineRule="auto"/>
        <w:rPr>
          <w:sz w:val="24"/>
          <w:szCs w:val="24"/>
        </w:rPr>
      </w:pPr>
      <w:r>
        <w:rPr>
          <w:rFonts w:hint="cs"/>
          <w:sz w:val="24"/>
          <w:szCs w:val="24"/>
          <w:rtl/>
        </w:rPr>
        <w:t xml:space="preserve">נציגי הלקוחות </w:t>
      </w:r>
      <w:r>
        <w:rPr>
          <w:sz w:val="24"/>
          <w:szCs w:val="24"/>
          <w:rtl/>
        </w:rPr>
        <w:t>–</w:t>
      </w:r>
      <w:r>
        <w:rPr>
          <w:rFonts w:hint="cs"/>
          <w:sz w:val="24"/>
          <w:szCs w:val="24"/>
          <w:rtl/>
        </w:rPr>
        <w:t xml:space="preserve"> משתמשים מובילים </w:t>
      </w:r>
      <w:r>
        <w:rPr>
          <w:sz w:val="24"/>
          <w:szCs w:val="24"/>
          <w:rtl/>
        </w:rPr>
        <w:t>–</w:t>
      </w:r>
      <w:r>
        <w:rPr>
          <w:rFonts w:hint="cs"/>
          <w:sz w:val="24"/>
          <w:szCs w:val="24"/>
          <w:rtl/>
        </w:rPr>
        <w:t xml:space="preserve"> אט"ל, קרית ההדרכה</w:t>
      </w:r>
    </w:p>
    <w:p w14:paraId="3E8FC184" w14:textId="4E56821C" w:rsidR="00625129" w:rsidRDefault="00625129" w:rsidP="00202F81">
      <w:pPr>
        <w:pStyle w:val="ListParagraph"/>
        <w:numPr>
          <w:ilvl w:val="1"/>
          <w:numId w:val="1"/>
        </w:numPr>
        <w:spacing w:line="360" w:lineRule="auto"/>
        <w:rPr>
          <w:sz w:val="24"/>
          <w:szCs w:val="24"/>
        </w:rPr>
      </w:pPr>
      <w:r>
        <w:rPr>
          <w:rFonts w:hint="cs"/>
          <w:sz w:val="24"/>
          <w:szCs w:val="24"/>
          <w:rtl/>
        </w:rPr>
        <w:t xml:space="preserve">נציגי </w:t>
      </w:r>
      <w:r w:rsidR="00202F81">
        <w:rPr>
          <w:rFonts w:hint="cs"/>
          <w:sz w:val="24"/>
          <w:szCs w:val="24"/>
          <w:rtl/>
        </w:rPr>
        <w:t>הלקוחות</w:t>
      </w:r>
      <w:r>
        <w:rPr>
          <w:rFonts w:hint="cs"/>
          <w:sz w:val="24"/>
          <w:szCs w:val="24"/>
          <w:rtl/>
        </w:rPr>
        <w:t xml:space="preserve"> מזרוע היבשה</w:t>
      </w:r>
    </w:p>
    <w:p w14:paraId="1D83B004" w14:textId="77777777" w:rsidR="00625129" w:rsidRDefault="00625129" w:rsidP="00083CC9">
      <w:pPr>
        <w:pStyle w:val="ListParagraph"/>
        <w:numPr>
          <w:ilvl w:val="1"/>
          <w:numId w:val="1"/>
        </w:numPr>
        <w:spacing w:line="360" w:lineRule="auto"/>
        <w:rPr>
          <w:sz w:val="24"/>
          <w:szCs w:val="24"/>
        </w:rPr>
      </w:pPr>
      <w:r>
        <w:rPr>
          <w:rFonts w:hint="cs"/>
          <w:sz w:val="24"/>
          <w:szCs w:val="24"/>
          <w:rtl/>
        </w:rPr>
        <w:t>נציגי הלקוחות מחיל האוויר</w:t>
      </w:r>
    </w:p>
    <w:p w14:paraId="093F0051" w14:textId="1EED4B01" w:rsidR="00C602AE" w:rsidRDefault="5B08A8AE" w:rsidP="00083CC9">
      <w:pPr>
        <w:pStyle w:val="ListParagraph"/>
        <w:numPr>
          <w:ilvl w:val="1"/>
          <w:numId w:val="1"/>
        </w:numPr>
        <w:spacing w:line="360" w:lineRule="auto"/>
        <w:rPr>
          <w:sz w:val="24"/>
          <w:szCs w:val="24"/>
        </w:rPr>
      </w:pPr>
      <w:r w:rsidRPr="5B08A8AE">
        <w:rPr>
          <w:sz w:val="24"/>
          <w:szCs w:val="24"/>
          <w:rtl/>
        </w:rPr>
        <w:t>נציגי הקפ"ט – מצפ"ן</w:t>
      </w:r>
    </w:p>
    <w:p w14:paraId="6B6244AA" w14:textId="77777777" w:rsidR="00C602AE" w:rsidRPr="00C602AE" w:rsidRDefault="00C602AE" w:rsidP="00625129">
      <w:pPr>
        <w:pStyle w:val="ListParagraph"/>
        <w:numPr>
          <w:ilvl w:val="0"/>
          <w:numId w:val="1"/>
        </w:numPr>
        <w:spacing w:line="360" w:lineRule="auto"/>
        <w:rPr>
          <w:sz w:val="24"/>
          <w:szCs w:val="24"/>
        </w:rPr>
      </w:pPr>
      <w:r>
        <w:rPr>
          <w:rFonts w:hint="cs"/>
          <w:sz w:val="24"/>
          <w:szCs w:val="24"/>
          <w:rtl/>
        </w:rPr>
        <w:t xml:space="preserve">הסיכום שלהלן מהווה סיכום ביניים. סיכום מקביל ייצא מטעם החברה ומטעם הקפ"ט ביום האחרון של הפנימיה. </w:t>
      </w:r>
    </w:p>
    <w:p w14:paraId="49DAFA68" w14:textId="3D65D83B" w:rsidR="00C602AE" w:rsidRPr="00324593" w:rsidRDefault="00C602AE" w:rsidP="00324593">
      <w:pPr>
        <w:pStyle w:val="ListParagraph"/>
        <w:numPr>
          <w:ilvl w:val="0"/>
          <w:numId w:val="1"/>
        </w:numPr>
        <w:spacing w:line="360" w:lineRule="auto"/>
        <w:rPr>
          <w:sz w:val="24"/>
          <w:szCs w:val="24"/>
        </w:rPr>
      </w:pPr>
      <w:r w:rsidRPr="00324593">
        <w:rPr>
          <w:rFonts w:hint="cs"/>
          <w:sz w:val="24"/>
          <w:szCs w:val="24"/>
          <w:u w:val="single"/>
          <w:rtl/>
        </w:rPr>
        <w:t xml:space="preserve">להלן הנושאים שסוכמו בתאריך ה- </w:t>
      </w:r>
      <w:r w:rsidR="00324593" w:rsidRPr="00324593">
        <w:rPr>
          <w:sz w:val="24"/>
          <w:szCs w:val="24"/>
          <w:u w:val="single"/>
        </w:rPr>
        <w:t>01.02.2015</w:t>
      </w:r>
      <w:r w:rsidRPr="00324593">
        <w:rPr>
          <w:rFonts w:hint="cs"/>
          <w:sz w:val="24"/>
          <w:szCs w:val="24"/>
          <w:rtl/>
        </w:rPr>
        <w:t xml:space="preserve"> כולל משימות רלוונטיות:  </w:t>
      </w:r>
    </w:p>
    <w:tbl>
      <w:tblPr>
        <w:tblStyle w:val="TableGrid"/>
        <w:bidiVisual/>
        <w:tblW w:w="0" w:type="auto"/>
        <w:tblInd w:w="1080" w:type="dxa"/>
        <w:tblLayout w:type="fixed"/>
        <w:tblLook w:val="04A0" w:firstRow="1" w:lastRow="0" w:firstColumn="1" w:lastColumn="0" w:noHBand="0" w:noVBand="1"/>
      </w:tblPr>
      <w:tblGrid>
        <w:gridCol w:w="530"/>
        <w:gridCol w:w="864"/>
        <w:gridCol w:w="810"/>
        <w:gridCol w:w="2436"/>
        <w:gridCol w:w="1531"/>
        <w:gridCol w:w="1271"/>
      </w:tblGrid>
      <w:tr w:rsidR="00700B32" w:rsidRPr="003C18CA" w14:paraId="56617C7B" w14:textId="77777777" w:rsidTr="00335CAC">
        <w:trPr>
          <w:tblHeader/>
        </w:trPr>
        <w:tc>
          <w:tcPr>
            <w:tcW w:w="530" w:type="dxa"/>
          </w:tcPr>
          <w:p w14:paraId="21551DF3" w14:textId="77777777" w:rsidR="00C602AE" w:rsidRPr="003C18CA" w:rsidRDefault="00C602AE" w:rsidP="00C602AE">
            <w:pPr>
              <w:rPr>
                <w:b/>
                <w:bCs/>
                <w:sz w:val="20"/>
                <w:szCs w:val="20"/>
                <w:rtl/>
              </w:rPr>
            </w:pPr>
            <w:r w:rsidRPr="003C18CA">
              <w:rPr>
                <w:rFonts w:hint="cs"/>
                <w:b/>
                <w:bCs/>
                <w:sz w:val="20"/>
                <w:szCs w:val="20"/>
                <w:rtl/>
              </w:rPr>
              <w:t>מ</w:t>
            </w:r>
            <w:r w:rsidR="003C18CA">
              <w:rPr>
                <w:rFonts w:hint="cs"/>
                <w:b/>
                <w:bCs/>
                <w:sz w:val="20"/>
                <w:szCs w:val="20"/>
                <w:rtl/>
              </w:rPr>
              <w:t>ס'</w:t>
            </w:r>
          </w:p>
        </w:tc>
        <w:tc>
          <w:tcPr>
            <w:tcW w:w="864" w:type="dxa"/>
          </w:tcPr>
          <w:p w14:paraId="780D031C" w14:textId="77777777" w:rsidR="00C602AE" w:rsidRPr="003C18CA" w:rsidRDefault="003C18CA" w:rsidP="00C602AE">
            <w:pPr>
              <w:rPr>
                <w:b/>
                <w:bCs/>
                <w:sz w:val="20"/>
                <w:szCs w:val="20"/>
                <w:rtl/>
              </w:rPr>
            </w:pPr>
            <w:r>
              <w:rPr>
                <w:rFonts w:hint="cs"/>
                <w:b/>
                <w:bCs/>
                <w:sz w:val="20"/>
                <w:szCs w:val="20"/>
                <w:rtl/>
              </w:rPr>
              <w:t>סעיפים</w:t>
            </w:r>
          </w:p>
        </w:tc>
        <w:tc>
          <w:tcPr>
            <w:tcW w:w="810" w:type="dxa"/>
          </w:tcPr>
          <w:p w14:paraId="6475945F" w14:textId="77777777" w:rsidR="00C602AE" w:rsidRPr="003C18CA" w:rsidRDefault="00C602AE" w:rsidP="00C602AE">
            <w:pPr>
              <w:rPr>
                <w:b/>
                <w:bCs/>
                <w:sz w:val="20"/>
                <w:szCs w:val="20"/>
                <w:rtl/>
              </w:rPr>
            </w:pPr>
            <w:r w:rsidRPr="003C18CA">
              <w:rPr>
                <w:rFonts w:hint="cs"/>
                <w:b/>
                <w:bCs/>
                <w:sz w:val="20"/>
                <w:szCs w:val="20"/>
                <w:rtl/>
              </w:rPr>
              <w:t xml:space="preserve">נושא </w:t>
            </w:r>
          </w:p>
        </w:tc>
        <w:tc>
          <w:tcPr>
            <w:tcW w:w="2436" w:type="dxa"/>
          </w:tcPr>
          <w:p w14:paraId="6A9B189B" w14:textId="77777777" w:rsidR="00C602AE" w:rsidRPr="003C18CA" w:rsidRDefault="00C602AE" w:rsidP="00C602AE">
            <w:pPr>
              <w:rPr>
                <w:b/>
                <w:bCs/>
                <w:sz w:val="20"/>
                <w:szCs w:val="20"/>
                <w:rtl/>
              </w:rPr>
            </w:pPr>
            <w:r w:rsidRPr="003C18CA">
              <w:rPr>
                <w:rFonts w:hint="cs"/>
                <w:b/>
                <w:bCs/>
                <w:sz w:val="20"/>
                <w:szCs w:val="20"/>
                <w:rtl/>
              </w:rPr>
              <w:t>סיכום</w:t>
            </w:r>
          </w:p>
        </w:tc>
        <w:tc>
          <w:tcPr>
            <w:tcW w:w="1531" w:type="dxa"/>
          </w:tcPr>
          <w:p w14:paraId="73B3DA1A" w14:textId="77777777" w:rsidR="00C602AE" w:rsidRPr="003C18CA" w:rsidRDefault="00C602AE" w:rsidP="00C602AE">
            <w:pPr>
              <w:rPr>
                <w:b/>
                <w:bCs/>
                <w:sz w:val="20"/>
                <w:szCs w:val="20"/>
                <w:rtl/>
              </w:rPr>
            </w:pPr>
            <w:r w:rsidRPr="003C18CA">
              <w:rPr>
                <w:rFonts w:hint="cs"/>
                <w:b/>
                <w:bCs/>
                <w:sz w:val="20"/>
                <w:szCs w:val="20"/>
                <w:rtl/>
              </w:rPr>
              <w:t>משימה</w:t>
            </w:r>
          </w:p>
        </w:tc>
        <w:tc>
          <w:tcPr>
            <w:tcW w:w="1271" w:type="dxa"/>
          </w:tcPr>
          <w:p w14:paraId="1D9075A4" w14:textId="77777777" w:rsidR="00C602AE" w:rsidRPr="003C18CA" w:rsidRDefault="00C602AE" w:rsidP="00C602AE">
            <w:pPr>
              <w:rPr>
                <w:b/>
                <w:bCs/>
                <w:sz w:val="20"/>
                <w:szCs w:val="20"/>
                <w:rtl/>
              </w:rPr>
            </w:pPr>
            <w:r w:rsidRPr="003C18CA">
              <w:rPr>
                <w:rFonts w:hint="cs"/>
                <w:b/>
                <w:bCs/>
                <w:sz w:val="20"/>
                <w:szCs w:val="20"/>
                <w:rtl/>
              </w:rPr>
              <w:t>אחריות ולו"ז</w:t>
            </w:r>
          </w:p>
        </w:tc>
      </w:tr>
      <w:tr w:rsidR="00700B32" w:rsidRPr="003C18CA" w14:paraId="4493ADEB" w14:textId="77777777" w:rsidTr="00335CAC">
        <w:tc>
          <w:tcPr>
            <w:tcW w:w="530" w:type="dxa"/>
          </w:tcPr>
          <w:p w14:paraId="2358AC36" w14:textId="77777777" w:rsidR="00C602AE" w:rsidRPr="003C18CA" w:rsidRDefault="00C602AE" w:rsidP="00C602AE">
            <w:pPr>
              <w:pStyle w:val="ListParagraph"/>
              <w:numPr>
                <w:ilvl w:val="0"/>
                <w:numId w:val="3"/>
              </w:numPr>
              <w:rPr>
                <w:sz w:val="20"/>
                <w:szCs w:val="20"/>
                <w:rtl/>
              </w:rPr>
            </w:pPr>
          </w:p>
        </w:tc>
        <w:tc>
          <w:tcPr>
            <w:tcW w:w="864" w:type="dxa"/>
          </w:tcPr>
          <w:p w14:paraId="5B59ECCE" w14:textId="2251DDBF" w:rsidR="00C602AE" w:rsidRPr="00324593" w:rsidRDefault="00324593" w:rsidP="00C602AE">
            <w:pPr>
              <w:rPr>
                <w:sz w:val="20"/>
                <w:szCs w:val="20"/>
                <w:rtl/>
              </w:rPr>
            </w:pPr>
            <w:r>
              <w:rPr>
                <w:rFonts w:hint="cs"/>
                <w:sz w:val="20"/>
                <w:szCs w:val="20"/>
                <w:rtl/>
              </w:rPr>
              <w:t>11.9.2</w:t>
            </w:r>
          </w:p>
        </w:tc>
        <w:tc>
          <w:tcPr>
            <w:tcW w:w="810" w:type="dxa"/>
          </w:tcPr>
          <w:p w14:paraId="2FDE9248" w14:textId="6DA815F8" w:rsidR="00C602AE" w:rsidRPr="003C18CA" w:rsidRDefault="00262235" w:rsidP="00C602AE">
            <w:pPr>
              <w:rPr>
                <w:sz w:val="20"/>
                <w:szCs w:val="20"/>
                <w:rtl/>
              </w:rPr>
            </w:pPr>
            <w:r>
              <w:rPr>
                <w:rFonts w:hint="cs"/>
                <w:sz w:val="20"/>
                <w:szCs w:val="20"/>
                <w:rtl/>
              </w:rPr>
              <w:t xml:space="preserve">מחשוב </w:t>
            </w:r>
            <w:r w:rsidR="00516B21">
              <w:rPr>
                <w:rFonts w:hint="cs"/>
                <w:sz w:val="20"/>
                <w:szCs w:val="20"/>
                <w:rtl/>
              </w:rPr>
              <w:t>תיק יסוד</w:t>
            </w:r>
          </w:p>
        </w:tc>
        <w:tc>
          <w:tcPr>
            <w:tcW w:w="2436" w:type="dxa"/>
          </w:tcPr>
          <w:p w14:paraId="24636829" w14:textId="1DAC0433" w:rsidR="00C602AE" w:rsidRPr="003C18CA" w:rsidRDefault="0081558E" w:rsidP="00C602AE">
            <w:pPr>
              <w:rPr>
                <w:sz w:val="20"/>
                <w:szCs w:val="20"/>
                <w:rtl/>
              </w:rPr>
            </w:pPr>
            <w:r>
              <w:rPr>
                <w:rFonts w:hint="cs"/>
                <w:sz w:val="20"/>
                <w:szCs w:val="20"/>
                <w:rtl/>
              </w:rPr>
              <w:t xml:space="preserve">ראשית חשוב לחדד כי השוני בין יחידות הצבא בפורמט תיק היסוד הוא בסדר של הפרקים ומספר קטן של שדות ולכן בשלב ראשון ה"דו"ח" של פורמט אט"ל יתן מענה לכלל צה"ל ביחידת מסירה ראשונה לבחינת הצורך בהמשך. </w:t>
            </w:r>
            <w:r w:rsidR="00650F5F">
              <w:rPr>
                <w:rFonts w:hint="cs"/>
                <w:sz w:val="20"/>
                <w:szCs w:val="20"/>
                <w:rtl/>
              </w:rPr>
              <w:t>ישנו סיכון בכך שהמינוחים אינם סגורים בתוך תיק היסוד.</w:t>
            </w:r>
            <w:r w:rsidR="00AF6353">
              <w:rPr>
                <w:rFonts w:hint="cs"/>
                <w:sz w:val="20"/>
                <w:szCs w:val="20"/>
                <w:rtl/>
              </w:rPr>
              <w:t xml:space="preserve"> בוצע מיפוי</w:t>
            </w:r>
            <w:r w:rsidR="00FF387C">
              <w:rPr>
                <w:rFonts w:hint="cs"/>
                <w:sz w:val="20"/>
                <w:szCs w:val="20"/>
                <w:rtl/>
              </w:rPr>
              <w:t xml:space="preserve"> של מקור השדות בתיק היסוד.</w:t>
            </w:r>
          </w:p>
        </w:tc>
        <w:tc>
          <w:tcPr>
            <w:tcW w:w="1531" w:type="dxa"/>
          </w:tcPr>
          <w:p w14:paraId="24E46EE6" w14:textId="539EA6D4" w:rsidR="00C602AE" w:rsidRPr="003C18CA" w:rsidRDefault="00650F5F" w:rsidP="00C602AE">
            <w:pPr>
              <w:rPr>
                <w:sz w:val="20"/>
                <w:szCs w:val="20"/>
                <w:rtl/>
              </w:rPr>
            </w:pPr>
            <w:r>
              <w:rPr>
                <w:rFonts w:hint="cs"/>
                <w:sz w:val="20"/>
                <w:szCs w:val="20"/>
                <w:rtl/>
              </w:rPr>
              <w:t xml:space="preserve">נדרש להעביר פורמט סופי כולל כלל המינוחים של השדות בתיק יסוד </w:t>
            </w:r>
            <w:r>
              <w:rPr>
                <w:sz w:val="20"/>
                <w:szCs w:val="20"/>
                <w:rtl/>
              </w:rPr>
              <w:t>–</w:t>
            </w:r>
            <w:r>
              <w:rPr>
                <w:rFonts w:hint="cs"/>
                <w:sz w:val="20"/>
                <w:szCs w:val="20"/>
                <w:rtl/>
              </w:rPr>
              <w:t xml:space="preserve"> לפני סיום האפיון אחרת לא ניתן יהיה לשנות מא</w:t>
            </w:r>
            <w:r w:rsidR="00335CAC">
              <w:rPr>
                <w:rFonts w:hint="cs"/>
                <w:sz w:val="20"/>
                <w:szCs w:val="20"/>
                <w:rtl/>
              </w:rPr>
              <w:t>חר והדו"ח אינו דינאמי בשלב ראשון</w:t>
            </w:r>
          </w:p>
        </w:tc>
        <w:tc>
          <w:tcPr>
            <w:tcW w:w="1271" w:type="dxa"/>
          </w:tcPr>
          <w:p w14:paraId="34499AF3" w14:textId="1A0F7D21" w:rsidR="00C602AE" w:rsidRPr="00EC02E7" w:rsidRDefault="00650F5F" w:rsidP="00C602AE">
            <w:pPr>
              <w:rPr>
                <w:b/>
                <w:bCs/>
                <w:sz w:val="20"/>
                <w:szCs w:val="20"/>
                <w:rtl/>
              </w:rPr>
            </w:pPr>
            <w:r w:rsidRPr="00EC02E7">
              <w:rPr>
                <w:rFonts w:hint="cs"/>
                <w:b/>
                <w:bCs/>
                <w:sz w:val="20"/>
                <w:szCs w:val="20"/>
                <w:rtl/>
              </w:rPr>
              <w:t>אמל"ח 01/03/2015</w:t>
            </w:r>
            <w:bookmarkStart w:id="0" w:name="_GoBack"/>
            <w:bookmarkEnd w:id="0"/>
          </w:p>
        </w:tc>
      </w:tr>
      <w:tr w:rsidR="00700B32" w:rsidRPr="003C18CA" w14:paraId="2B6A3E1F" w14:textId="77777777" w:rsidTr="00335CAC">
        <w:tc>
          <w:tcPr>
            <w:tcW w:w="530" w:type="dxa"/>
          </w:tcPr>
          <w:p w14:paraId="494F00B1" w14:textId="77777777" w:rsidR="00C602AE" w:rsidRPr="003C18CA" w:rsidRDefault="00C602AE" w:rsidP="00C602AE">
            <w:pPr>
              <w:pStyle w:val="ListParagraph"/>
              <w:numPr>
                <w:ilvl w:val="0"/>
                <w:numId w:val="3"/>
              </w:numPr>
              <w:rPr>
                <w:sz w:val="20"/>
                <w:szCs w:val="20"/>
                <w:rtl/>
              </w:rPr>
            </w:pPr>
          </w:p>
        </w:tc>
        <w:tc>
          <w:tcPr>
            <w:tcW w:w="864" w:type="dxa"/>
          </w:tcPr>
          <w:p w14:paraId="18CB5868" w14:textId="613234E4" w:rsidR="00C602AE" w:rsidRPr="003C18CA" w:rsidRDefault="00335CAC" w:rsidP="00C602AE">
            <w:pPr>
              <w:rPr>
                <w:sz w:val="20"/>
                <w:szCs w:val="20"/>
                <w:rtl/>
              </w:rPr>
            </w:pPr>
            <w:r>
              <w:rPr>
                <w:rFonts w:hint="cs"/>
                <w:sz w:val="20"/>
                <w:szCs w:val="20"/>
                <w:rtl/>
              </w:rPr>
              <w:t>פרק 24</w:t>
            </w:r>
          </w:p>
        </w:tc>
        <w:tc>
          <w:tcPr>
            <w:tcW w:w="810" w:type="dxa"/>
          </w:tcPr>
          <w:p w14:paraId="07F7F103" w14:textId="285CD155" w:rsidR="00C602AE" w:rsidRPr="003C18CA" w:rsidRDefault="00335CAC" w:rsidP="00C602AE">
            <w:pPr>
              <w:rPr>
                <w:sz w:val="20"/>
                <w:szCs w:val="20"/>
                <w:rtl/>
              </w:rPr>
            </w:pPr>
            <w:r>
              <w:rPr>
                <w:rFonts w:hint="cs"/>
                <w:sz w:val="20"/>
                <w:szCs w:val="20"/>
                <w:rtl/>
              </w:rPr>
              <w:t>סבב אישורים</w:t>
            </w:r>
          </w:p>
        </w:tc>
        <w:tc>
          <w:tcPr>
            <w:tcW w:w="2436" w:type="dxa"/>
          </w:tcPr>
          <w:p w14:paraId="292F0870" w14:textId="35F21A72" w:rsidR="00C602AE" w:rsidRPr="003C18CA" w:rsidRDefault="00335CAC" w:rsidP="00C602AE">
            <w:pPr>
              <w:rPr>
                <w:sz w:val="20"/>
                <w:szCs w:val="20"/>
                <w:rtl/>
              </w:rPr>
            </w:pPr>
            <w:r>
              <w:rPr>
                <w:rFonts w:hint="cs"/>
                <w:sz w:val="20"/>
                <w:szCs w:val="20"/>
                <w:rtl/>
              </w:rPr>
              <w:t>דנו שוב בסוגיית הדחייה של סבב אישורים, התכולה סוכמה לדחייה בעבר מאחר ותיצור עומס על תהליך ההטמעה, תהליך האפיון ותהליך ההדרכה. סוכם כי אין שינוי בהחלטה בנושא תכולה זו.</w:t>
            </w:r>
          </w:p>
        </w:tc>
        <w:tc>
          <w:tcPr>
            <w:tcW w:w="1531" w:type="dxa"/>
          </w:tcPr>
          <w:p w14:paraId="14B9D6D1" w14:textId="414AA98F" w:rsidR="00C602AE" w:rsidRPr="003C18CA" w:rsidRDefault="00335CAC" w:rsidP="00C602AE">
            <w:pPr>
              <w:rPr>
                <w:sz w:val="20"/>
                <w:szCs w:val="20"/>
                <w:rtl/>
              </w:rPr>
            </w:pPr>
            <w:r>
              <w:rPr>
                <w:rFonts w:hint="cs"/>
                <w:sz w:val="20"/>
                <w:szCs w:val="20"/>
                <w:rtl/>
              </w:rPr>
              <w:t>נדרש לוודא דחייה מול מנה"ר</w:t>
            </w:r>
          </w:p>
        </w:tc>
        <w:tc>
          <w:tcPr>
            <w:tcW w:w="1271" w:type="dxa"/>
          </w:tcPr>
          <w:p w14:paraId="20D2796D" w14:textId="46B79C23" w:rsidR="00C602AE" w:rsidRPr="00EC02E7" w:rsidRDefault="00335CAC" w:rsidP="00C602AE">
            <w:pPr>
              <w:rPr>
                <w:b/>
                <w:bCs/>
                <w:sz w:val="20"/>
                <w:szCs w:val="20"/>
                <w:rtl/>
              </w:rPr>
            </w:pPr>
            <w:r w:rsidRPr="00EC02E7">
              <w:rPr>
                <w:rFonts w:hint="cs"/>
                <w:b/>
                <w:bCs/>
                <w:sz w:val="20"/>
                <w:szCs w:val="20"/>
                <w:rtl/>
              </w:rPr>
              <w:t>קפ"ט מיידי</w:t>
            </w:r>
          </w:p>
        </w:tc>
      </w:tr>
      <w:tr w:rsidR="00700B32" w:rsidRPr="003C18CA" w14:paraId="2C871C73" w14:textId="77777777" w:rsidTr="00335CAC">
        <w:tc>
          <w:tcPr>
            <w:tcW w:w="530" w:type="dxa"/>
          </w:tcPr>
          <w:p w14:paraId="4C025CCE" w14:textId="77777777" w:rsidR="00C602AE" w:rsidRPr="003C18CA" w:rsidRDefault="00C602AE" w:rsidP="00C602AE">
            <w:pPr>
              <w:pStyle w:val="ListParagraph"/>
              <w:numPr>
                <w:ilvl w:val="0"/>
                <w:numId w:val="3"/>
              </w:numPr>
              <w:rPr>
                <w:sz w:val="20"/>
                <w:szCs w:val="20"/>
                <w:rtl/>
              </w:rPr>
            </w:pPr>
          </w:p>
        </w:tc>
        <w:tc>
          <w:tcPr>
            <w:tcW w:w="864" w:type="dxa"/>
          </w:tcPr>
          <w:p w14:paraId="69161B92" w14:textId="3A546CC2" w:rsidR="00C602AE" w:rsidRPr="003C18CA" w:rsidRDefault="00202F81" w:rsidP="00C602AE">
            <w:pPr>
              <w:rPr>
                <w:sz w:val="20"/>
                <w:szCs w:val="20"/>
                <w:rtl/>
              </w:rPr>
            </w:pPr>
            <w:r>
              <w:rPr>
                <w:rFonts w:hint="cs"/>
                <w:sz w:val="20"/>
                <w:szCs w:val="20"/>
                <w:rtl/>
              </w:rPr>
              <w:t>פרק 24</w:t>
            </w:r>
          </w:p>
        </w:tc>
        <w:tc>
          <w:tcPr>
            <w:tcW w:w="810" w:type="dxa"/>
          </w:tcPr>
          <w:p w14:paraId="0B7CEA8D" w14:textId="64EACDE8" w:rsidR="00C602AE" w:rsidRPr="003C18CA" w:rsidRDefault="00202F81" w:rsidP="00C602AE">
            <w:pPr>
              <w:rPr>
                <w:sz w:val="20"/>
                <w:szCs w:val="20"/>
                <w:rtl/>
              </w:rPr>
            </w:pPr>
            <w:r>
              <w:rPr>
                <w:rFonts w:hint="cs"/>
                <w:sz w:val="20"/>
                <w:szCs w:val="20"/>
                <w:rtl/>
              </w:rPr>
              <w:t>סבב אישורים</w:t>
            </w:r>
          </w:p>
        </w:tc>
        <w:tc>
          <w:tcPr>
            <w:tcW w:w="2436" w:type="dxa"/>
          </w:tcPr>
          <w:p w14:paraId="467E2FA8" w14:textId="57E2BFCC" w:rsidR="00C602AE" w:rsidRPr="003C18CA" w:rsidRDefault="00202F81" w:rsidP="00C602AE">
            <w:pPr>
              <w:rPr>
                <w:sz w:val="20"/>
                <w:szCs w:val="20"/>
                <w:rtl/>
              </w:rPr>
            </w:pPr>
            <w:r>
              <w:rPr>
                <w:rFonts w:hint="cs"/>
                <w:sz w:val="20"/>
                <w:szCs w:val="20"/>
                <w:rtl/>
              </w:rPr>
              <w:t>עלה הצורך במספר סבבי אישורים שונים שמופעלים על ידי שינויים שונים במערכת, נושא זה יעלה בדיון ביחידת מסירה שנייה ויסוכם אז.</w:t>
            </w:r>
          </w:p>
        </w:tc>
        <w:tc>
          <w:tcPr>
            <w:tcW w:w="1531" w:type="dxa"/>
          </w:tcPr>
          <w:p w14:paraId="4D9B208E" w14:textId="30E4DE03" w:rsidR="00C602AE" w:rsidRPr="003C18CA" w:rsidRDefault="00202F81" w:rsidP="00C602AE">
            <w:pPr>
              <w:rPr>
                <w:sz w:val="20"/>
                <w:szCs w:val="20"/>
                <w:rtl/>
              </w:rPr>
            </w:pPr>
            <w:r>
              <w:rPr>
                <w:rFonts w:hint="cs"/>
                <w:sz w:val="20"/>
                <w:szCs w:val="20"/>
                <w:rtl/>
              </w:rPr>
              <w:t>-</w:t>
            </w:r>
          </w:p>
        </w:tc>
        <w:tc>
          <w:tcPr>
            <w:tcW w:w="1271" w:type="dxa"/>
          </w:tcPr>
          <w:p w14:paraId="4EAC0038" w14:textId="5725E657" w:rsidR="00C602AE" w:rsidRPr="00EC02E7" w:rsidRDefault="00202F81" w:rsidP="00C602AE">
            <w:pPr>
              <w:rPr>
                <w:b/>
                <w:bCs/>
                <w:sz w:val="20"/>
                <w:szCs w:val="20"/>
                <w:rtl/>
              </w:rPr>
            </w:pPr>
            <w:r w:rsidRPr="00EC02E7">
              <w:rPr>
                <w:rFonts w:hint="cs"/>
                <w:b/>
                <w:bCs/>
                <w:sz w:val="20"/>
                <w:szCs w:val="20"/>
                <w:rtl/>
              </w:rPr>
              <w:t>-</w:t>
            </w:r>
          </w:p>
        </w:tc>
      </w:tr>
      <w:tr w:rsidR="005212DB" w:rsidRPr="003C18CA" w14:paraId="67317E5B" w14:textId="77777777" w:rsidTr="00335CAC">
        <w:tc>
          <w:tcPr>
            <w:tcW w:w="530" w:type="dxa"/>
          </w:tcPr>
          <w:p w14:paraId="7EE31869" w14:textId="77777777" w:rsidR="005212DB" w:rsidRPr="003C18CA" w:rsidRDefault="005212DB" w:rsidP="00C602AE">
            <w:pPr>
              <w:pStyle w:val="ListParagraph"/>
              <w:numPr>
                <w:ilvl w:val="0"/>
                <w:numId w:val="3"/>
              </w:numPr>
              <w:rPr>
                <w:sz w:val="20"/>
                <w:szCs w:val="20"/>
                <w:rtl/>
              </w:rPr>
            </w:pPr>
          </w:p>
        </w:tc>
        <w:tc>
          <w:tcPr>
            <w:tcW w:w="864" w:type="dxa"/>
          </w:tcPr>
          <w:p w14:paraId="24D903AA" w14:textId="333ADD1E" w:rsidR="005212DB" w:rsidRPr="003C18CA" w:rsidRDefault="005212DB" w:rsidP="00C602AE">
            <w:pPr>
              <w:rPr>
                <w:sz w:val="20"/>
                <w:szCs w:val="20"/>
                <w:rtl/>
              </w:rPr>
            </w:pPr>
            <w:r>
              <w:rPr>
                <w:rFonts w:hint="cs"/>
                <w:sz w:val="20"/>
                <w:szCs w:val="20"/>
                <w:rtl/>
              </w:rPr>
              <w:t>11.9.2</w:t>
            </w:r>
          </w:p>
        </w:tc>
        <w:tc>
          <w:tcPr>
            <w:tcW w:w="810" w:type="dxa"/>
          </w:tcPr>
          <w:p w14:paraId="2A873C03" w14:textId="796EAB7D" w:rsidR="005212DB" w:rsidRPr="003C18CA" w:rsidRDefault="005212DB" w:rsidP="00C602AE">
            <w:pPr>
              <w:rPr>
                <w:sz w:val="20"/>
                <w:szCs w:val="20"/>
                <w:rtl/>
              </w:rPr>
            </w:pPr>
            <w:r>
              <w:rPr>
                <w:rFonts w:hint="cs"/>
                <w:sz w:val="20"/>
                <w:szCs w:val="20"/>
                <w:rtl/>
              </w:rPr>
              <w:t>תיק יסוד</w:t>
            </w:r>
          </w:p>
        </w:tc>
        <w:tc>
          <w:tcPr>
            <w:tcW w:w="2436" w:type="dxa"/>
          </w:tcPr>
          <w:p w14:paraId="08874226" w14:textId="53718D45" w:rsidR="005212DB" w:rsidRPr="003C18CA" w:rsidRDefault="005212DB" w:rsidP="00C602AE">
            <w:pPr>
              <w:rPr>
                <w:sz w:val="20"/>
                <w:szCs w:val="20"/>
                <w:rtl/>
              </w:rPr>
            </w:pPr>
            <w:r>
              <w:rPr>
                <w:rFonts w:hint="cs"/>
                <w:sz w:val="20"/>
                <w:szCs w:val="20"/>
                <w:rtl/>
              </w:rPr>
              <w:t xml:space="preserve">בעת יצירת גרסא חדשה של תיק יסוד יש צורך לתעד את סיבת העדכון שנוצר. </w:t>
            </w:r>
          </w:p>
        </w:tc>
        <w:tc>
          <w:tcPr>
            <w:tcW w:w="1531" w:type="dxa"/>
          </w:tcPr>
          <w:p w14:paraId="0809518D" w14:textId="6EA98A36" w:rsidR="005212DB" w:rsidRPr="003C18CA" w:rsidRDefault="005212DB" w:rsidP="00C602AE">
            <w:pPr>
              <w:rPr>
                <w:sz w:val="20"/>
                <w:szCs w:val="20"/>
                <w:rtl/>
              </w:rPr>
            </w:pPr>
            <w:r>
              <w:rPr>
                <w:rFonts w:hint="cs"/>
                <w:sz w:val="20"/>
                <w:szCs w:val="20"/>
                <w:rtl/>
              </w:rPr>
              <w:t>נדרש להוסיף האפיון הזנה של שדה טקסט של סיבת העדכון בעת יצירת גרסא חדשה ותיעוד בתיק היסוד</w:t>
            </w:r>
          </w:p>
        </w:tc>
        <w:tc>
          <w:tcPr>
            <w:tcW w:w="1271" w:type="dxa"/>
          </w:tcPr>
          <w:p w14:paraId="6F038073" w14:textId="412E331E" w:rsidR="005212DB" w:rsidRPr="00EC02E7" w:rsidRDefault="005212DB" w:rsidP="00C602AE">
            <w:pPr>
              <w:rPr>
                <w:b/>
                <w:bCs/>
                <w:sz w:val="20"/>
                <w:szCs w:val="20"/>
                <w:rtl/>
              </w:rPr>
            </w:pPr>
            <w:r w:rsidRPr="00EC02E7">
              <w:rPr>
                <w:rFonts w:hint="cs"/>
                <w:b/>
                <w:bCs/>
                <w:sz w:val="20"/>
                <w:szCs w:val="20"/>
                <w:rtl/>
              </w:rPr>
              <w:t>קפ"ט+אמל"ח+משתמשים</w:t>
            </w:r>
          </w:p>
        </w:tc>
      </w:tr>
      <w:tr w:rsidR="009052D6" w:rsidRPr="003C18CA" w14:paraId="47F6808B" w14:textId="77777777" w:rsidTr="00335CAC">
        <w:tc>
          <w:tcPr>
            <w:tcW w:w="530" w:type="dxa"/>
          </w:tcPr>
          <w:p w14:paraId="1F1EEDEA" w14:textId="77777777" w:rsidR="009052D6" w:rsidRPr="003C18CA" w:rsidRDefault="009052D6" w:rsidP="00C602AE">
            <w:pPr>
              <w:pStyle w:val="ListParagraph"/>
              <w:numPr>
                <w:ilvl w:val="0"/>
                <w:numId w:val="3"/>
              </w:numPr>
              <w:rPr>
                <w:sz w:val="20"/>
                <w:szCs w:val="20"/>
                <w:rtl/>
              </w:rPr>
            </w:pPr>
          </w:p>
        </w:tc>
        <w:tc>
          <w:tcPr>
            <w:tcW w:w="864" w:type="dxa"/>
          </w:tcPr>
          <w:p w14:paraId="13FD89DE" w14:textId="211BD38E" w:rsidR="009052D6" w:rsidRPr="003C18CA" w:rsidRDefault="009052D6" w:rsidP="00C602AE">
            <w:pPr>
              <w:rPr>
                <w:sz w:val="20"/>
                <w:szCs w:val="20"/>
                <w:rtl/>
              </w:rPr>
            </w:pPr>
            <w:r>
              <w:rPr>
                <w:rFonts w:hint="cs"/>
                <w:sz w:val="20"/>
                <w:szCs w:val="20"/>
                <w:rtl/>
              </w:rPr>
              <w:t>11.9.2</w:t>
            </w:r>
          </w:p>
        </w:tc>
        <w:tc>
          <w:tcPr>
            <w:tcW w:w="810" w:type="dxa"/>
          </w:tcPr>
          <w:p w14:paraId="6DAD4E83" w14:textId="7CDDDCB7" w:rsidR="009052D6" w:rsidRPr="003C18CA" w:rsidRDefault="009052D6" w:rsidP="00C602AE">
            <w:pPr>
              <w:rPr>
                <w:sz w:val="20"/>
                <w:szCs w:val="20"/>
                <w:rtl/>
              </w:rPr>
            </w:pPr>
            <w:r>
              <w:rPr>
                <w:rFonts w:hint="cs"/>
                <w:sz w:val="20"/>
                <w:szCs w:val="20"/>
                <w:rtl/>
              </w:rPr>
              <w:t>תיק יסוד</w:t>
            </w:r>
          </w:p>
        </w:tc>
        <w:tc>
          <w:tcPr>
            <w:tcW w:w="2436" w:type="dxa"/>
          </w:tcPr>
          <w:p w14:paraId="5B449D32" w14:textId="40D8EE1E" w:rsidR="009052D6" w:rsidRPr="009052D6" w:rsidRDefault="009052D6" w:rsidP="00C602AE">
            <w:pPr>
              <w:rPr>
                <w:rFonts w:hint="cs"/>
                <w:sz w:val="20"/>
                <w:szCs w:val="20"/>
                <w:rtl/>
              </w:rPr>
            </w:pPr>
            <w:r>
              <w:rPr>
                <w:rFonts w:hint="cs"/>
                <w:sz w:val="20"/>
                <w:szCs w:val="20"/>
                <w:rtl/>
              </w:rPr>
              <w:t xml:space="preserve">השדות שעתידם להגיע ממערכת </w:t>
            </w:r>
            <w:r>
              <w:rPr>
                <w:sz w:val="20"/>
                <w:szCs w:val="20"/>
              </w:rPr>
              <w:t xml:space="preserve">SAP </w:t>
            </w:r>
            <w:r>
              <w:rPr>
                <w:rFonts w:hint="cs"/>
                <w:sz w:val="20"/>
                <w:szCs w:val="20"/>
                <w:rtl/>
              </w:rPr>
              <w:t xml:space="preserve"> יוזנו בשלב זה באופן ידני לשדות </w:t>
            </w:r>
            <w:proofErr w:type="spellStart"/>
            <w:r>
              <w:rPr>
                <w:sz w:val="20"/>
                <w:szCs w:val="20"/>
              </w:rPr>
              <w:t>M</w:t>
            </w:r>
            <w:r w:rsidR="00BC146E">
              <w:rPr>
                <w:sz w:val="20"/>
                <w:szCs w:val="20"/>
              </w:rPr>
              <w:t>eta</w:t>
            </w:r>
            <w:r>
              <w:rPr>
                <w:sz w:val="20"/>
                <w:szCs w:val="20"/>
              </w:rPr>
              <w:t>D</w:t>
            </w:r>
            <w:r w:rsidR="00BC146E">
              <w:rPr>
                <w:sz w:val="20"/>
                <w:szCs w:val="20"/>
              </w:rPr>
              <w:t>ata</w:t>
            </w:r>
            <w:proofErr w:type="spellEnd"/>
            <w:r>
              <w:rPr>
                <w:sz w:val="20"/>
                <w:szCs w:val="20"/>
              </w:rPr>
              <w:t xml:space="preserve"> </w:t>
            </w:r>
            <w:r>
              <w:rPr>
                <w:rFonts w:hint="cs"/>
                <w:sz w:val="20"/>
                <w:szCs w:val="20"/>
                <w:rtl/>
              </w:rPr>
              <w:t xml:space="preserve"> במערכת ולא תהיה הגבלה של סוג השדה עבור הממשק העתידי</w:t>
            </w:r>
            <w:r w:rsidR="00CD317B">
              <w:rPr>
                <w:rFonts w:hint="cs"/>
                <w:sz w:val="20"/>
                <w:szCs w:val="20"/>
                <w:rtl/>
              </w:rPr>
              <w:t>.</w:t>
            </w:r>
          </w:p>
        </w:tc>
        <w:tc>
          <w:tcPr>
            <w:tcW w:w="1531" w:type="dxa"/>
          </w:tcPr>
          <w:p w14:paraId="102B515F" w14:textId="5A097E9E" w:rsidR="009052D6" w:rsidRPr="003C18CA" w:rsidRDefault="009052D6" w:rsidP="00C602AE">
            <w:pPr>
              <w:rPr>
                <w:sz w:val="20"/>
                <w:szCs w:val="20"/>
                <w:rtl/>
              </w:rPr>
            </w:pPr>
            <w:r>
              <w:rPr>
                <w:rFonts w:hint="cs"/>
                <w:sz w:val="20"/>
                <w:szCs w:val="20"/>
                <w:rtl/>
              </w:rPr>
              <w:t>-</w:t>
            </w:r>
          </w:p>
        </w:tc>
        <w:tc>
          <w:tcPr>
            <w:tcW w:w="1271" w:type="dxa"/>
          </w:tcPr>
          <w:p w14:paraId="51BA49C0" w14:textId="394B4E5D" w:rsidR="009052D6" w:rsidRPr="00EC02E7" w:rsidRDefault="009052D6" w:rsidP="00C602AE">
            <w:pPr>
              <w:rPr>
                <w:b/>
                <w:bCs/>
                <w:sz w:val="20"/>
                <w:szCs w:val="20"/>
                <w:rtl/>
              </w:rPr>
            </w:pPr>
            <w:r w:rsidRPr="00EC02E7">
              <w:rPr>
                <w:rFonts w:hint="cs"/>
                <w:b/>
                <w:bCs/>
                <w:sz w:val="20"/>
                <w:szCs w:val="20"/>
                <w:rtl/>
              </w:rPr>
              <w:t>-</w:t>
            </w:r>
          </w:p>
        </w:tc>
      </w:tr>
      <w:tr w:rsidR="009052D6" w:rsidRPr="003C18CA" w14:paraId="4AA330C9" w14:textId="77777777" w:rsidTr="00335CAC">
        <w:tc>
          <w:tcPr>
            <w:tcW w:w="530" w:type="dxa"/>
          </w:tcPr>
          <w:p w14:paraId="198F9F96" w14:textId="77777777" w:rsidR="009052D6" w:rsidRPr="003C18CA" w:rsidRDefault="009052D6" w:rsidP="00C602AE">
            <w:pPr>
              <w:pStyle w:val="ListParagraph"/>
              <w:numPr>
                <w:ilvl w:val="0"/>
                <w:numId w:val="3"/>
              </w:numPr>
              <w:rPr>
                <w:sz w:val="20"/>
                <w:szCs w:val="20"/>
                <w:rtl/>
              </w:rPr>
            </w:pPr>
          </w:p>
        </w:tc>
        <w:tc>
          <w:tcPr>
            <w:tcW w:w="864" w:type="dxa"/>
          </w:tcPr>
          <w:p w14:paraId="7FF14946" w14:textId="7DFAD34B" w:rsidR="009052D6" w:rsidRPr="003C18CA" w:rsidRDefault="00CD317B" w:rsidP="00C602AE">
            <w:pPr>
              <w:rPr>
                <w:sz w:val="20"/>
                <w:szCs w:val="20"/>
                <w:rtl/>
              </w:rPr>
            </w:pPr>
            <w:r>
              <w:rPr>
                <w:sz w:val="20"/>
                <w:szCs w:val="20"/>
              </w:rPr>
              <w:t>11.9.2</w:t>
            </w:r>
          </w:p>
        </w:tc>
        <w:tc>
          <w:tcPr>
            <w:tcW w:w="810" w:type="dxa"/>
          </w:tcPr>
          <w:p w14:paraId="6B33E612" w14:textId="78E6946C" w:rsidR="009052D6" w:rsidRPr="003C18CA" w:rsidRDefault="00CD317B" w:rsidP="00C602AE">
            <w:pPr>
              <w:rPr>
                <w:rFonts w:hint="cs"/>
                <w:sz w:val="20"/>
                <w:szCs w:val="20"/>
                <w:rtl/>
              </w:rPr>
            </w:pPr>
            <w:r>
              <w:rPr>
                <w:rFonts w:hint="cs"/>
                <w:sz w:val="20"/>
                <w:szCs w:val="20"/>
                <w:rtl/>
              </w:rPr>
              <w:t>תיק יסוד</w:t>
            </w:r>
          </w:p>
        </w:tc>
        <w:tc>
          <w:tcPr>
            <w:tcW w:w="2436" w:type="dxa"/>
          </w:tcPr>
          <w:p w14:paraId="19AB529E" w14:textId="11E2AE36" w:rsidR="009052D6" w:rsidRPr="003C18CA" w:rsidRDefault="00CD317B" w:rsidP="00C602AE">
            <w:pPr>
              <w:rPr>
                <w:sz w:val="20"/>
                <w:szCs w:val="20"/>
                <w:rtl/>
              </w:rPr>
            </w:pPr>
            <w:r>
              <w:rPr>
                <w:rFonts w:hint="cs"/>
                <w:sz w:val="20"/>
                <w:szCs w:val="20"/>
                <w:rtl/>
              </w:rPr>
              <w:t xml:space="preserve">קיימת יכולת חילול שם מחזור אוטומאטי ברמת מערכת </w:t>
            </w:r>
            <w:r>
              <w:rPr>
                <w:sz w:val="20"/>
                <w:szCs w:val="20"/>
                <w:rtl/>
              </w:rPr>
              <w:t>–</w:t>
            </w:r>
            <w:r>
              <w:rPr>
                <w:rFonts w:hint="cs"/>
                <w:sz w:val="20"/>
                <w:szCs w:val="20"/>
                <w:rtl/>
              </w:rPr>
              <w:t xml:space="preserve"> האפוציה לא תהיה בשימוש בצה"ל מאחר והשדה יגיע ממערכות כ"א בהמשך</w:t>
            </w:r>
          </w:p>
        </w:tc>
        <w:tc>
          <w:tcPr>
            <w:tcW w:w="1531" w:type="dxa"/>
          </w:tcPr>
          <w:p w14:paraId="693A1510" w14:textId="404216AC" w:rsidR="009052D6" w:rsidRPr="003C18CA" w:rsidRDefault="00CD317B" w:rsidP="5B08A8AE">
            <w:pPr>
              <w:rPr>
                <w:sz w:val="20"/>
                <w:szCs w:val="20"/>
                <w:rtl/>
              </w:rPr>
            </w:pPr>
            <w:r>
              <w:rPr>
                <w:rFonts w:hint="cs"/>
                <w:sz w:val="20"/>
                <w:szCs w:val="20"/>
                <w:rtl/>
              </w:rPr>
              <w:t>-</w:t>
            </w:r>
          </w:p>
        </w:tc>
        <w:tc>
          <w:tcPr>
            <w:tcW w:w="1271" w:type="dxa"/>
          </w:tcPr>
          <w:p w14:paraId="5DD4C231" w14:textId="426CA225" w:rsidR="009052D6" w:rsidRPr="00EC02E7" w:rsidRDefault="00CD317B" w:rsidP="00C602AE">
            <w:pPr>
              <w:rPr>
                <w:b/>
                <w:bCs/>
                <w:sz w:val="20"/>
                <w:szCs w:val="20"/>
                <w:rtl/>
              </w:rPr>
            </w:pPr>
            <w:r w:rsidRPr="00EC02E7">
              <w:rPr>
                <w:rFonts w:hint="cs"/>
                <w:b/>
                <w:bCs/>
                <w:sz w:val="20"/>
                <w:szCs w:val="20"/>
                <w:rtl/>
              </w:rPr>
              <w:t>-</w:t>
            </w:r>
          </w:p>
        </w:tc>
      </w:tr>
      <w:tr w:rsidR="00F85352" w:rsidRPr="003C18CA" w14:paraId="221343F9" w14:textId="77777777" w:rsidTr="00335CAC">
        <w:tc>
          <w:tcPr>
            <w:tcW w:w="530" w:type="dxa"/>
          </w:tcPr>
          <w:p w14:paraId="49910748" w14:textId="77777777" w:rsidR="00F85352" w:rsidRPr="003C18CA" w:rsidRDefault="00F85352" w:rsidP="00C602AE">
            <w:pPr>
              <w:pStyle w:val="ListParagraph"/>
              <w:numPr>
                <w:ilvl w:val="0"/>
                <w:numId w:val="3"/>
              </w:numPr>
              <w:rPr>
                <w:sz w:val="20"/>
                <w:szCs w:val="20"/>
                <w:rtl/>
              </w:rPr>
            </w:pPr>
          </w:p>
        </w:tc>
        <w:tc>
          <w:tcPr>
            <w:tcW w:w="864" w:type="dxa"/>
          </w:tcPr>
          <w:p w14:paraId="7995E861" w14:textId="672C25AD" w:rsidR="00F85352" w:rsidRPr="003C18CA" w:rsidRDefault="00F85352" w:rsidP="00C602AE">
            <w:pPr>
              <w:rPr>
                <w:sz w:val="20"/>
                <w:szCs w:val="20"/>
                <w:rtl/>
              </w:rPr>
            </w:pPr>
            <w:r>
              <w:rPr>
                <w:sz w:val="20"/>
                <w:szCs w:val="20"/>
              </w:rPr>
              <w:t>11.9.2</w:t>
            </w:r>
          </w:p>
        </w:tc>
        <w:tc>
          <w:tcPr>
            <w:tcW w:w="810" w:type="dxa"/>
          </w:tcPr>
          <w:p w14:paraId="3AF435BE" w14:textId="7274F4BD" w:rsidR="00F85352" w:rsidRPr="003C18CA" w:rsidRDefault="00F85352" w:rsidP="00C602AE">
            <w:pPr>
              <w:rPr>
                <w:sz w:val="20"/>
                <w:szCs w:val="20"/>
                <w:rtl/>
              </w:rPr>
            </w:pPr>
            <w:r>
              <w:rPr>
                <w:rFonts w:hint="cs"/>
                <w:sz w:val="20"/>
                <w:szCs w:val="20"/>
                <w:rtl/>
              </w:rPr>
              <w:t>תיק יסוד</w:t>
            </w:r>
          </w:p>
        </w:tc>
        <w:tc>
          <w:tcPr>
            <w:tcW w:w="2436" w:type="dxa"/>
          </w:tcPr>
          <w:p w14:paraId="7F22390B" w14:textId="1B42994F" w:rsidR="00F85352" w:rsidRPr="003C18CA" w:rsidRDefault="00F85352" w:rsidP="00D5437E">
            <w:pPr>
              <w:rPr>
                <w:sz w:val="20"/>
                <w:szCs w:val="20"/>
                <w:rtl/>
              </w:rPr>
            </w:pPr>
            <w:r w:rsidRPr="0020577F">
              <w:rPr>
                <w:rFonts w:hint="cs"/>
                <w:b/>
                <w:bCs/>
                <w:sz w:val="20"/>
                <w:szCs w:val="20"/>
                <w:rtl/>
              </w:rPr>
              <w:t>פרק ההסמכות וה</w:t>
            </w:r>
            <w:r w:rsidR="00D5437E" w:rsidRPr="0020577F">
              <w:rPr>
                <w:rFonts w:hint="cs"/>
                <w:b/>
                <w:bCs/>
                <w:sz w:val="20"/>
                <w:szCs w:val="20"/>
                <w:rtl/>
              </w:rPr>
              <w:t xml:space="preserve">הכשרות </w:t>
            </w:r>
            <w:r w:rsidR="00D5437E">
              <w:rPr>
                <w:rFonts w:hint="cs"/>
                <w:sz w:val="20"/>
                <w:szCs w:val="20"/>
                <w:rtl/>
              </w:rPr>
              <w:t xml:space="preserve">יוזנו כטקסט חופשי בשלב ראשון עד לקבלת תכולת הכשירויות ביחידת מסירה שנייה וגם </w:t>
            </w:r>
            <w:r w:rsidR="00F950A2">
              <w:rPr>
                <w:rFonts w:hint="cs"/>
                <w:sz w:val="20"/>
                <w:szCs w:val="20"/>
                <w:rtl/>
              </w:rPr>
              <w:t>קבלת הנתונים לכשירות מאכ"א</w:t>
            </w:r>
          </w:p>
        </w:tc>
        <w:tc>
          <w:tcPr>
            <w:tcW w:w="1531" w:type="dxa"/>
          </w:tcPr>
          <w:p w14:paraId="290880FB" w14:textId="5447156A" w:rsidR="00F85352" w:rsidRPr="003C18CA" w:rsidRDefault="00F950A2" w:rsidP="00C602AE">
            <w:pPr>
              <w:rPr>
                <w:sz w:val="20"/>
                <w:szCs w:val="20"/>
                <w:rtl/>
              </w:rPr>
            </w:pPr>
            <w:r>
              <w:rPr>
                <w:rFonts w:hint="cs"/>
                <w:sz w:val="20"/>
                <w:szCs w:val="20"/>
                <w:rtl/>
              </w:rPr>
              <w:t>יש  לעדכן במסמכי האפיון</w:t>
            </w:r>
          </w:p>
        </w:tc>
        <w:tc>
          <w:tcPr>
            <w:tcW w:w="1271" w:type="dxa"/>
          </w:tcPr>
          <w:p w14:paraId="29DA6008" w14:textId="083922BA" w:rsidR="00F85352" w:rsidRPr="00EC02E7" w:rsidRDefault="00F950A2" w:rsidP="00C602AE">
            <w:pPr>
              <w:rPr>
                <w:b/>
                <w:bCs/>
                <w:sz w:val="20"/>
                <w:szCs w:val="20"/>
                <w:rtl/>
              </w:rPr>
            </w:pPr>
            <w:r w:rsidRPr="00EC02E7">
              <w:rPr>
                <w:rFonts w:hint="cs"/>
                <w:b/>
                <w:bCs/>
                <w:sz w:val="20"/>
                <w:szCs w:val="20"/>
                <w:rtl/>
              </w:rPr>
              <w:t>בריטניקה</w:t>
            </w:r>
          </w:p>
        </w:tc>
      </w:tr>
      <w:tr w:rsidR="007B7191" w:rsidRPr="003C18CA" w14:paraId="5552C124" w14:textId="77777777" w:rsidTr="00335CAC">
        <w:tc>
          <w:tcPr>
            <w:tcW w:w="530" w:type="dxa"/>
          </w:tcPr>
          <w:p w14:paraId="0EF6E78A" w14:textId="77777777" w:rsidR="007B7191" w:rsidRPr="003C18CA" w:rsidRDefault="007B7191" w:rsidP="00C602AE">
            <w:pPr>
              <w:pStyle w:val="ListParagraph"/>
              <w:numPr>
                <w:ilvl w:val="0"/>
                <w:numId w:val="3"/>
              </w:numPr>
              <w:rPr>
                <w:sz w:val="20"/>
                <w:szCs w:val="20"/>
                <w:rtl/>
              </w:rPr>
            </w:pPr>
          </w:p>
        </w:tc>
        <w:tc>
          <w:tcPr>
            <w:tcW w:w="864" w:type="dxa"/>
          </w:tcPr>
          <w:p w14:paraId="58F8A9D2" w14:textId="03432153" w:rsidR="007B7191" w:rsidRPr="003C18CA" w:rsidRDefault="007B7191" w:rsidP="00C602AE">
            <w:pPr>
              <w:rPr>
                <w:sz w:val="20"/>
                <w:szCs w:val="20"/>
                <w:rtl/>
              </w:rPr>
            </w:pPr>
            <w:r>
              <w:rPr>
                <w:sz w:val="20"/>
                <w:szCs w:val="20"/>
              </w:rPr>
              <w:t>11.9.2</w:t>
            </w:r>
          </w:p>
        </w:tc>
        <w:tc>
          <w:tcPr>
            <w:tcW w:w="810" w:type="dxa"/>
          </w:tcPr>
          <w:p w14:paraId="241CE8F3" w14:textId="6BB8BB9A" w:rsidR="007B7191" w:rsidRPr="003C18CA" w:rsidRDefault="007B7191" w:rsidP="00C602AE">
            <w:pPr>
              <w:rPr>
                <w:sz w:val="20"/>
                <w:szCs w:val="20"/>
                <w:rtl/>
              </w:rPr>
            </w:pPr>
            <w:r>
              <w:rPr>
                <w:rFonts w:hint="cs"/>
                <w:sz w:val="20"/>
                <w:szCs w:val="20"/>
                <w:rtl/>
              </w:rPr>
              <w:t>תיק יסוד</w:t>
            </w:r>
          </w:p>
        </w:tc>
        <w:tc>
          <w:tcPr>
            <w:tcW w:w="2436" w:type="dxa"/>
          </w:tcPr>
          <w:p w14:paraId="2618B98C" w14:textId="2E8EDA4B" w:rsidR="007B7191" w:rsidRPr="003C18CA" w:rsidRDefault="007B7191" w:rsidP="00C602AE">
            <w:pPr>
              <w:rPr>
                <w:sz w:val="20"/>
                <w:szCs w:val="20"/>
                <w:rtl/>
              </w:rPr>
            </w:pPr>
            <w:r>
              <w:rPr>
                <w:rFonts w:hint="cs"/>
                <w:sz w:val="20"/>
                <w:szCs w:val="20"/>
                <w:rtl/>
              </w:rPr>
              <w:t xml:space="preserve">פרקי תיק היסוד יוצגו בלשוניות במערכת אשר מכילים את כל השדות והפרקים המקוריים של תיק היסוד </w:t>
            </w:r>
            <w:r>
              <w:rPr>
                <w:sz w:val="20"/>
                <w:szCs w:val="20"/>
                <w:rtl/>
              </w:rPr>
              <w:t>–</w:t>
            </w:r>
            <w:r>
              <w:rPr>
                <w:rFonts w:hint="cs"/>
                <w:sz w:val="20"/>
                <w:szCs w:val="20"/>
                <w:rtl/>
              </w:rPr>
              <w:t xml:space="preserve"> המסך במערכת יציג 2 סוגי לשונית </w:t>
            </w:r>
            <w:r>
              <w:rPr>
                <w:sz w:val="20"/>
                <w:szCs w:val="20"/>
                <w:rtl/>
              </w:rPr>
              <w:t>–</w:t>
            </w:r>
            <w:r>
              <w:rPr>
                <w:rFonts w:hint="cs"/>
                <w:sz w:val="20"/>
                <w:szCs w:val="20"/>
                <w:rtl/>
              </w:rPr>
              <w:t xml:space="preserve"> לשוניות שהם שדות טקסט </w:t>
            </w:r>
            <w:r>
              <w:rPr>
                <w:sz w:val="20"/>
                <w:szCs w:val="20"/>
                <w:rtl/>
              </w:rPr>
              <w:t>–</w:t>
            </w:r>
            <w:r>
              <w:rPr>
                <w:rFonts w:hint="cs"/>
                <w:sz w:val="20"/>
                <w:szCs w:val="20"/>
                <w:rtl/>
              </w:rPr>
              <w:t xml:space="preserve"> תיאור בלבד ושדות שהם כלי מערכת</w:t>
            </w:r>
          </w:p>
        </w:tc>
        <w:tc>
          <w:tcPr>
            <w:tcW w:w="1531" w:type="dxa"/>
          </w:tcPr>
          <w:p w14:paraId="4EE4756B" w14:textId="7F1CE4A3" w:rsidR="007B7191" w:rsidRPr="003C18CA" w:rsidRDefault="007B7191" w:rsidP="00C602AE">
            <w:pPr>
              <w:rPr>
                <w:sz w:val="20"/>
                <w:szCs w:val="20"/>
                <w:rtl/>
              </w:rPr>
            </w:pPr>
            <w:r>
              <w:rPr>
                <w:rFonts w:hint="cs"/>
                <w:sz w:val="20"/>
                <w:szCs w:val="20"/>
                <w:rtl/>
              </w:rPr>
              <w:t>יש  לעדכן במסמכי האפיון</w:t>
            </w:r>
          </w:p>
        </w:tc>
        <w:tc>
          <w:tcPr>
            <w:tcW w:w="1271" w:type="dxa"/>
          </w:tcPr>
          <w:p w14:paraId="5D622F8F" w14:textId="127C4CBC" w:rsidR="007B7191" w:rsidRPr="00EC02E7" w:rsidRDefault="007B7191" w:rsidP="00C602AE">
            <w:pPr>
              <w:rPr>
                <w:b/>
                <w:bCs/>
                <w:sz w:val="20"/>
                <w:szCs w:val="20"/>
                <w:rtl/>
              </w:rPr>
            </w:pPr>
            <w:r w:rsidRPr="00EC02E7">
              <w:rPr>
                <w:rFonts w:hint="cs"/>
                <w:b/>
                <w:bCs/>
                <w:sz w:val="20"/>
                <w:szCs w:val="20"/>
                <w:rtl/>
              </w:rPr>
              <w:t>בריטניקה</w:t>
            </w:r>
          </w:p>
        </w:tc>
      </w:tr>
      <w:tr w:rsidR="000111C2" w:rsidRPr="003C18CA" w14:paraId="247593CC" w14:textId="77777777" w:rsidTr="00335CAC">
        <w:tc>
          <w:tcPr>
            <w:tcW w:w="530" w:type="dxa"/>
          </w:tcPr>
          <w:p w14:paraId="3680E924" w14:textId="77777777" w:rsidR="000111C2" w:rsidRPr="003C18CA" w:rsidRDefault="000111C2" w:rsidP="00C602AE">
            <w:pPr>
              <w:pStyle w:val="ListParagraph"/>
              <w:numPr>
                <w:ilvl w:val="0"/>
                <w:numId w:val="3"/>
              </w:numPr>
              <w:rPr>
                <w:sz w:val="20"/>
                <w:szCs w:val="20"/>
                <w:rtl/>
              </w:rPr>
            </w:pPr>
          </w:p>
        </w:tc>
        <w:tc>
          <w:tcPr>
            <w:tcW w:w="864" w:type="dxa"/>
          </w:tcPr>
          <w:p w14:paraId="05575645" w14:textId="4598842A" w:rsidR="000111C2" w:rsidRPr="003C18CA" w:rsidRDefault="000111C2" w:rsidP="00C602AE">
            <w:pPr>
              <w:rPr>
                <w:sz w:val="20"/>
                <w:szCs w:val="20"/>
                <w:rtl/>
              </w:rPr>
            </w:pPr>
            <w:r>
              <w:rPr>
                <w:rFonts w:hint="cs"/>
                <w:sz w:val="20"/>
                <w:szCs w:val="20"/>
                <w:rtl/>
              </w:rPr>
              <w:t>11.9.2</w:t>
            </w:r>
          </w:p>
        </w:tc>
        <w:tc>
          <w:tcPr>
            <w:tcW w:w="810" w:type="dxa"/>
          </w:tcPr>
          <w:p w14:paraId="1BDC2603" w14:textId="03773D18" w:rsidR="000111C2" w:rsidRPr="003C18CA" w:rsidRDefault="000111C2" w:rsidP="00C602AE">
            <w:pPr>
              <w:rPr>
                <w:sz w:val="20"/>
                <w:szCs w:val="20"/>
                <w:rtl/>
              </w:rPr>
            </w:pPr>
            <w:r>
              <w:rPr>
                <w:rFonts w:hint="cs"/>
                <w:sz w:val="20"/>
                <w:szCs w:val="20"/>
                <w:rtl/>
              </w:rPr>
              <w:t>תיק יסוד</w:t>
            </w:r>
          </w:p>
        </w:tc>
        <w:tc>
          <w:tcPr>
            <w:tcW w:w="2436" w:type="dxa"/>
          </w:tcPr>
          <w:p w14:paraId="1CDB1D59" w14:textId="6E38D0DB" w:rsidR="000111C2" w:rsidRPr="003C18CA" w:rsidRDefault="000111C2" w:rsidP="00C602AE">
            <w:pPr>
              <w:rPr>
                <w:rFonts w:hint="cs"/>
                <w:sz w:val="20"/>
                <w:szCs w:val="20"/>
                <w:rtl/>
              </w:rPr>
            </w:pPr>
            <w:r>
              <w:rPr>
                <w:rFonts w:hint="cs"/>
                <w:sz w:val="20"/>
                <w:szCs w:val="20"/>
                <w:rtl/>
              </w:rPr>
              <w:t>מונח הנושא בתיק יסוד יוחלף ל"פרק" על מנת להתאים למונחי צה"ל</w:t>
            </w:r>
            <w:r w:rsidR="008B761A">
              <w:rPr>
                <w:sz w:val="20"/>
                <w:szCs w:val="20"/>
              </w:rPr>
              <w:t xml:space="preserve"> </w:t>
            </w:r>
            <w:r w:rsidR="008B761A">
              <w:rPr>
                <w:rFonts w:hint="cs"/>
                <w:sz w:val="20"/>
                <w:szCs w:val="20"/>
                <w:rtl/>
              </w:rPr>
              <w:t xml:space="preserve"> ויוצג ב2 רמות היררכיה על מנת שלא לפרט יותר מידי במסמך ולא פחות מידי</w:t>
            </w:r>
          </w:p>
        </w:tc>
        <w:tc>
          <w:tcPr>
            <w:tcW w:w="1531" w:type="dxa"/>
          </w:tcPr>
          <w:p w14:paraId="45461A7F" w14:textId="1481943B" w:rsidR="000111C2" w:rsidRPr="003C18CA" w:rsidRDefault="000111C2" w:rsidP="00C602AE">
            <w:pPr>
              <w:rPr>
                <w:sz w:val="20"/>
                <w:szCs w:val="20"/>
                <w:rtl/>
              </w:rPr>
            </w:pPr>
            <w:r>
              <w:rPr>
                <w:rFonts w:hint="cs"/>
                <w:sz w:val="20"/>
                <w:szCs w:val="20"/>
                <w:rtl/>
              </w:rPr>
              <w:t>יש  לעדכן במסמכי האפיון</w:t>
            </w:r>
          </w:p>
        </w:tc>
        <w:tc>
          <w:tcPr>
            <w:tcW w:w="1271" w:type="dxa"/>
          </w:tcPr>
          <w:p w14:paraId="6373BD93" w14:textId="4A2054C1" w:rsidR="000111C2" w:rsidRPr="00EC02E7" w:rsidRDefault="000111C2" w:rsidP="00C602AE">
            <w:pPr>
              <w:rPr>
                <w:b/>
                <w:bCs/>
                <w:sz w:val="20"/>
                <w:szCs w:val="20"/>
                <w:rtl/>
              </w:rPr>
            </w:pPr>
            <w:r w:rsidRPr="00EC02E7">
              <w:rPr>
                <w:rFonts w:hint="cs"/>
                <w:b/>
                <w:bCs/>
                <w:sz w:val="20"/>
                <w:szCs w:val="20"/>
                <w:rtl/>
              </w:rPr>
              <w:t>בריטניקה</w:t>
            </w:r>
          </w:p>
        </w:tc>
      </w:tr>
      <w:tr w:rsidR="00A17BBC" w:rsidRPr="003C18CA" w14:paraId="2A3012C7" w14:textId="77777777" w:rsidTr="00335CAC">
        <w:tc>
          <w:tcPr>
            <w:tcW w:w="530" w:type="dxa"/>
          </w:tcPr>
          <w:p w14:paraId="04CDCE8A" w14:textId="77777777" w:rsidR="00A17BBC" w:rsidRPr="003C18CA" w:rsidRDefault="00A17BBC" w:rsidP="00C602AE">
            <w:pPr>
              <w:pStyle w:val="ListParagraph"/>
              <w:numPr>
                <w:ilvl w:val="0"/>
                <w:numId w:val="3"/>
              </w:numPr>
              <w:rPr>
                <w:sz w:val="20"/>
                <w:szCs w:val="20"/>
                <w:rtl/>
              </w:rPr>
            </w:pPr>
          </w:p>
        </w:tc>
        <w:tc>
          <w:tcPr>
            <w:tcW w:w="864" w:type="dxa"/>
          </w:tcPr>
          <w:p w14:paraId="1A4AA27F" w14:textId="5560483A" w:rsidR="00A17BBC" w:rsidRPr="003C18CA" w:rsidRDefault="00A17BBC" w:rsidP="00C602AE">
            <w:pPr>
              <w:rPr>
                <w:sz w:val="20"/>
                <w:szCs w:val="20"/>
                <w:rtl/>
              </w:rPr>
            </w:pPr>
            <w:r>
              <w:rPr>
                <w:rFonts w:hint="cs"/>
                <w:sz w:val="20"/>
                <w:szCs w:val="20"/>
                <w:rtl/>
              </w:rPr>
              <w:t>11.9.2</w:t>
            </w:r>
          </w:p>
        </w:tc>
        <w:tc>
          <w:tcPr>
            <w:tcW w:w="810" w:type="dxa"/>
          </w:tcPr>
          <w:p w14:paraId="4DEA6B3D" w14:textId="7DC03DF7" w:rsidR="00A17BBC" w:rsidRPr="003C18CA" w:rsidRDefault="00A17BBC" w:rsidP="00C602AE">
            <w:pPr>
              <w:rPr>
                <w:sz w:val="20"/>
                <w:szCs w:val="20"/>
                <w:rtl/>
              </w:rPr>
            </w:pPr>
            <w:r>
              <w:rPr>
                <w:rFonts w:hint="cs"/>
                <w:sz w:val="20"/>
                <w:szCs w:val="20"/>
                <w:rtl/>
              </w:rPr>
              <w:t>תיק יסוד</w:t>
            </w:r>
          </w:p>
        </w:tc>
        <w:tc>
          <w:tcPr>
            <w:tcW w:w="2436" w:type="dxa"/>
          </w:tcPr>
          <w:p w14:paraId="048E8572" w14:textId="47F98B9F" w:rsidR="00A17BBC" w:rsidRPr="003C18CA" w:rsidRDefault="00A17BBC" w:rsidP="008B761A">
            <w:pPr>
              <w:rPr>
                <w:sz w:val="20"/>
                <w:szCs w:val="20"/>
              </w:rPr>
            </w:pPr>
            <w:r>
              <w:rPr>
                <w:rFonts w:hint="cs"/>
                <w:sz w:val="20"/>
                <w:szCs w:val="20"/>
                <w:rtl/>
              </w:rPr>
              <w:t xml:space="preserve">פרק 7 </w:t>
            </w:r>
            <w:r>
              <w:rPr>
                <w:sz w:val="20"/>
                <w:szCs w:val="20"/>
                <w:rtl/>
              </w:rPr>
              <w:t>–</w:t>
            </w:r>
            <w:r>
              <w:rPr>
                <w:rFonts w:hint="cs"/>
                <w:sz w:val="20"/>
                <w:szCs w:val="20"/>
                <w:rtl/>
              </w:rPr>
              <w:t xml:space="preserve"> פריסה עקרונית של ההכשרה, הפרק ישקף את הנתונים מהמערכת על ידי טבלה של "תוכנית הלימודים", סוכם כי יש לשנות את הפרק על מנת שתהיה התאמה למה שהוזן המערכת ("עץ הערכה")</w:t>
            </w:r>
          </w:p>
        </w:tc>
        <w:tc>
          <w:tcPr>
            <w:tcW w:w="1531" w:type="dxa"/>
          </w:tcPr>
          <w:p w14:paraId="4F182FAC" w14:textId="28B61608" w:rsidR="00A17BBC" w:rsidRPr="00A17BBC" w:rsidRDefault="00A17BBC" w:rsidP="00C602AE">
            <w:pPr>
              <w:rPr>
                <w:sz w:val="20"/>
                <w:szCs w:val="20"/>
                <w:rtl/>
              </w:rPr>
            </w:pPr>
            <w:r>
              <w:rPr>
                <w:rFonts w:hint="cs"/>
                <w:sz w:val="20"/>
                <w:szCs w:val="20"/>
                <w:rtl/>
              </w:rPr>
              <w:t>יש  לעדכן במסמכי האפיון</w:t>
            </w:r>
          </w:p>
        </w:tc>
        <w:tc>
          <w:tcPr>
            <w:tcW w:w="1271" w:type="dxa"/>
          </w:tcPr>
          <w:p w14:paraId="61E3EBA9" w14:textId="6C780BF1" w:rsidR="00A17BBC" w:rsidRPr="00EC02E7" w:rsidRDefault="00A17BBC" w:rsidP="00C602AE">
            <w:pPr>
              <w:rPr>
                <w:b/>
                <w:bCs/>
                <w:sz w:val="20"/>
                <w:szCs w:val="20"/>
                <w:rtl/>
              </w:rPr>
            </w:pPr>
            <w:r w:rsidRPr="00EC02E7">
              <w:rPr>
                <w:rFonts w:hint="cs"/>
                <w:b/>
                <w:bCs/>
                <w:sz w:val="20"/>
                <w:szCs w:val="20"/>
                <w:rtl/>
              </w:rPr>
              <w:t>בריטניקה</w:t>
            </w:r>
          </w:p>
        </w:tc>
      </w:tr>
      <w:tr w:rsidR="00A17BBC" w:rsidRPr="003C18CA" w14:paraId="3272BD38" w14:textId="77777777" w:rsidTr="00335CAC">
        <w:tc>
          <w:tcPr>
            <w:tcW w:w="530" w:type="dxa"/>
          </w:tcPr>
          <w:p w14:paraId="6924D24B" w14:textId="77777777" w:rsidR="00A17BBC" w:rsidRPr="003C18CA" w:rsidRDefault="00A17BBC" w:rsidP="00C602AE">
            <w:pPr>
              <w:pStyle w:val="ListParagraph"/>
              <w:numPr>
                <w:ilvl w:val="0"/>
                <w:numId w:val="3"/>
              </w:numPr>
              <w:rPr>
                <w:sz w:val="20"/>
                <w:szCs w:val="20"/>
                <w:rtl/>
              </w:rPr>
            </w:pPr>
          </w:p>
        </w:tc>
        <w:tc>
          <w:tcPr>
            <w:tcW w:w="864" w:type="dxa"/>
          </w:tcPr>
          <w:p w14:paraId="2049047A" w14:textId="3DFAF3C5" w:rsidR="00A17BBC" w:rsidRDefault="00A17BBC" w:rsidP="00C602AE">
            <w:pPr>
              <w:rPr>
                <w:sz w:val="20"/>
                <w:szCs w:val="20"/>
                <w:rtl/>
              </w:rPr>
            </w:pPr>
            <w:r>
              <w:rPr>
                <w:rFonts w:hint="cs"/>
                <w:sz w:val="20"/>
                <w:szCs w:val="20"/>
                <w:rtl/>
              </w:rPr>
              <w:t xml:space="preserve">11.9.2 </w:t>
            </w:r>
          </w:p>
        </w:tc>
        <w:tc>
          <w:tcPr>
            <w:tcW w:w="810" w:type="dxa"/>
          </w:tcPr>
          <w:p w14:paraId="2CD2DD0A" w14:textId="0107AA14" w:rsidR="00A17BBC" w:rsidRDefault="00A17BBC" w:rsidP="00C602AE">
            <w:pPr>
              <w:rPr>
                <w:sz w:val="20"/>
                <w:szCs w:val="20"/>
                <w:rtl/>
              </w:rPr>
            </w:pPr>
            <w:r>
              <w:rPr>
                <w:rFonts w:hint="cs"/>
                <w:sz w:val="20"/>
                <w:szCs w:val="20"/>
                <w:rtl/>
              </w:rPr>
              <w:t>תיק יסוד</w:t>
            </w:r>
          </w:p>
        </w:tc>
        <w:tc>
          <w:tcPr>
            <w:tcW w:w="2436" w:type="dxa"/>
          </w:tcPr>
          <w:p w14:paraId="64610B7D" w14:textId="2A49691D" w:rsidR="00A17BBC" w:rsidRDefault="00A17BBC" w:rsidP="00C602AE">
            <w:pPr>
              <w:rPr>
                <w:sz w:val="20"/>
                <w:szCs w:val="20"/>
                <w:rtl/>
              </w:rPr>
            </w:pPr>
            <w:r>
              <w:rPr>
                <w:rFonts w:hint="cs"/>
                <w:sz w:val="20"/>
                <w:szCs w:val="20"/>
                <w:rtl/>
              </w:rPr>
              <w:t>יש לשנות את המושג מסלול הכשרה ל"תוכנית לימודים" להתאמת המונח לצה"ל</w:t>
            </w:r>
          </w:p>
        </w:tc>
        <w:tc>
          <w:tcPr>
            <w:tcW w:w="1531" w:type="dxa"/>
          </w:tcPr>
          <w:p w14:paraId="70D73E06" w14:textId="546F10FD" w:rsidR="00A17BBC" w:rsidRDefault="00A17BBC" w:rsidP="00C602AE">
            <w:pPr>
              <w:rPr>
                <w:sz w:val="20"/>
                <w:szCs w:val="20"/>
                <w:rtl/>
              </w:rPr>
            </w:pPr>
            <w:r>
              <w:rPr>
                <w:rFonts w:hint="cs"/>
                <w:sz w:val="20"/>
                <w:szCs w:val="20"/>
                <w:rtl/>
              </w:rPr>
              <w:t>יש  לעדכן במסמכי האפיון</w:t>
            </w:r>
          </w:p>
        </w:tc>
        <w:tc>
          <w:tcPr>
            <w:tcW w:w="1271" w:type="dxa"/>
          </w:tcPr>
          <w:p w14:paraId="451E3A62" w14:textId="43EB9E3D" w:rsidR="00A17BBC" w:rsidRPr="00EC02E7" w:rsidRDefault="00A17BBC" w:rsidP="00C602AE">
            <w:pPr>
              <w:rPr>
                <w:b/>
                <w:bCs/>
                <w:sz w:val="20"/>
                <w:szCs w:val="20"/>
                <w:rtl/>
              </w:rPr>
            </w:pPr>
            <w:r w:rsidRPr="00EC02E7">
              <w:rPr>
                <w:rFonts w:hint="cs"/>
                <w:b/>
                <w:bCs/>
                <w:sz w:val="20"/>
                <w:szCs w:val="20"/>
                <w:rtl/>
              </w:rPr>
              <w:t>בריטניקה</w:t>
            </w:r>
          </w:p>
        </w:tc>
      </w:tr>
      <w:tr w:rsidR="00A17BBC" w:rsidRPr="003C18CA" w14:paraId="35521121" w14:textId="77777777" w:rsidTr="00335CAC">
        <w:tc>
          <w:tcPr>
            <w:tcW w:w="530" w:type="dxa"/>
          </w:tcPr>
          <w:p w14:paraId="2B431B48" w14:textId="77777777" w:rsidR="00A17BBC" w:rsidRPr="003C18CA" w:rsidRDefault="00A17BBC" w:rsidP="00C602AE">
            <w:pPr>
              <w:pStyle w:val="ListParagraph"/>
              <w:numPr>
                <w:ilvl w:val="0"/>
                <w:numId w:val="3"/>
              </w:numPr>
              <w:rPr>
                <w:sz w:val="20"/>
                <w:szCs w:val="20"/>
                <w:rtl/>
              </w:rPr>
            </w:pPr>
          </w:p>
        </w:tc>
        <w:tc>
          <w:tcPr>
            <w:tcW w:w="864" w:type="dxa"/>
          </w:tcPr>
          <w:p w14:paraId="6F930644" w14:textId="4B6E1D64" w:rsidR="00A17BBC" w:rsidRDefault="00A17BBC" w:rsidP="00C602AE">
            <w:pPr>
              <w:rPr>
                <w:sz w:val="20"/>
                <w:szCs w:val="20"/>
                <w:rtl/>
              </w:rPr>
            </w:pPr>
            <w:r>
              <w:rPr>
                <w:rFonts w:hint="cs"/>
                <w:sz w:val="20"/>
                <w:szCs w:val="20"/>
                <w:rtl/>
              </w:rPr>
              <w:t>11.9.2</w:t>
            </w:r>
          </w:p>
        </w:tc>
        <w:tc>
          <w:tcPr>
            <w:tcW w:w="810" w:type="dxa"/>
          </w:tcPr>
          <w:p w14:paraId="0965091A" w14:textId="3D534BFC" w:rsidR="00A17BBC" w:rsidRDefault="00A17BBC" w:rsidP="00C602AE">
            <w:pPr>
              <w:rPr>
                <w:sz w:val="20"/>
                <w:szCs w:val="20"/>
                <w:rtl/>
              </w:rPr>
            </w:pPr>
            <w:r>
              <w:rPr>
                <w:rFonts w:hint="cs"/>
                <w:sz w:val="20"/>
                <w:szCs w:val="20"/>
                <w:rtl/>
              </w:rPr>
              <w:t>תיק יסוד</w:t>
            </w:r>
          </w:p>
        </w:tc>
        <w:tc>
          <w:tcPr>
            <w:tcW w:w="2436" w:type="dxa"/>
          </w:tcPr>
          <w:p w14:paraId="5F00D091" w14:textId="2D56F657" w:rsidR="00A17BBC" w:rsidRDefault="00A17BBC" w:rsidP="00C602AE">
            <w:pPr>
              <w:rPr>
                <w:sz w:val="20"/>
                <w:szCs w:val="20"/>
                <w:rtl/>
              </w:rPr>
            </w:pPr>
            <w:r>
              <w:rPr>
                <w:rFonts w:hint="cs"/>
                <w:sz w:val="20"/>
                <w:szCs w:val="20"/>
                <w:rtl/>
              </w:rPr>
              <w:t>יש לשנות את מושג "יחידת הלימוד" ל"פעילות" על מנת להתאים את מונח הצה"לי</w:t>
            </w:r>
          </w:p>
        </w:tc>
        <w:tc>
          <w:tcPr>
            <w:tcW w:w="1531" w:type="dxa"/>
          </w:tcPr>
          <w:p w14:paraId="4529206B" w14:textId="17E21BE7" w:rsidR="00A17BBC" w:rsidRDefault="00A17BBC" w:rsidP="00C602AE">
            <w:pPr>
              <w:rPr>
                <w:sz w:val="20"/>
                <w:szCs w:val="20"/>
                <w:rtl/>
              </w:rPr>
            </w:pPr>
            <w:r>
              <w:rPr>
                <w:rFonts w:hint="cs"/>
                <w:sz w:val="20"/>
                <w:szCs w:val="20"/>
                <w:rtl/>
              </w:rPr>
              <w:t>יש  לעדכן במסמכי האפיון</w:t>
            </w:r>
          </w:p>
        </w:tc>
        <w:tc>
          <w:tcPr>
            <w:tcW w:w="1271" w:type="dxa"/>
          </w:tcPr>
          <w:p w14:paraId="72A3BF66" w14:textId="58552710" w:rsidR="00A17BBC" w:rsidRPr="00EC02E7" w:rsidRDefault="00A17BBC" w:rsidP="00C602AE">
            <w:pPr>
              <w:rPr>
                <w:b/>
                <w:bCs/>
                <w:sz w:val="20"/>
                <w:szCs w:val="20"/>
                <w:rtl/>
              </w:rPr>
            </w:pPr>
            <w:r w:rsidRPr="00EC02E7">
              <w:rPr>
                <w:rFonts w:hint="cs"/>
                <w:b/>
                <w:bCs/>
                <w:sz w:val="20"/>
                <w:szCs w:val="20"/>
                <w:rtl/>
              </w:rPr>
              <w:t>בריטניקה</w:t>
            </w:r>
          </w:p>
        </w:tc>
      </w:tr>
    </w:tbl>
    <w:p w14:paraId="25D2153E" w14:textId="77777777" w:rsidR="00C602AE" w:rsidRPr="0098576D" w:rsidRDefault="00EA7967" w:rsidP="0098576D">
      <w:pPr>
        <w:spacing w:line="360" w:lineRule="auto"/>
        <w:rPr>
          <w:sz w:val="24"/>
          <w:szCs w:val="24"/>
        </w:rPr>
      </w:pPr>
      <w:r>
        <w:rPr>
          <w:rFonts w:hint="cs"/>
          <w:sz w:val="24"/>
          <w:szCs w:val="24"/>
          <w:rtl/>
        </w:rPr>
        <w:tab/>
      </w:r>
    </w:p>
    <w:sectPr w:rsidR="00C602AE" w:rsidRPr="0098576D" w:rsidSect="002C28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835BF"/>
    <w:multiLevelType w:val="hybridMultilevel"/>
    <w:tmpl w:val="4A2E3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ECC560C"/>
    <w:multiLevelType w:val="hybridMultilevel"/>
    <w:tmpl w:val="CC906D4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101C67"/>
    <w:multiLevelType w:val="hybridMultilevel"/>
    <w:tmpl w:val="C674C75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CC9"/>
    <w:rsid w:val="000111C2"/>
    <w:rsid w:val="00083CC9"/>
    <w:rsid w:val="00202F81"/>
    <w:rsid w:val="0020577F"/>
    <w:rsid w:val="00262235"/>
    <w:rsid w:val="002C28BC"/>
    <w:rsid w:val="00324593"/>
    <w:rsid w:val="00335CAC"/>
    <w:rsid w:val="003409D6"/>
    <w:rsid w:val="003C18CA"/>
    <w:rsid w:val="00516B21"/>
    <w:rsid w:val="005212DB"/>
    <w:rsid w:val="00607D74"/>
    <w:rsid w:val="00625129"/>
    <w:rsid w:val="00650F5F"/>
    <w:rsid w:val="00700B32"/>
    <w:rsid w:val="007B7191"/>
    <w:rsid w:val="0081558E"/>
    <w:rsid w:val="00847D20"/>
    <w:rsid w:val="008B1BF0"/>
    <w:rsid w:val="008B761A"/>
    <w:rsid w:val="009052D6"/>
    <w:rsid w:val="0098576D"/>
    <w:rsid w:val="009E4439"/>
    <w:rsid w:val="00A17BBC"/>
    <w:rsid w:val="00AF6353"/>
    <w:rsid w:val="00BC146E"/>
    <w:rsid w:val="00BD6C20"/>
    <w:rsid w:val="00C602AE"/>
    <w:rsid w:val="00C74139"/>
    <w:rsid w:val="00CD317B"/>
    <w:rsid w:val="00D5437E"/>
    <w:rsid w:val="00EA7967"/>
    <w:rsid w:val="00EC02E7"/>
    <w:rsid w:val="00F85352"/>
    <w:rsid w:val="00F950A2"/>
    <w:rsid w:val="00FF387C"/>
    <w:rsid w:val="5B08A8AE"/>
    <w:rsid w:val="62B6956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C9"/>
    <w:pPr>
      <w:ind w:left="720"/>
      <w:contextualSpacing/>
    </w:pPr>
  </w:style>
  <w:style w:type="table" w:styleId="TableGrid">
    <w:name w:val="Table Grid"/>
    <w:basedOn w:val="TableNormal"/>
    <w:uiPriority w:val="59"/>
    <w:rsid w:val="00C6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9D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CC9"/>
    <w:pPr>
      <w:ind w:left="720"/>
      <w:contextualSpacing/>
    </w:pPr>
  </w:style>
  <w:style w:type="table" w:styleId="TableGrid">
    <w:name w:val="Table Grid"/>
    <w:basedOn w:val="TableNormal"/>
    <w:uiPriority w:val="59"/>
    <w:rsid w:val="00C602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Eitan</dc:creator>
  <cp:lastModifiedBy>user</cp:lastModifiedBy>
  <cp:revision>2</cp:revision>
  <dcterms:created xsi:type="dcterms:W3CDTF">2015-02-01T15:58:00Z</dcterms:created>
  <dcterms:modified xsi:type="dcterms:W3CDTF">2015-02-01T15:58:00Z</dcterms:modified>
</cp:coreProperties>
</file>