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bookmarkStart w:id="0" w:name="_GoBack"/>
      <w:bookmarkEnd w:id="0"/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960AE4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E722E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מבל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7D2057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086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960A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כ"ג בחשון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960A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60A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בנובמבר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722E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2019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960AE4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E722E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מבל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7D2057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086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960A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כ"ג בחשון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960A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21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60A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בנובמבר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722E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2019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6D288E" w:rsidRDefault="00960AE4" w:rsidP="008E1185">
      <w:pPr>
        <w:tabs>
          <w:tab w:val="left" w:pos="1721"/>
        </w:tabs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סגל מב"ל</w:t>
      </w:r>
    </w:p>
    <w:p w:rsidR="00960AE4" w:rsidRPr="00960AE4" w:rsidRDefault="00960AE4" w:rsidP="008E1185">
      <w:pPr>
        <w:tabs>
          <w:tab w:val="left" w:pos="1721"/>
        </w:tabs>
        <w:rPr>
          <w:rFonts w:ascii="David" w:hAnsi="David" w:cs="David"/>
          <w:b/>
          <w:bCs/>
          <w:sz w:val="24"/>
          <w:szCs w:val="24"/>
          <w:rtl/>
        </w:rPr>
      </w:pPr>
      <w:r w:rsidRPr="00960AE4">
        <w:rPr>
          <w:rFonts w:ascii="David" w:hAnsi="David" w:cs="David" w:hint="cs"/>
          <w:b/>
          <w:bCs/>
          <w:sz w:val="24"/>
          <w:szCs w:val="24"/>
          <w:rtl/>
        </w:rPr>
        <w:t>מפקד המכללות</w:t>
      </w: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8E1185" w:rsidRDefault="008E1185" w:rsidP="008E1185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Default="006D288E" w:rsidP="00960AE4">
      <w:pPr>
        <w:jc w:val="center"/>
        <w:rPr>
          <w:rFonts w:ascii="David" w:hAnsi="David" w:cs="David"/>
          <w:sz w:val="24"/>
          <w:szCs w:val="24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960AE4">
        <w:rPr>
          <w:rFonts w:ascii="David" w:hAnsi="David" w:cs="David" w:hint="cs"/>
          <w:b/>
          <w:bCs/>
          <w:sz w:val="28"/>
          <w:szCs w:val="28"/>
          <w:u w:val="single"/>
          <w:rtl/>
        </w:rPr>
        <w:t>סיכום התייחסות משתתפים לסמינר אירופה</w:t>
      </w:r>
    </w:p>
    <w:p w:rsidR="008E1185" w:rsidRDefault="008E1185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D01AC" w:rsidRDefault="00960AE4" w:rsidP="00437F36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ביום חמישי, ה-21 בנובמבר 2019 התקיים סיכום סמינר אירופה למשתתפי המב"</w:t>
      </w:r>
      <w:r w:rsidR="005B62F9">
        <w:rPr>
          <w:rFonts w:ascii="David" w:hAnsi="David" w:cs="David" w:hint="cs"/>
          <w:sz w:val="24"/>
          <w:szCs w:val="24"/>
          <w:rtl/>
        </w:rPr>
        <w:t>ל בהובלת המד"רית, להלן סיכום עי</w:t>
      </w:r>
      <w:r>
        <w:rPr>
          <w:rFonts w:ascii="David" w:hAnsi="David" w:cs="David" w:hint="cs"/>
          <w:sz w:val="24"/>
          <w:szCs w:val="24"/>
          <w:rtl/>
        </w:rPr>
        <w:t>קרי ההתייחסויות שהועלו על ידי המשתתפים:</w:t>
      </w:r>
    </w:p>
    <w:p w:rsidR="00494C7F" w:rsidRPr="00C76321" w:rsidRDefault="00494C7F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אופיר ליויוס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Pr="00C7632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494C7F" w:rsidRDefault="00494C7F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גיוון הדוברים והמפגשים ראוי לציון ולהערכה. </w:t>
      </w:r>
    </w:p>
    <w:p w:rsidR="00960AE4" w:rsidRDefault="00494C7F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עבודה בקבוצות קטנות מהווה מתודת למידה איכותית המתאימה לבכירים. </w:t>
      </w:r>
    </w:p>
    <w:p w:rsidR="00494C7F" w:rsidRPr="00C76321" w:rsidRDefault="00494C7F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עמית ימין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Pr="00C7632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494C7F" w:rsidRDefault="00494C7F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מתודת הלימוד מצוינת. </w:t>
      </w:r>
    </w:p>
    <w:p w:rsidR="00494C7F" w:rsidRDefault="00494C7F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הגיוון במדינות השונות והחקירה המובנת היתה טובה מאד, והביאה לידי ביטוי לקחים משנים קודמות. </w:t>
      </w:r>
    </w:p>
    <w:p w:rsidR="00494C7F" w:rsidRDefault="00494C7F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בקבוצת קפריסין, נכון היה לעבור גם לצד הטורקי, ולכל הפחות להיפגש עם גורמים טורקיים רשמיים, על מנת לקבל הבנה מקיפה ומאוזנת יותר אודות הסכסוך באי. </w:t>
      </w:r>
    </w:p>
    <w:p w:rsidR="00494C7F" w:rsidRPr="00494C7F" w:rsidRDefault="005B62F9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באיחוד האירופי ובנאט"ו, היה נ</w:t>
      </w:r>
      <w:r w:rsidR="00494C7F">
        <w:rPr>
          <w:rFonts w:ascii="David" w:hAnsi="David" w:cs="David" w:hint="cs"/>
          <w:sz w:val="24"/>
          <w:szCs w:val="24"/>
          <w:rtl/>
        </w:rPr>
        <w:t xml:space="preserve">כון יותר לתת מבואות משותפים לכולם, ולאפשר המשך למידה בקבוצות סביב תחומי העניין שעסקו בהם במדינות השונות. </w:t>
      </w:r>
    </w:p>
    <w:p w:rsidR="00494C7F" w:rsidRPr="00C76321" w:rsidRDefault="00494C7F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סימה שפיצר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Pr="00C7632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C42491" w:rsidRDefault="00C42491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חשוב מאד היציאה מהמליאה והסיור ב"שטח" באמצעות הרגליים. </w:t>
      </w:r>
    </w:p>
    <w:p w:rsidR="00C42491" w:rsidRDefault="00C42491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שאלה גדולה האם קפריסין היא מדינה המתאימה לסיור באירופה, שכן היא אמנם שייכת לאיחוד האירופי, אולם היא סובלת מבעיות ומאתגרים מזרח תיכוניים. </w:t>
      </w:r>
    </w:p>
    <w:p w:rsidR="00C42491" w:rsidRDefault="003708C0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את ההכנות למפגשים בבריסל היה כדאי לעשות באופן אחר, בקבוצות קטנות או במתודות אחרות. </w:t>
      </w:r>
    </w:p>
    <w:p w:rsidR="003708C0" w:rsidRPr="003708C0" w:rsidRDefault="003708C0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היה צריך לעמוד על ההבדלים שבין נאט"ו לבין האיחוד האירופי בהקשר היחס לישראל. </w:t>
      </w:r>
    </w:p>
    <w:p w:rsidR="00494C7F" w:rsidRPr="00C76321" w:rsidRDefault="00494C7F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76321"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רם ארז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3708C0" w:rsidRDefault="003708C0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עבודה בצוותים מצויינת, תהליך הטעינה היה טוב מאד. </w:t>
      </w:r>
    </w:p>
    <w:p w:rsidR="003708C0" w:rsidRDefault="003708C0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את הביקור בבריסל ניתן היה להמשיך עם אותה שאלת מחקר בהתאם לצוותים,</w:t>
      </w:r>
      <w:r w:rsidR="005B62F9">
        <w:rPr>
          <w:rFonts w:ascii="David" w:hAnsi="David" w:cs="David" w:hint="cs"/>
          <w:sz w:val="24"/>
          <w:szCs w:val="24"/>
          <w:rtl/>
        </w:rPr>
        <w:t xml:space="preserve"> מהזווית של הא"א,</w:t>
      </w:r>
      <w:r>
        <w:rPr>
          <w:rFonts w:ascii="David" w:hAnsi="David" w:cs="David" w:hint="cs"/>
          <w:sz w:val="24"/>
          <w:szCs w:val="24"/>
          <w:rtl/>
        </w:rPr>
        <w:t xml:space="preserve"> וזה היה הופך את הביקור למשמעותי יותר. </w:t>
      </w:r>
    </w:p>
    <w:p w:rsidR="003708C0" w:rsidRDefault="003708C0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תהליך העיבוד בתום הסיור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לבנה מרכזית שחסרה. </w:t>
      </w:r>
    </w:p>
    <w:p w:rsidR="00494C7F" w:rsidRPr="00C76321" w:rsidRDefault="00494C7F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נדב תורג'מן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3708C0" w:rsidRDefault="003708C0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מתודת העבודה בקבוצות קטנות וסביב שאלת מחקר היא מתודה מצוינת. </w:t>
      </w:r>
    </w:p>
    <w:p w:rsidR="003708C0" w:rsidRDefault="003708C0" w:rsidP="005B62F9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ניתן פרק זמן קצר מאד לגיבוש שאלת המחקר, מה שקיבע את הצוות בהמשך תהליך הלמידה</w:t>
      </w:r>
      <w:r w:rsidR="005B62F9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ייתכן שניתן היה להגיע לחקירה טובה יותר אילו היה ניתן זמן רב יותר לניסוח שאלת המחקר.  </w:t>
      </w:r>
    </w:p>
    <w:p w:rsidR="003708C0" w:rsidRDefault="003708C0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ההיערכות המנהלתית לסיור היתה טובה ובסך הכל ניכר שחרף המורכבות הכרוכה בפיצול המב"ל לאר</w:t>
      </w:r>
      <w:r w:rsidR="005B62F9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 xml:space="preserve">עה יעדים שונים, הלוגיסטיקה היתה במיטבה. </w:t>
      </w:r>
    </w:p>
    <w:p w:rsidR="003708C0" w:rsidRDefault="003708C0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באיחוד האירופי רצוי להביא גם דוברים ביקורתיים כלפי מדינת ישראל ומדיניותה. </w:t>
      </w:r>
    </w:p>
    <w:p w:rsidR="00BE70BB" w:rsidRDefault="00BE70BB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היה חסר תחקיר צוותי על הסיור.</w:t>
      </w:r>
    </w:p>
    <w:p w:rsidR="003708C0" w:rsidRDefault="003708C0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ניתן לקצר במעט את השהות בבריסל </w:t>
      </w:r>
      <w:r w:rsidR="005B62F9">
        <w:rPr>
          <w:rFonts w:ascii="David" w:hAnsi="David" w:cs="David" w:hint="cs"/>
          <w:sz w:val="24"/>
          <w:szCs w:val="24"/>
          <w:rtl/>
        </w:rPr>
        <w:t>(ליום) ולהוסיף זמן לסיור המ</w:t>
      </w:r>
      <w:r>
        <w:rPr>
          <w:rFonts w:ascii="David" w:hAnsi="David" w:cs="David" w:hint="cs"/>
          <w:sz w:val="24"/>
          <w:szCs w:val="24"/>
          <w:rtl/>
        </w:rPr>
        <w:t xml:space="preserve">פוצל בקבוצות. </w:t>
      </w:r>
    </w:p>
    <w:p w:rsidR="00494C7F" w:rsidRPr="00C76321" w:rsidRDefault="00494C7F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נורית קדוש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3708C0" w:rsidRDefault="003708C0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רצוי להתעקש לשמוע גם דוברים ביקורתיים כלפי מדינת ישראל, במיוחד בבריסל. </w:t>
      </w:r>
    </w:p>
    <w:p w:rsidR="003708C0" w:rsidRDefault="003708C0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תהליך ההכנה והאחריות שניתנה למשתתפים א</w:t>
      </w:r>
      <w:r w:rsidR="00BE70BB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פשרה עצמאות רבה ולמידה טובה יותר. </w:t>
      </w:r>
    </w:p>
    <w:p w:rsidR="00C76321" w:rsidRDefault="00C76321" w:rsidP="00C76321">
      <w:pPr>
        <w:pStyle w:val="a3"/>
        <w:spacing w:line="360" w:lineRule="auto"/>
        <w:ind w:left="2880"/>
        <w:jc w:val="both"/>
        <w:rPr>
          <w:rFonts w:ascii="David" w:hAnsi="David" w:cs="David"/>
          <w:sz w:val="24"/>
          <w:szCs w:val="24"/>
        </w:rPr>
      </w:pPr>
    </w:p>
    <w:p w:rsidR="00DB0D7B" w:rsidRPr="00DB0D7B" w:rsidRDefault="003708C0" w:rsidP="00DB0D7B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לידיעתכם. </w:t>
      </w:r>
    </w:p>
    <w:p w:rsidR="00B15567" w:rsidRPr="00B15567" w:rsidRDefault="00B15567" w:rsidP="00C4589B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בברכה,</w:t>
      </w:r>
    </w:p>
    <w:p w:rsidR="005D01AC" w:rsidRDefault="005D01AC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D288E" w:rsidRPr="00B57255" w:rsidRDefault="006D288E" w:rsidP="00C4589B">
      <w:pPr>
        <w:spacing w:line="360" w:lineRule="auto"/>
        <w:rPr>
          <w:rFonts w:cs="David"/>
          <w:sz w:val="24"/>
          <w:szCs w:val="24"/>
          <w:rtl/>
        </w:rPr>
      </w:pPr>
    </w:p>
    <w:p w:rsidR="006D288E" w:rsidRPr="00B57255" w:rsidRDefault="00624E2B" w:rsidP="00624E2B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סא"ל</w:t>
      </w:r>
      <w:r>
        <w:rPr>
          <w:rFonts w:cs="David" w:hint="cs"/>
          <w:b/>
          <w:bCs/>
          <w:sz w:val="24"/>
          <w:szCs w:val="24"/>
          <w:rtl/>
        </w:rPr>
        <w:t xml:space="preserve">, </w:t>
      </w:r>
      <w:r w:rsidRPr="003473E7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  מתן אור</w:t>
      </w:r>
    </w:p>
    <w:p w:rsidR="00EB3FE3" w:rsidRPr="002D48A3" w:rsidRDefault="00624E2B" w:rsidP="00C4589B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ר' ענף</w:t>
      </w:r>
      <w:r w:rsidR="00A95001">
        <w:rPr>
          <w:rFonts w:cs="David" w:hint="cs"/>
          <w:sz w:val="24"/>
          <w:szCs w:val="24"/>
          <w:rtl/>
        </w:rPr>
        <w:t xml:space="preserve">      הדרכה</w:t>
      </w: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63B64"/>
    <w:rsid w:val="00117FFA"/>
    <w:rsid w:val="001770FE"/>
    <w:rsid w:val="001B092D"/>
    <w:rsid w:val="001B7328"/>
    <w:rsid w:val="002419BE"/>
    <w:rsid w:val="00254FEA"/>
    <w:rsid w:val="002D48A3"/>
    <w:rsid w:val="00306B53"/>
    <w:rsid w:val="00341FF5"/>
    <w:rsid w:val="003708C0"/>
    <w:rsid w:val="0038484F"/>
    <w:rsid w:val="003A7CBA"/>
    <w:rsid w:val="003C0EFC"/>
    <w:rsid w:val="003D1219"/>
    <w:rsid w:val="003D49E8"/>
    <w:rsid w:val="004303BB"/>
    <w:rsid w:val="00437F36"/>
    <w:rsid w:val="004905FD"/>
    <w:rsid w:val="00494C7F"/>
    <w:rsid w:val="004B1B5B"/>
    <w:rsid w:val="004C3511"/>
    <w:rsid w:val="004E21BF"/>
    <w:rsid w:val="004E2374"/>
    <w:rsid w:val="005300A4"/>
    <w:rsid w:val="00557356"/>
    <w:rsid w:val="00566F71"/>
    <w:rsid w:val="005B62F9"/>
    <w:rsid w:val="005D01AC"/>
    <w:rsid w:val="00624E2B"/>
    <w:rsid w:val="00682B82"/>
    <w:rsid w:val="006D1FA9"/>
    <w:rsid w:val="006D288E"/>
    <w:rsid w:val="006F0942"/>
    <w:rsid w:val="00736085"/>
    <w:rsid w:val="00760AAE"/>
    <w:rsid w:val="007618EB"/>
    <w:rsid w:val="00781A94"/>
    <w:rsid w:val="00793AA0"/>
    <w:rsid w:val="007B4209"/>
    <w:rsid w:val="007B4EED"/>
    <w:rsid w:val="007D2057"/>
    <w:rsid w:val="007D3712"/>
    <w:rsid w:val="008731FD"/>
    <w:rsid w:val="00887835"/>
    <w:rsid w:val="008953E1"/>
    <w:rsid w:val="008A75A7"/>
    <w:rsid w:val="008C5E5F"/>
    <w:rsid w:val="008E1185"/>
    <w:rsid w:val="008F281E"/>
    <w:rsid w:val="00925471"/>
    <w:rsid w:val="00960AE4"/>
    <w:rsid w:val="00964EAE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A43FB"/>
    <w:rsid w:val="00BD0638"/>
    <w:rsid w:val="00BD3C14"/>
    <w:rsid w:val="00BE657F"/>
    <w:rsid w:val="00BE6BC3"/>
    <w:rsid w:val="00BE70BB"/>
    <w:rsid w:val="00BF4B10"/>
    <w:rsid w:val="00C1646A"/>
    <w:rsid w:val="00C42491"/>
    <w:rsid w:val="00C4589B"/>
    <w:rsid w:val="00C76321"/>
    <w:rsid w:val="00CE5D5C"/>
    <w:rsid w:val="00D01F1B"/>
    <w:rsid w:val="00D221DB"/>
    <w:rsid w:val="00D367A3"/>
    <w:rsid w:val="00D64D75"/>
    <w:rsid w:val="00DB0D7B"/>
    <w:rsid w:val="00E12935"/>
    <w:rsid w:val="00E70018"/>
    <w:rsid w:val="00E722E9"/>
    <w:rsid w:val="00EB3FE3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00C594-8F0B-4FF5-9AE1-D5FA0982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40BA3-3960-4A97-AA37-FDE504A6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2</cp:revision>
  <cp:lastPrinted>2017-09-06T08:41:00Z</cp:lastPrinted>
  <dcterms:created xsi:type="dcterms:W3CDTF">2019-11-22T12:32:00Z</dcterms:created>
  <dcterms:modified xsi:type="dcterms:W3CDTF">2019-11-22T12:32:00Z</dcterms:modified>
</cp:coreProperties>
</file>