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F8" w:rsidRDefault="00CC4BF8">
      <w:pPr>
        <w:rPr>
          <w:rtl/>
        </w:rPr>
      </w:pPr>
    </w:p>
    <w:p w:rsidR="006964B9" w:rsidRDefault="006964B9" w:rsidP="006964B9">
      <w:pPr>
        <w:jc w:val="center"/>
        <w:rPr>
          <w:rtl/>
        </w:rPr>
      </w:pPr>
      <w:r>
        <w:rPr>
          <w:rFonts w:hint="cs"/>
          <w:bCs/>
          <w:sz w:val="40"/>
          <w:szCs w:val="40"/>
          <w:rtl/>
        </w:rPr>
        <w:t>סיכום פגישה – מתגייסים ברשת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6964B9" w:rsidTr="00C865B3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6964B9" w:rsidRDefault="006964B9" w:rsidP="00C865B3">
            <w:p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964B9" w:rsidRDefault="006964B9" w:rsidP="00C865B3">
            <w:p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12.8.2015</w:t>
            </w:r>
          </w:p>
        </w:tc>
      </w:tr>
      <w:tr w:rsidR="006964B9" w:rsidTr="00C865B3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6964B9" w:rsidRDefault="006964B9" w:rsidP="00C865B3">
            <w:p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964B9" w:rsidRDefault="006964B9" w:rsidP="00C865B3">
            <w:pPr>
              <w:tabs>
                <w:tab w:val="left" w:pos="1592"/>
              </w:tabs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מטריקס: יזהר, אודי</w:t>
            </w:r>
          </w:p>
          <w:p w:rsidR="006964B9" w:rsidRDefault="006964B9" w:rsidP="00C865B3">
            <w:pPr>
              <w:tabs>
                <w:tab w:val="left" w:pos="1592"/>
              </w:tabs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צהל: אלעזר</w:t>
            </w:r>
            <w:r w:rsidR="001601ED">
              <w:rPr>
                <w:rFonts w:ascii="Arial" w:hAnsi="Arial" w:cs="Arial" w:hint="cs"/>
                <w:rtl/>
                <w:lang w:eastAsia="he-IL"/>
              </w:rPr>
              <w:t xml:space="preserve"> שטרן</w:t>
            </w:r>
            <w:r>
              <w:rPr>
                <w:rFonts w:ascii="Arial" w:hAnsi="Arial" w:cs="Arial" w:hint="cs"/>
                <w:rtl/>
                <w:lang w:eastAsia="he-IL"/>
              </w:rPr>
              <w:t>, צביקה</w:t>
            </w:r>
            <w:r w:rsidR="001601ED">
              <w:rPr>
                <w:rFonts w:ascii="Arial" w:hAnsi="Arial" w:cs="Arial" w:hint="cs"/>
                <w:rtl/>
                <w:lang w:eastAsia="he-IL"/>
              </w:rPr>
              <w:t xml:space="preserve"> זכריה </w:t>
            </w:r>
            <w:r>
              <w:rPr>
                <w:rFonts w:ascii="Arial" w:hAnsi="Arial" w:cs="Arial" w:hint="cs"/>
                <w:rtl/>
                <w:lang w:eastAsia="he-IL"/>
              </w:rPr>
              <w:t>, קרן</w:t>
            </w:r>
          </w:p>
          <w:p w:rsidR="006964B9" w:rsidRDefault="006964B9" w:rsidP="00C865B3">
            <w:pPr>
              <w:tabs>
                <w:tab w:val="left" w:pos="1592"/>
              </w:tabs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ממש"ז: אלעד פז, נגה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וולקר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>, עודד פוקס.</w:t>
            </w:r>
          </w:p>
        </w:tc>
      </w:tr>
      <w:tr w:rsidR="006964B9" w:rsidTr="00C865B3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6964B9" w:rsidRDefault="006964B9" w:rsidP="00C865B3">
            <w:p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964B9" w:rsidRDefault="001601ED" w:rsidP="00C865B3">
            <w:pPr>
              <w:spacing w:before="120" w:line="360" w:lineRule="auto"/>
              <w:jc w:val="both"/>
              <w:rPr>
                <w:rFonts w:ascii="Arial" w:hAnsi="Arial" w:cs="Arial" w:hint="cs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מאיר + נוגה</w:t>
            </w:r>
          </w:p>
        </w:tc>
      </w:tr>
    </w:tbl>
    <w:p w:rsidR="006964B9" w:rsidRDefault="006964B9">
      <w:pPr>
        <w:rPr>
          <w:rtl/>
        </w:rPr>
      </w:pPr>
    </w:p>
    <w:p w:rsidR="001601ED" w:rsidRDefault="001601ED">
      <w:pPr>
        <w:rPr>
          <w:rtl/>
        </w:rPr>
      </w:pP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6964B9" w:rsidTr="00C865B3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6964B9" w:rsidRDefault="006964B9" w:rsidP="00C865B3">
            <w:pPr>
              <w:pStyle w:val="TableHeadings"/>
              <w:jc w:val="both"/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6964B9" w:rsidRDefault="006964B9" w:rsidP="00C865B3">
            <w:pPr>
              <w:pStyle w:val="TableHeadings"/>
              <w:jc w:val="both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6964B9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6964B9" w:rsidRDefault="006964B9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התקיים דיון בו מטריקס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הציגו </w:t>
            </w:r>
            <w:r>
              <w:rPr>
                <w:rFonts w:ascii="Arial" w:hAnsi="Arial" w:cs="Arial" w:hint="cs"/>
                <w:rtl/>
                <w:lang w:eastAsia="he-IL"/>
              </w:rPr>
              <w:t>ארכיטקטורה של אתר מתגייסים ברשת אשר מבוסס על תשתית אשר המילואים.</w:t>
            </w:r>
          </w:p>
          <w:p w:rsidR="001601ED" w:rsidRDefault="001601ED" w:rsidP="001601ED">
            <w:pPr>
              <w:pStyle w:val="TableHeadings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  <w:lang w:eastAsia="he-IL"/>
              </w:rPr>
              <w:t>אתר מתגייסים ברשת אמור להחליף את אתר עולים על מדים הישן</w:t>
            </w:r>
            <w:r>
              <w:rPr>
                <w:rFonts w:hint="cs"/>
                <w:rtl/>
                <w:lang w:eastAsia="he-IL"/>
              </w:rPr>
              <w:t>.</w:t>
            </w:r>
          </w:p>
        </w:tc>
      </w:tr>
      <w:tr w:rsidR="006964B9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6964B9" w:rsidRDefault="006964B9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2599" w:rsidRDefault="001601ED" w:rsidP="001601ED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 w:rsidRPr="00402599">
              <w:rPr>
                <w:rFonts w:ascii="Arial" w:hAnsi="Arial" w:cs="Arial" w:hint="cs"/>
                <w:b/>
                <w:bCs/>
                <w:rtl/>
                <w:lang w:eastAsia="he-IL"/>
              </w:rPr>
              <w:t>הזדהות למערכת:</w:t>
            </w:r>
          </w:p>
          <w:p w:rsidR="001601ED" w:rsidRPr="001601ED" w:rsidRDefault="001601ED" w:rsidP="004025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 w:rsidRPr="001601ED">
              <w:rPr>
                <w:rFonts w:ascii="Arial" w:hAnsi="Arial" w:cs="Arial" w:hint="cs"/>
                <w:rtl/>
                <w:lang w:eastAsia="he-IL"/>
              </w:rPr>
              <w:t xml:space="preserve"> פרטי ההזדהות למערכת יישלחו למיועדים לגיוס ב-2 אופנים, דוא</w:t>
            </w:r>
            <w:r w:rsidR="00402599">
              <w:rPr>
                <w:rFonts w:ascii="Arial" w:hAnsi="Arial" w:cs="Arial" w:hint="cs"/>
                <w:rtl/>
                <w:lang w:eastAsia="he-IL"/>
              </w:rPr>
              <w:t>"</w:t>
            </w:r>
            <w:r w:rsidRPr="001601ED">
              <w:rPr>
                <w:rFonts w:ascii="Arial" w:hAnsi="Arial" w:cs="Arial" w:hint="cs"/>
                <w:rtl/>
                <w:lang w:eastAsia="he-IL"/>
              </w:rPr>
              <w:t>ל ואו במסמך רשמי אשר יישלח למתגייס.</w:t>
            </w:r>
          </w:p>
          <w:p w:rsidR="006964B9" w:rsidRPr="001601ED" w:rsidRDefault="001601ED" w:rsidP="004025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 w:rsidRPr="001601ED">
              <w:rPr>
                <w:rFonts w:ascii="Arial" w:hAnsi="Arial" w:cs="Arial" w:hint="cs"/>
                <w:rtl/>
                <w:lang w:eastAsia="he-IL"/>
              </w:rPr>
              <w:t>הסיסמא תכיל 3 שדות: שם משתמש, דוא"ל, סיסמא</w:t>
            </w:r>
          </w:p>
          <w:p w:rsidR="001601ED" w:rsidRDefault="001601ED" w:rsidP="004025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 w:rsidRPr="001601ED">
              <w:rPr>
                <w:rFonts w:ascii="Arial" w:hAnsi="Arial" w:cs="Arial" w:hint="cs"/>
                <w:rtl/>
                <w:lang w:eastAsia="he-IL"/>
              </w:rPr>
              <w:t>בשונה מתהליך הזיהוי נכון להיום לא יתבצע תהליך זיהוי של משתמשים ב-</w:t>
            </w:r>
            <w:r w:rsidRPr="001601ED">
              <w:rPr>
                <w:rFonts w:ascii="Arial" w:hAnsi="Arial" w:cs="Arial" w:hint="cs"/>
                <w:lang w:eastAsia="he-IL"/>
              </w:rPr>
              <w:t>WS</w:t>
            </w:r>
            <w:r w:rsidRPr="001601ED">
              <w:rPr>
                <w:rFonts w:ascii="Arial" w:hAnsi="Arial" w:cs="Arial" w:hint="cs"/>
                <w:rtl/>
                <w:lang w:eastAsia="he-IL"/>
              </w:rPr>
              <w:t xml:space="preserve"> אל מול הצד האדום.</w:t>
            </w:r>
          </w:p>
          <w:p w:rsidR="00402599" w:rsidRPr="001601ED" w:rsidRDefault="00402599" w:rsidP="004025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צוות אבט"מ העלה דרישה להוסיף זיהוי באמצעות </w:t>
            </w:r>
            <w:r>
              <w:rPr>
                <w:rFonts w:ascii="Arial" w:hAnsi="Arial" w:cs="Arial" w:hint="cs"/>
                <w:lang w:eastAsia="he-IL"/>
              </w:rPr>
              <w:t>OTP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עבור כל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מלש"ב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>.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אורך חיי רשומה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לאורך תהליך הגיוס של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משל"ב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 xml:space="preserve"> ועד שנתיים אחריו תישמר רשומת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המלש"ב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 xml:space="preserve"> בבסיס הנתונים של אתר מתגייסים ברשת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תהליך שמירת מידע המשתמש עבר להתייחסות של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מחב"מ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 xml:space="preserve">, צוות אבט"מ בממש"ז אמור לקבל אפיון המערכת המלא בכדי להבין האם נדרש לקבל אישור של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רמו"ט</w:t>
            </w:r>
            <w:proofErr w:type="spellEnd"/>
            <w:r w:rsidR="00402599">
              <w:rPr>
                <w:rFonts w:ascii="Arial" w:hAnsi="Arial" w:cs="Arial" w:hint="cs"/>
                <w:rtl/>
                <w:lang w:eastAsia="he-IL"/>
              </w:rPr>
              <w:t xml:space="preserve"> במשרד המשפטים</w:t>
            </w:r>
            <w:r>
              <w:rPr>
                <w:rFonts w:ascii="Arial" w:hAnsi="Arial" w:cs="Arial" w:hint="cs"/>
                <w:rtl/>
                <w:lang w:eastAsia="he-IL"/>
              </w:rPr>
              <w:t>.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2599" w:rsidRDefault="001601ED" w:rsidP="00402599">
            <w:p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 w:rsidRPr="00077A52">
              <w:rPr>
                <w:rFonts w:ascii="Arial" w:hAnsi="Arial" w:cs="Arial" w:hint="cs"/>
                <w:b/>
                <w:bCs/>
                <w:rtl/>
                <w:lang w:eastAsia="he-IL"/>
              </w:rPr>
              <w:t>ניהול דוחות עבור מנהלי אתר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402599" w:rsidRPr="00402599" w:rsidRDefault="001601ED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rtl/>
                <w:lang w:eastAsia="he-IL"/>
              </w:rPr>
              <w:t>נדרש</w:t>
            </w:r>
            <w:r w:rsidR="00402599">
              <w:rPr>
                <w:rFonts w:ascii="Arial" w:hAnsi="Arial" w:cs="Arial" w:hint="cs"/>
                <w:rtl/>
                <w:lang w:eastAsia="he-IL"/>
              </w:rPr>
              <w:t xml:space="preserve"> לבצע </w:t>
            </w:r>
            <w:r w:rsidRPr="00402599">
              <w:rPr>
                <w:rFonts w:ascii="Arial" w:hAnsi="Arial" w:cs="Arial" w:hint="cs"/>
                <w:rtl/>
                <w:lang w:eastAsia="he-IL"/>
              </w:rPr>
              <w:t xml:space="preserve">הפרדה של כל התהליך מבסיס הנתונים של אתר הייצור, דרישה זו </w:t>
            </w:r>
            <w:r w:rsidR="00402599">
              <w:rPr>
                <w:rFonts w:ascii="Arial" w:hAnsi="Arial" w:cs="Arial" w:hint="cs"/>
                <w:rtl/>
                <w:lang w:eastAsia="he-IL"/>
              </w:rPr>
              <w:t>הועלתה כ</w:t>
            </w:r>
            <w:r w:rsidRPr="00402599">
              <w:rPr>
                <w:rFonts w:ascii="Arial" w:hAnsi="Arial" w:cs="Arial" w:hint="cs"/>
                <w:rtl/>
                <w:lang w:eastAsia="he-IL"/>
              </w:rPr>
              <w:t>תנאי בסיסי על ידי צוות אבט"מ</w:t>
            </w:r>
            <w:r w:rsidR="00402599">
              <w:rPr>
                <w:rFonts w:ascii="Arial" w:hAnsi="Arial" w:cs="Arial" w:hint="cs"/>
                <w:rtl/>
                <w:lang w:eastAsia="he-IL"/>
              </w:rPr>
              <w:t>.</w:t>
            </w:r>
            <w:r w:rsidR="00402599" w:rsidRPr="00402599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1601ED" w:rsidRPr="00402599" w:rsidRDefault="00402599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rtl/>
                <w:lang w:eastAsia="he-IL"/>
              </w:rPr>
              <w:t xml:space="preserve">צה"ל ביקש לאפשר גישה לדוחות המצ"ב מעמדה מרוחקת אשר תתוקן בצה"ל עם </w:t>
            </w:r>
            <w:r w:rsidRPr="00402599">
              <w:rPr>
                <w:rFonts w:ascii="Arial" w:hAnsi="Arial" w:cs="Arial" w:hint="cs"/>
                <w:lang w:eastAsia="he-IL"/>
              </w:rPr>
              <w:t>VPN</w:t>
            </w:r>
            <w:r w:rsidRPr="00402599">
              <w:rPr>
                <w:rFonts w:ascii="Arial" w:hAnsi="Arial" w:cs="Arial" w:hint="cs"/>
                <w:rtl/>
                <w:lang w:eastAsia="he-IL"/>
              </w:rPr>
              <w:t xml:space="preserve"> לאתר, צוות אבט"מ ייתן את המענה שלו לדרישה מצ"ב.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Pr="00402599" w:rsidRDefault="001601ED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rtl/>
                <w:lang w:eastAsia="he-IL"/>
              </w:rPr>
              <w:t xml:space="preserve">הלקוח מבצע שימוש במערכת חוקה אשר תאפשר לצה"ל לשנות על בסיס ניהולי את חוקת המערכת אשר תוגדר </w:t>
            </w:r>
            <w:proofErr w:type="spellStart"/>
            <w:r w:rsidRPr="00402599">
              <w:rPr>
                <w:rFonts w:ascii="Arial" w:hAnsi="Arial" w:cs="Arial" w:hint="cs"/>
                <w:rtl/>
                <w:lang w:eastAsia="he-IL"/>
              </w:rPr>
              <w:t>במיט"ב</w:t>
            </w:r>
            <w:proofErr w:type="spellEnd"/>
            <w:r w:rsidRPr="00402599">
              <w:rPr>
                <w:rFonts w:ascii="Arial" w:hAnsi="Arial" w:cs="Arial" w:hint="cs"/>
                <w:rtl/>
                <w:lang w:eastAsia="he-IL"/>
              </w:rPr>
              <w:t>, גם עבור נושא זה נדרש לתת מענה של צוות אבט"מ לדרישה המצ"ב.</w:t>
            </w:r>
          </w:p>
          <w:p w:rsidR="00402599" w:rsidRPr="00402599" w:rsidRDefault="00402599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rtl/>
                <w:lang w:eastAsia="he-IL"/>
              </w:rPr>
              <w:t>ה</w:t>
            </w:r>
            <w:r w:rsidR="001601ED" w:rsidRPr="00402599">
              <w:rPr>
                <w:rFonts w:ascii="Arial" w:hAnsi="Arial" w:cs="Arial" w:hint="cs"/>
                <w:rtl/>
                <w:lang w:eastAsia="he-IL"/>
              </w:rPr>
              <w:t>-</w:t>
            </w:r>
            <w:r w:rsidRPr="00402599">
              <w:rPr>
                <w:rFonts w:ascii="Arial" w:hAnsi="Arial" w:cs="Arial"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lang w:eastAsia="he-IL"/>
              </w:rPr>
              <w:t>B</w:t>
            </w:r>
            <w:r w:rsidRPr="00402599">
              <w:rPr>
                <w:rFonts w:ascii="Arial" w:hAnsi="Arial" w:cs="Arial"/>
                <w:lang w:eastAsia="he-IL"/>
              </w:rPr>
              <w:t>oos</w:t>
            </w:r>
            <w:r w:rsidR="001601ED" w:rsidRPr="00402599">
              <w:rPr>
                <w:rFonts w:ascii="Arial" w:hAnsi="Arial" w:cs="Arial"/>
                <w:lang w:eastAsia="he-IL"/>
              </w:rPr>
              <w:t xml:space="preserve"> </w:t>
            </w:r>
            <w:r w:rsidR="001601ED" w:rsidRPr="00402599">
              <w:rPr>
                <w:rFonts w:ascii="Arial" w:hAnsi="Arial" w:cs="Arial" w:hint="cs"/>
                <w:rtl/>
                <w:lang w:eastAsia="he-IL"/>
              </w:rPr>
              <w:t xml:space="preserve"> אמור לחשוף </w:t>
            </w:r>
            <w:r w:rsidR="001601ED" w:rsidRPr="00402599">
              <w:rPr>
                <w:rFonts w:ascii="Arial" w:hAnsi="Arial" w:cs="Arial" w:hint="cs"/>
                <w:lang w:eastAsia="he-IL"/>
              </w:rPr>
              <w:t>WS</w:t>
            </w:r>
            <w:r w:rsidR="001601ED" w:rsidRPr="00402599">
              <w:rPr>
                <w:rFonts w:ascii="Arial" w:hAnsi="Arial" w:cs="Arial" w:hint="cs"/>
                <w:rtl/>
                <w:lang w:eastAsia="he-IL"/>
              </w:rPr>
              <w:t xml:space="preserve"> אשר יחשוף מידע רק עבור נהלי האתרים</w:t>
            </w:r>
            <w:r>
              <w:rPr>
                <w:rFonts w:ascii="Arial" w:hAnsi="Arial" w:cs="Arial" w:hint="cs"/>
                <w:rtl/>
                <w:lang w:eastAsia="he-IL"/>
              </w:rPr>
              <w:t>.</w:t>
            </w:r>
          </w:p>
          <w:p w:rsidR="001601ED" w:rsidRDefault="001601ED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 w:rsidRPr="00402599">
              <w:rPr>
                <w:rFonts w:ascii="Arial" w:hAnsi="Arial" w:cs="Arial" w:hint="cs"/>
                <w:rtl/>
                <w:lang w:eastAsia="he-IL"/>
              </w:rPr>
              <w:t>מערכת ההפעלה על גביה יותקן ה-</w:t>
            </w:r>
            <w:proofErr w:type="spellStart"/>
            <w:r w:rsidRPr="00402599">
              <w:rPr>
                <w:rFonts w:ascii="Arial" w:hAnsi="Arial" w:cs="Arial"/>
                <w:lang w:eastAsia="he-IL"/>
              </w:rPr>
              <w:t>J</w:t>
            </w:r>
            <w:r w:rsidR="00402599">
              <w:rPr>
                <w:rFonts w:ascii="Arial" w:hAnsi="Arial" w:cs="Arial" w:hint="cs"/>
                <w:lang w:eastAsia="he-IL"/>
              </w:rPr>
              <w:t>B</w:t>
            </w:r>
            <w:r w:rsidRPr="00402599">
              <w:rPr>
                <w:rFonts w:ascii="Arial" w:hAnsi="Arial" w:cs="Arial"/>
                <w:lang w:eastAsia="he-IL"/>
              </w:rPr>
              <w:t>oos</w:t>
            </w:r>
            <w:proofErr w:type="spellEnd"/>
            <w:r w:rsidRPr="00402599">
              <w:rPr>
                <w:rFonts w:ascii="Arial" w:hAnsi="Arial" w:cs="Arial"/>
                <w:lang w:eastAsia="he-IL"/>
              </w:rPr>
              <w:t xml:space="preserve"> </w:t>
            </w:r>
            <w:r w:rsidRPr="00402599">
              <w:rPr>
                <w:rFonts w:ascii="Arial" w:hAnsi="Arial" w:cs="Arial" w:hint="cs"/>
                <w:rtl/>
                <w:lang w:eastAsia="he-IL"/>
              </w:rPr>
              <w:t xml:space="preserve"> תהיה לינוקס.</w:t>
            </w:r>
          </w:p>
          <w:p w:rsidR="00402599" w:rsidRDefault="00402599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הכלי באמצעותו אמור הלקוח לעשות שימוש לצורך שינוי חוקת האתר יהיה </w:t>
            </w:r>
            <w:proofErr w:type="spellStart"/>
            <w:r>
              <w:rPr>
                <w:rFonts w:ascii="Arial" w:hAnsi="Arial" w:cs="Arial" w:hint="cs"/>
                <w:rtl/>
                <w:lang w:eastAsia="he-IL"/>
              </w:rPr>
              <w:t>אקליפס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>, בנושא זו עלתה סוגית השימוש ברכיב המצ"ב ונטען על ידי צוות אבט"מ שמדובר בכלי פיתוח אשר מותקן בסביבת הייצור של האתר ומהווה פער אבט"מ עבורו יש לתת מענה.</w:t>
            </w:r>
          </w:p>
          <w:p w:rsidR="00402599" w:rsidRPr="00402599" w:rsidRDefault="00402599" w:rsidP="004025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b/>
                <w:bCs/>
                <w:rtl/>
                <w:lang w:eastAsia="he-IL"/>
              </w:rPr>
              <w:t>צוות אבט"מ הבהיר כי לא ניתן יהיה להתחבר לסביבה המצ"ב מרחוק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Pr="00402599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 w:rsidRPr="00402599">
              <w:rPr>
                <w:rFonts w:ascii="Arial" w:hAnsi="Arial" w:cs="Arial" w:hint="cs"/>
                <w:b/>
                <w:bCs/>
                <w:rtl/>
                <w:lang w:eastAsia="he-IL"/>
              </w:rPr>
              <w:t>צוות אבט"מ</w:t>
            </w:r>
            <w:bookmarkStart w:id="0" w:name="_GoBack"/>
            <w:bookmarkEnd w:id="0"/>
            <w:r w:rsidRPr="00402599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הבהיר כי עבור כל הסביבה המצ"ב יישרד לבצע סקר קוד ומבחן חדירות מלא.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 w:rsidRPr="004B295D">
              <w:rPr>
                <w:rFonts w:ascii="Arial" w:hAnsi="Arial" w:cs="Arial"/>
                <w:b/>
                <w:bCs/>
                <w:lang w:eastAsia="he-IL"/>
              </w:rPr>
              <w:t>User First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כלי נגישות בו ייעשה שימוש לצורך העלאת האתר, השימוש בכלי נבחן בימים אלה על ידי ממש"ז ואמורה להתקבל החלטה על השימוש בכלי באופן רוחבי בממש"ז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נושאים פתוחים:</w:t>
            </w:r>
          </w:p>
          <w:p w:rsidR="001601ED" w:rsidRDefault="001601ED" w:rsidP="00160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אפליציית</w:t>
            </w:r>
            <w:proofErr w:type="spellEnd"/>
            <w:r>
              <w:rPr>
                <w:rFonts w:ascii="Arial" w:hAnsi="Arial" w:cs="Arial"/>
                <w:rtl/>
              </w:rPr>
              <w:t xml:space="preserve"> מובייל- העלאת קבצים- בדיקה של ממשל זמין מול הפיתוח.</w:t>
            </w:r>
          </w:p>
          <w:p w:rsidR="001601ED" w:rsidRDefault="001601ED" w:rsidP="00160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איך מפרידים סביבות.</w:t>
            </w:r>
          </w:p>
          <w:p w:rsidR="001601ED" w:rsidRDefault="001601ED" w:rsidP="00160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Arial" w:hAnsi="Arial" w:cs="Arial"/>
                <w:rtl/>
              </w:rPr>
              <w:t>איך מספקים גישה לפיתוח.</w:t>
            </w:r>
          </w:p>
          <w:p w:rsidR="001601ED" w:rsidRDefault="001601ED" w:rsidP="00160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rtl/>
              </w:rPr>
            </w:pPr>
            <w:proofErr w:type="spellStart"/>
            <w:r>
              <w:t>Userfirst</w:t>
            </w:r>
            <w:proofErr w:type="spellEnd"/>
            <w:r>
              <w:rPr>
                <w:rFonts w:ascii="Arial" w:hAnsi="Arial" w:cs="Arial"/>
                <w:rtl/>
              </w:rPr>
              <w:t>- נגישות- צריכים תשובה ממשל זמין האם המוצר יירכש רוחבית ע"י ממשל זמין ואז יוכלו לעשות שימוש בתשתית. תשובה בנושא אמורה להתקבל בעוד כשבוע.</w:t>
            </w:r>
          </w:p>
          <w:p w:rsidR="001601ED" w:rsidRPr="00077A52" w:rsidRDefault="001601ED" w:rsidP="001601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rtl/>
              </w:rPr>
            </w:pPr>
            <w:r w:rsidRPr="00077A52">
              <w:rPr>
                <w:rFonts w:ascii="Arial" w:hAnsi="Arial" w:cs="Arial" w:hint="cs"/>
                <w:rtl/>
                <w:lang w:eastAsia="he-IL"/>
              </w:rPr>
              <w:t>נקבעה ישיבת במשך עם צוות אבט"מ על מנת להשלים את הארכיטקטורה של הפתרון.</w:t>
            </w:r>
          </w:p>
          <w:p w:rsidR="001601ED" w:rsidRDefault="001601ED" w:rsidP="001601ED">
            <w:pPr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לוחות זמנים:</w:t>
            </w:r>
            <w:r>
              <w:rPr>
                <w:rFonts w:ascii="Arial" w:hAnsi="Arial" w:cs="Arial"/>
                <w:rtl/>
              </w:rPr>
              <w:t xml:space="preserve"> מרץ- בדיקה מקצה לקצה בממשל זמין.</w:t>
            </w:r>
          </w:p>
          <w:p w:rsidR="001601ED" w:rsidRDefault="001601ED" w:rsidP="001601ED">
            <w:pPr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צה"ל צריכים לספק:</w:t>
            </w:r>
          </w:p>
          <w:p w:rsidR="001601ED" w:rsidRDefault="001601ED" w:rsidP="001601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רשימת שרתים מסודרת עם מפרט לכל שרת. המשאב</w:t>
            </w:r>
            <w:r>
              <w:rPr>
                <w:rFonts w:ascii="Arial" w:hAnsi="Arial" w:cs="Arial" w:hint="cs"/>
                <w:rtl/>
              </w:rPr>
              <w:t>י</w:t>
            </w:r>
            <w:r>
              <w:rPr>
                <w:rFonts w:ascii="Arial" w:hAnsi="Arial" w:cs="Arial"/>
                <w:rtl/>
              </w:rPr>
              <w:t>ם הנוכחיים בממשל זמין לא יספיקו.</w:t>
            </w:r>
          </w:p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/>
                <w:rtl/>
              </w:rPr>
              <w:t>יש להעביר מסמך אפיון מסודר לממשל זמין.</w:t>
            </w:r>
          </w:p>
        </w:tc>
      </w:tr>
      <w:tr w:rsidR="001601ED" w:rsidTr="001601ED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C865B3">
            <w:pPr>
              <w:pStyle w:val="TableHeadings"/>
              <w:jc w:val="both"/>
              <w:rPr>
                <w:rFonts w:hint="cs"/>
                <w:rtl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1601ED" w:rsidRDefault="001601ED" w:rsidP="001601ED">
            <w:pPr>
              <w:spacing w:before="120" w:line="360" w:lineRule="auto"/>
              <w:jc w:val="both"/>
              <w:rPr>
                <w:rFonts w:ascii="Arial" w:hAnsi="Arial" w:cs="Arial" w:hint="cs"/>
                <w:rtl/>
                <w:lang w:eastAsia="he-IL"/>
              </w:rPr>
            </w:pPr>
          </w:p>
        </w:tc>
      </w:tr>
    </w:tbl>
    <w:p w:rsidR="006964B9" w:rsidRDefault="006964B9">
      <w:pPr>
        <w:rPr>
          <w:rtl/>
        </w:rPr>
      </w:pPr>
    </w:p>
    <w:p w:rsidR="006964B9" w:rsidRPr="006964B9" w:rsidRDefault="006964B9">
      <w:pPr>
        <w:rPr>
          <w:rtl/>
        </w:rPr>
      </w:pPr>
    </w:p>
    <w:p w:rsidR="006964B9" w:rsidRDefault="006964B9">
      <w:pPr>
        <w:rPr>
          <w:rtl/>
        </w:rPr>
      </w:pPr>
    </w:p>
    <w:p w:rsidR="001601ED" w:rsidRDefault="001601ED">
      <w:pPr>
        <w:rPr>
          <w:rtl/>
        </w:rPr>
      </w:pPr>
    </w:p>
    <w:p w:rsidR="001601ED" w:rsidRDefault="001601ED"/>
    <w:p w:rsidR="001601ED" w:rsidRDefault="001601ED"/>
    <w:sectPr w:rsidR="001601ED" w:rsidSect="00361D1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BC" w:rsidRDefault="007305BC" w:rsidP="006964B9">
      <w:pPr>
        <w:spacing w:after="0" w:line="240" w:lineRule="auto"/>
      </w:pPr>
      <w:r>
        <w:separator/>
      </w:r>
    </w:p>
  </w:endnote>
  <w:endnote w:type="continuationSeparator" w:id="0">
    <w:p w:rsidR="007305BC" w:rsidRDefault="007305BC" w:rsidP="0069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B9" w:rsidRDefault="006964B9" w:rsidP="006964B9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</w:t>
    </w:r>
    <w:proofErr w:type="spellStart"/>
    <w:r w:rsidRPr="00BB2818">
      <w:rPr>
        <w:sz w:val="20"/>
        <w:szCs w:val="20"/>
        <w:rtl/>
      </w:rPr>
      <w:t>לורך</w:t>
    </w:r>
    <w:proofErr w:type="spellEnd"/>
    <w:r w:rsidRPr="00BB2818">
      <w:rPr>
        <w:sz w:val="20"/>
        <w:szCs w:val="20"/>
        <w:rtl/>
      </w:rPr>
      <w:t xml:space="preserve">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6964B9" w:rsidRDefault="006964B9" w:rsidP="006964B9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r w:rsidRPr="006964B9">
      <w:rPr>
        <w:rFonts w:cs="FrankRuehl"/>
        <w:b/>
        <w:bCs/>
        <w:sz w:val="20"/>
        <w:szCs w:val="20"/>
      </w:rPr>
      <w:t>www.gov.il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BC" w:rsidRDefault="007305BC" w:rsidP="006964B9">
      <w:pPr>
        <w:spacing w:after="0" w:line="240" w:lineRule="auto"/>
      </w:pPr>
      <w:r>
        <w:separator/>
      </w:r>
    </w:p>
  </w:footnote>
  <w:footnote w:type="continuationSeparator" w:id="0">
    <w:p w:rsidR="007305BC" w:rsidRDefault="007305BC" w:rsidP="0069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B9" w:rsidRPr="00256FF6" w:rsidRDefault="006964B9" w:rsidP="006964B9">
    <w:pPr>
      <w:pStyle w:val="Header"/>
      <w:jc w:val="center"/>
      <w:rPr>
        <w:sz w:val="24"/>
        <w:szCs w:val="24"/>
      </w:rPr>
    </w:pPr>
    <w:r w:rsidRPr="00256FF6">
      <w:rPr>
        <w:rFonts w:ascii="Arial" w:hAnsi="Arial"/>
        <w:b/>
        <w:bCs/>
        <w:color w:val="333399"/>
        <w:sz w:val="24"/>
        <w:szCs w:val="24"/>
        <w:rtl/>
      </w:rPr>
      <w:t>משרד האוצר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6964B9" w:rsidRDefault="006964B9" w:rsidP="006964B9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 wp14:anchorId="0D6E5A14" wp14:editId="5D827C7E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4B9" w:rsidRDefault="00696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539"/>
    <w:multiLevelType w:val="hybridMultilevel"/>
    <w:tmpl w:val="FED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5E19"/>
    <w:multiLevelType w:val="hybridMultilevel"/>
    <w:tmpl w:val="879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138"/>
    <w:multiLevelType w:val="hybridMultilevel"/>
    <w:tmpl w:val="986E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9"/>
    <w:rsid w:val="001601ED"/>
    <w:rsid w:val="00361D1C"/>
    <w:rsid w:val="00402599"/>
    <w:rsid w:val="004B295D"/>
    <w:rsid w:val="006964B9"/>
    <w:rsid w:val="007305BC"/>
    <w:rsid w:val="00C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3FD8-F9D7-470B-854A-60ED4D7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B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9"/>
  </w:style>
  <w:style w:type="paragraph" w:styleId="Footer">
    <w:name w:val="footer"/>
    <w:basedOn w:val="Normal"/>
    <w:link w:val="FooterChar"/>
    <w:uiPriority w:val="99"/>
    <w:unhideWhenUsed/>
    <w:rsid w:val="0069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9"/>
  </w:style>
  <w:style w:type="character" w:styleId="Hyperlink">
    <w:name w:val="Hyperlink"/>
    <w:basedOn w:val="DefaultParagraphFont"/>
    <w:uiPriority w:val="99"/>
    <w:unhideWhenUsed/>
    <w:rsid w:val="006964B9"/>
    <w:rPr>
      <w:color w:val="0563C1" w:themeColor="hyperlink"/>
      <w:u w:val="single"/>
    </w:rPr>
  </w:style>
  <w:style w:type="paragraph" w:customStyle="1" w:styleId="TableHeadings">
    <w:name w:val="Table Headings"/>
    <w:basedOn w:val="Normal"/>
    <w:rsid w:val="006964B9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160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410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Tehila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Azran</dc:creator>
  <cp:keywords/>
  <dc:description/>
  <cp:lastModifiedBy>Meir Azran</cp:lastModifiedBy>
  <cp:revision>3</cp:revision>
  <cp:lastPrinted>2015-08-23T07:34:00Z</cp:lastPrinted>
  <dcterms:created xsi:type="dcterms:W3CDTF">2015-08-23T06:26:00Z</dcterms:created>
  <dcterms:modified xsi:type="dcterms:W3CDTF">2015-08-23T08:46:00Z</dcterms:modified>
</cp:coreProperties>
</file>