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2CE" w:rsidRPr="009D4265" w:rsidRDefault="009D4265" w:rsidP="00EB3382">
      <w:pPr>
        <w:rPr>
          <w:rFonts w:cs="David"/>
          <w:b/>
          <w:bCs/>
          <w:szCs w:val="24"/>
          <w:u w:val="single"/>
          <w:rtl/>
        </w:rPr>
      </w:pPr>
      <w:r w:rsidRPr="009D4265">
        <w:rPr>
          <w:rFonts w:cs="David" w:hint="cs"/>
          <w:b/>
          <w:bCs/>
          <w:szCs w:val="24"/>
          <w:u w:val="single"/>
          <w:rtl/>
        </w:rPr>
        <w:t>אקטואליה משפטית</w:t>
      </w:r>
    </w:p>
    <w:p w:rsidR="009D4265" w:rsidRPr="00095C07" w:rsidRDefault="009D4265" w:rsidP="00EB3382">
      <w:pPr>
        <w:rPr>
          <w:rFonts w:cs="David"/>
          <w:b/>
          <w:bCs/>
          <w:szCs w:val="24"/>
          <w:rtl/>
        </w:rPr>
      </w:pPr>
      <w:r w:rsidRPr="00095C07">
        <w:rPr>
          <w:rFonts w:cs="David" w:hint="cs"/>
          <w:b/>
          <w:bCs/>
          <w:szCs w:val="24"/>
          <w:rtl/>
        </w:rPr>
        <w:t xml:space="preserve">מסתננים </w:t>
      </w:r>
      <w:r w:rsidRPr="00095C07">
        <w:rPr>
          <w:rFonts w:cs="David"/>
          <w:b/>
          <w:bCs/>
          <w:szCs w:val="24"/>
          <w:rtl/>
        </w:rPr>
        <w:t>–</w:t>
      </w:r>
      <w:r w:rsidRPr="00095C07">
        <w:rPr>
          <w:rFonts w:cs="David" w:hint="cs"/>
          <w:b/>
          <w:bCs/>
          <w:szCs w:val="24"/>
          <w:rtl/>
        </w:rPr>
        <w:t xml:space="preserve"> </w:t>
      </w:r>
    </w:p>
    <w:p w:rsidR="009D4265" w:rsidRDefault="009D4265" w:rsidP="00EB3382">
      <w:pPr>
        <w:rPr>
          <w:rFonts w:cs="David"/>
          <w:szCs w:val="24"/>
          <w:rtl/>
        </w:rPr>
      </w:pPr>
      <w:r>
        <w:rPr>
          <w:rFonts w:cs="David" w:hint="cs"/>
          <w:szCs w:val="24"/>
          <w:rtl/>
        </w:rPr>
        <w:t>הערה לקראת הסיור מחר - מהם הסממנים של הריבונות הישראלית בדרום תל אביב?</w:t>
      </w:r>
    </w:p>
    <w:p w:rsidR="009D4265" w:rsidRPr="00095C07" w:rsidRDefault="009D4265" w:rsidP="00EB3382">
      <w:pPr>
        <w:rPr>
          <w:rFonts w:cs="David"/>
          <w:b/>
          <w:bCs/>
          <w:szCs w:val="24"/>
          <w:rtl/>
        </w:rPr>
      </w:pPr>
      <w:r w:rsidRPr="00095C07">
        <w:rPr>
          <w:rFonts w:cs="David" w:hint="cs"/>
          <w:b/>
          <w:bCs/>
          <w:szCs w:val="24"/>
          <w:rtl/>
        </w:rPr>
        <w:t xml:space="preserve">פתיחת שערי בית המשפט </w:t>
      </w:r>
      <w:r w:rsidRPr="00095C07">
        <w:rPr>
          <w:rFonts w:cs="David"/>
          <w:b/>
          <w:bCs/>
          <w:szCs w:val="24"/>
          <w:rtl/>
        </w:rPr>
        <w:t>–</w:t>
      </w:r>
      <w:r w:rsidRPr="00095C07">
        <w:rPr>
          <w:rFonts w:cs="David" w:hint="cs"/>
          <w:b/>
          <w:bCs/>
          <w:szCs w:val="24"/>
          <w:rtl/>
        </w:rPr>
        <w:t xml:space="preserve"> </w:t>
      </w:r>
    </w:p>
    <w:p w:rsidR="009D4265" w:rsidRDefault="009D4265" w:rsidP="00095C07">
      <w:pPr>
        <w:rPr>
          <w:rFonts w:cs="David"/>
          <w:szCs w:val="24"/>
          <w:rtl/>
        </w:rPr>
      </w:pPr>
      <w:r>
        <w:rPr>
          <w:rFonts w:cs="David" w:hint="cs"/>
          <w:szCs w:val="24"/>
          <w:rtl/>
        </w:rPr>
        <w:t xml:space="preserve">לראשונה מאז משפט </w:t>
      </w:r>
      <w:proofErr w:type="spellStart"/>
      <w:r>
        <w:rPr>
          <w:rFonts w:cs="David" w:hint="cs"/>
          <w:szCs w:val="24"/>
          <w:rtl/>
        </w:rPr>
        <w:t>דמיאניוק</w:t>
      </w:r>
      <w:proofErr w:type="spellEnd"/>
      <w:r>
        <w:rPr>
          <w:rFonts w:cs="David" w:hint="cs"/>
          <w:szCs w:val="24"/>
          <w:rtl/>
        </w:rPr>
        <w:t xml:space="preserve"> שודר דיון בבג"צ בשידור ישיר. הסוגיה שנדונה </w:t>
      </w:r>
      <w:proofErr w:type="spellStart"/>
      <w:r>
        <w:rPr>
          <w:rFonts w:cs="David" w:hint="cs"/>
          <w:szCs w:val="24"/>
          <w:rtl/>
        </w:rPr>
        <w:t>היתה</w:t>
      </w:r>
      <w:proofErr w:type="spellEnd"/>
      <w:r>
        <w:rPr>
          <w:rFonts w:cs="David" w:hint="cs"/>
          <w:szCs w:val="24"/>
          <w:rtl/>
        </w:rPr>
        <w:t xml:space="preserve"> חוקיותו של חוק גיל פרישה. בחוק הוכנס תיקון לפיו מעביד יכול לחייב עובד לצאת לפרישה בגיל 67, והטענה </w:t>
      </w:r>
      <w:proofErr w:type="spellStart"/>
      <w:r>
        <w:rPr>
          <w:rFonts w:cs="David" w:hint="cs"/>
          <w:szCs w:val="24"/>
          <w:rtl/>
        </w:rPr>
        <w:t>היתה</w:t>
      </w:r>
      <w:proofErr w:type="spellEnd"/>
      <w:r>
        <w:rPr>
          <w:rFonts w:cs="David" w:hint="cs"/>
          <w:szCs w:val="24"/>
          <w:rtl/>
        </w:rPr>
        <w:t xml:space="preserve"> שהתיקון יוצר הפלייה מטעמי גיל, ולכן מנוגד לעקרון </w:t>
      </w:r>
      <w:proofErr w:type="spellStart"/>
      <w:r>
        <w:rPr>
          <w:rFonts w:cs="David" w:hint="cs"/>
          <w:szCs w:val="24"/>
          <w:rtl/>
        </w:rPr>
        <w:t>השיוויון</w:t>
      </w:r>
      <w:proofErr w:type="spellEnd"/>
      <w:r>
        <w:rPr>
          <w:rFonts w:cs="David" w:hint="cs"/>
          <w:szCs w:val="24"/>
          <w:rtl/>
        </w:rPr>
        <w:t xml:space="preserve">. בנוסף, יש כאן פגיעה בכבוד האדם, תוך הדרה של קבוצה גדולה מאוד מהחוק מכוח העבודה. </w:t>
      </w:r>
      <w:r w:rsidR="00095C07">
        <w:rPr>
          <w:rFonts w:cs="David" w:hint="cs"/>
          <w:szCs w:val="24"/>
          <w:rtl/>
        </w:rPr>
        <w:t>הדיון, כרגיל יהיה על המידה שבה הפגיעה בזכויות נעשית לתכלית ראויה ועד כמה היא מידתית. אחת השאלות ששאלו השופטים היא מה האלטרנטיבה? האם יוצרים חלל לא סביר בהסדרי העבודה?</w:t>
      </w:r>
    </w:p>
    <w:p w:rsidR="00095C07" w:rsidRPr="00095C07" w:rsidRDefault="00095C07" w:rsidP="00095C07">
      <w:pPr>
        <w:rPr>
          <w:rFonts w:cs="David"/>
          <w:b/>
          <w:bCs/>
          <w:szCs w:val="24"/>
          <w:rtl/>
        </w:rPr>
      </w:pPr>
      <w:r w:rsidRPr="00095C07">
        <w:rPr>
          <w:rFonts w:cs="David" w:hint="cs"/>
          <w:b/>
          <w:bCs/>
          <w:szCs w:val="24"/>
          <w:rtl/>
        </w:rPr>
        <w:t>חוק "</w:t>
      </w:r>
      <w:proofErr w:type="spellStart"/>
      <w:r w:rsidRPr="00095C07">
        <w:rPr>
          <w:rFonts w:cs="David" w:hint="cs"/>
          <w:b/>
          <w:bCs/>
          <w:szCs w:val="24"/>
          <w:rtl/>
        </w:rPr>
        <w:t>השיוויון</w:t>
      </w:r>
      <w:proofErr w:type="spellEnd"/>
      <w:r w:rsidRPr="00095C07">
        <w:rPr>
          <w:rFonts w:cs="David" w:hint="cs"/>
          <w:b/>
          <w:bCs/>
          <w:szCs w:val="24"/>
          <w:rtl/>
        </w:rPr>
        <w:t xml:space="preserve"> בנטל" </w:t>
      </w:r>
      <w:r w:rsidRPr="00095C07">
        <w:rPr>
          <w:rFonts w:cs="David"/>
          <w:b/>
          <w:bCs/>
          <w:szCs w:val="24"/>
          <w:rtl/>
        </w:rPr>
        <w:t>–</w:t>
      </w:r>
      <w:r w:rsidRPr="00095C07">
        <w:rPr>
          <w:rFonts w:cs="David" w:hint="cs"/>
          <w:b/>
          <w:bCs/>
          <w:szCs w:val="24"/>
          <w:rtl/>
        </w:rPr>
        <w:t xml:space="preserve"> </w:t>
      </w:r>
    </w:p>
    <w:p w:rsidR="00095C07" w:rsidRDefault="00095C07" w:rsidP="00095C07">
      <w:pPr>
        <w:rPr>
          <w:rFonts w:cs="David"/>
          <w:szCs w:val="24"/>
          <w:rtl/>
        </w:rPr>
      </w:pPr>
      <w:r>
        <w:rPr>
          <w:rFonts w:cs="David" w:hint="cs"/>
          <w:szCs w:val="24"/>
          <w:rtl/>
        </w:rPr>
        <w:t xml:space="preserve">החוק קובע שבחורי הישיבות </w:t>
      </w:r>
      <w:proofErr w:type="spellStart"/>
      <w:r>
        <w:rPr>
          <w:rFonts w:cs="David" w:hint="cs"/>
          <w:szCs w:val="24"/>
          <w:rtl/>
        </w:rPr>
        <w:t>יגוייסו</w:t>
      </w:r>
      <w:proofErr w:type="spellEnd"/>
      <w:r>
        <w:rPr>
          <w:rFonts w:cs="David" w:hint="cs"/>
          <w:szCs w:val="24"/>
          <w:rtl/>
        </w:rPr>
        <w:t xml:space="preserve"> בשנת 2017, ועד אז כמעט אין שינויים בהסדרי הגיוס. בית המשפט דן בעתירה המבקשת לקבוע שהחוק אינו חוקתי, שכן הוא פוגע בעקרון </w:t>
      </w:r>
      <w:proofErr w:type="spellStart"/>
      <w:r>
        <w:rPr>
          <w:rFonts w:cs="David" w:hint="cs"/>
          <w:szCs w:val="24"/>
          <w:rtl/>
        </w:rPr>
        <w:t>השיוויון</w:t>
      </w:r>
      <w:proofErr w:type="spellEnd"/>
      <w:r>
        <w:rPr>
          <w:rFonts w:cs="David" w:hint="cs"/>
          <w:szCs w:val="24"/>
          <w:rtl/>
        </w:rPr>
        <w:t xml:space="preserve"> פגיעה לא מידתית. בית המשפט נתן החלטה הכוללת עשר שאלות למדינה לגבי החוק. מבקשים פירוט נתונים לגבי ההסדר שקובע החוק והשפעותיו. החלטה זו מרמזת על כך שבית המשפט מתכוון לשקול את סוגיית המידתיות של הפרת עיקרון השוויון לעומקה. </w:t>
      </w:r>
    </w:p>
    <w:p w:rsidR="00095C07" w:rsidRDefault="00095C07" w:rsidP="00095C07">
      <w:pPr>
        <w:rPr>
          <w:rFonts w:cs="David"/>
          <w:szCs w:val="24"/>
          <w:rtl/>
        </w:rPr>
      </w:pPr>
      <w:r>
        <w:rPr>
          <w:rFonts w:cs="David" w:hint="cs"/>
          <w:b/>
          <w:bCs/>
          <w:szCs w:val="24"/>
          <w:rtl/>
        </w:rPr>
        <w:t>חוק הלאום</w:t>
      </w:r>
      <w:r>
        <w:rPr>
          <w:rFonts w:cs="David" w:hint="cs"/>
          <w:szCs w:val="24"/>
          <w:rtl/>
        </w:rPr>
        <w:t xml:space="preserve"> </w:t>
      </w:r>
      <w:r>
        <w:rPr>
          <w:rFonts w:cs="David"/>
          <w:szCs w:val="24"/>
          <w:rtl/>
        </w:rPr>
        <w:t>–</w:t>
      </w:r>
      <w:r>
        <w:rPr>
          <w:rFonts w:cs="David" w:hint="cs"/>
          <w:szCs w:val="24"/>
          <w:rtl/>
        </w:rPr>
        <w:t xml:space="preserve"> </w:t>
      </w:r>
    </w:p>
    <w:p w:rsidR="00095C07" w:rsidRDefault="00095C07" w:rsidP="00095C07">
      <w:pPr>
        <w:rPr>
          <w:rFonts w:cs="David"/>
          <w:szCs w:val="24"/>
          <w:rtl/>
        </w:rPr>
      </w:pPr>
      <w:r>
        <w:rPr>
          <w:rFonts w:cs="David" w:hint="cs"/>
          <w:szCs w:val="24"/>
          <w:rtl/>
        </w:rPr>
        <w:t xml:space="preserve">מדובר בחקיקת חוק יסוד העוסק בערכיה של מדינת ישראל, ולכן בפרק של החוקה. ההצעות שהונחו לפני הממשלה שונים מאוד באופיים זה מזה. אין נוסח מוסכם כרגע לדיון. השאלה היא מה יקרה אם פרק זה של החוקה יהיה מנוגד לפרקים אחרים בה </w:t>
      </w:r>
      <w:r>
        <w:rPr>
          <w:rFonts w:cs="David"/>
          <w:szCs w:val="24"/>
          <w:rtl/>
        </w:rPr>
        <w:t>–</w:t>
      </w:r>
      <w:r>
        <w:rPr>
          <w:rFonts w:cs="David" w:hint="cs"/>
          <w:szCs w:val="24"/>
          <w:rtl/>
        </w:rPr>
        <w:t xml:space="preserve"> מה שכנראה יקרה שכן הצעות החוק קובעים שמדינת ישראל היא מדינת הלאום היהודי, אך לא מציינים שהיא דמוקרטית </w:t>
      </w:r>
      <w:r>
        <w:rPr>
          <w:rFonts w:cs="David"/>
          <w:szCs w:val="24"/>
          <w:rtl/>
        </w:rPr>
        <w:t>–</w:t>
      </w:r>
      <w:r>
        <w:rPr>
          <w:rFonts w:cs="David" w:hint="cs"/>
          <w:szCs w:val="24"/>
          <w:rtl/>
        </w:rPr>
        <w:t xml:space="preserve"> בניגוד לנאמר בחוקי היסוד העוסקים בכבוד האדם וחירותו ובחופש העיסוק. </w:t>
      </w:r>
    </w:p>
    <w:p w:rsidR="00095C07" w:rsidRDefault="00095C07" w:rsidP="00095C07">
      <w:pPr>
        <w:rPr>
          <w:rFonts w:cs="David"/>
          <w:szCs w:val="24"/>
          <w:rtl/>
        </w:rPr>
      </w:pPr>
    </w:p>
    <w:p w:rsidR="00095C07" w:rsidRPr="00095C07" w:rsidRDefault="00095C07" w:rsidP="00095C07">
      <w:pPr>
        <w:rPr>
          <w:rFonts w:cs="David"/>
          <w:b/>
          <w:bCs/>
          <w:szCs w:val="24"/>
          <w:u w:val="single"/>
          <w:rtl/>
        </w:rPr>
      </w:pPr>
      <w:r w:rsidRPr="00095C07">
        <w:rPr>
          <w:rFonts w:cs="David" w:hint="cs"/>
          <w:b/>
          <w:bCs/>
          <w:szCs w:val="24"/>
          <w:u w:val="single"/>
          <w:rtl/>
        </w:rPr>
        <w:t>המשך העיסוק ביחסי בית המשפט והרשות המחוקקת</w:t>
      </w:r>
    </w:p>
    <w:p w:rsidR="00095C07" w:rsidRDefault="00095C07" w:rsidP="00095C07">
      <w:pPr>
        <w:rPr>
          <w:rFonts w:cs="David"/>
          <w:szCs w:val="24"/>
          <w:rtl/>
        </w:rPr>
      </w:pPr>
      <w:r>
        <w:rPr>
          <w:rFonts w:cs="David" w:hint="cs"/>
          <w:szCs w:val="24"/>
          <w:rtl/>
        </w:rPr>
        <w:t>עד היום ראינו איך בית המשפט מתייחס לתוצריה של הכנסת</w:t>
      </w:r>
      <w:r w:rsidR="00D01BC4">
        <w:rPr>
          <w:rFonts w:cs="David" w:hint="cs"/>
          <w:szCs w:val="24"/>
          <w:rtl/>
        </w:rPr>
        <w:t xml:space="preserve">. עתה נבדוק באיזו מידה בית המשפט יכול לעסוק במה שהכנסת עושה בד' אמותיה </w:t>
      </w:r>
      <w:r w:rsidR="00D01BC4">
        <w:rPr>
          <w:rFonts w:cs="David"/>
          <w:szCs w:val="24"/>
          <w:rtl/>
        </w:rPr>
        <w:t>–</w:t>
      </w:r>
      <w:r w:rsidR="00D01BC4">
        <w:rPr>
          <w:rFonts w:cs="David" w:hint="cs"/>
          <w:szCs w:val="24"/>
          <w:rtl/>
        </w:rPr>
        <w:t xml:space="preserve"> בהחלטות יו"ר הכנסת וועדותיה לדוגמא. ברוב המדינות לבית המשפט אין כל דריסת רגל בהתנהלות בית המחוקקים. ההליכים בפרלמנט לא יתוחקרו בשום מקום מחוץ לפרלמנט. בישראל יש חריג </w:t>
      </w:r>
      <w:r w:rsidR="00D01BC4">
        <w:rPr>
          <w:rFonts w:cs="David"/>
          <w:szCs w:val="24"/>
          <w:rtl/>
        </w:rPr>
        <w:t>–</w:t>
      </w:r>
      <w:r w:rsidR="00D01BC4">
        <w:rPr>
          <w:rFonts w:cs="David" w:hint="cs"/>
          <w:szCs w:val="24"/>
          <w:rtl/>
        </w:rPr>
        <w:t xml:space="preserve"> ובו נעסוק. </w:t>
      </w:r>
    </w:p>
    <w:p w:rsidR="00D01BC4" w:rsidRPr="00D01BC4" w:rsidRDefault="00D01BC4" w:rsidP="00150036">
      <w:pPr>
        <w:rPr>
          <w:rFonts w:cs="David"/>
          <w:b/>
          <w:bCs/>
          <w:szCs w:val="24"/>
          <w:rtl/>
        </w:rPr>
      </w:pPr>
      <w:r w:rsidRPr="00D01BC4">
        <w:rPr>
          <w:rFonts w:cs="David" w:hint="cs"/>
          <w:b/>
          <w:bCs/>
          <w:szCs w:val="24"/>
          <w:rtl/>
        </w:rPr>
        <w:t xml:space="preserve">יחסי בית המשפט והפרלמנט בהודו </w:t>
      </w:r>
      <w:r w:rsidRPr="00D01BC4">
        <w:rPr>
          <w:rFonts w:cs="David"/>
          <w:b/>
          <w:bCs/>
          <w:szCs w:val="24"/>
          <w:rtl/>
        </w:rPr>
        <w:t>–</w:t>
      </w:r>
      <w:r w:rsidRPr="00D01BC4">
        <w:rPr>
          <w:rFonts w:cs="David" w:hint="cs"/>
          <w:b/>
          <w:bCs/>
          <w:szCs w:val="24"/>
          <w:rtl/>
        </w:rPr>
        <w:t xml:space="preserve"> הצגת </w:t>
      </w:r>
      <w:proofErr w:type="spellStart"/>
      <w:r w:rsidRPr="00D01BC4">
        <w:rPr>
          <w:rFonts w:cs="David" w:hint="cs"/>
          <w:b/>
          <w:bCs/>
          <w:szCs w:val="24"/>
          <w:rtl/>
        </w:rPr>
        <w:t>סהני</w:t>
      </w:r>
      <w:proofErr w:type="spellEnd"/>
      <w:r w:rsidRPr="00D01BC4">
        <w:rPr>
          <w:rFonts w:cs="David" w:hint="cs"/>
          <w:b/>
          <w:bCs/>
          <w:szCs w:val="24"/>
          <w:rtl/>
        </w:rPr>
        <w:t>:</w:t>
      </w:r>
    </w:p>
    <w:p w:rsidR="00D01BC4" w:rsidRDefault="00D01BC4" w:rsidP="00095C07">
      <w:pPr>
        <w:rPr>
          <w:rFonts w:cs="David"/>
          <w:szCs w:val="24"/>
          <w:rtl/>
        </w:rPr>
      </w:pPr>
      <w:r>
        <w:rPr>
          <w:rFonts w:cs="David" w:hint="cs"/>
          <w:szCs w:val="24"/>
          <w:rtl/>
        </w:rPr>
        <w:t xml:space="preserve">הסוגיה עוסקת באופן שבו בית המשפט התייחס לפעולות שונות של הפרלמנט. </w:t>
      </w:r>
    </w:p>
    <w:p w:rsidR="00D01BC4" w:rsidRDefault="00D01BC4" w:rsidP="00095C07">
      <w:pPr>
        <w:rPr>
          <w:rFonts w:cs="David"/>
          <w:szCs w:val="24"/>
          <w:rtl/>
        </w:rPr>
      </w:pPr>
      <w:r>
        <w:rPr>
          <w:rFonts w:cs="David" w:hint="cs"/>
          <w:szCs w:val="24"/>
          <w:rtl/>
        </w:rPr>
        <w:t xml:space="preserve">"כסף תמורת שאילתא" </w:t>
      </w:r>
      <w:r>
        <w:rPr>
          <w:rFonts w:cs="David"/>
          <w:szCs w:val="24"/>
          <w:rtl/>
        </w:rPr>
        <w:t>–</w:t>
      </w:r>
      <w:r>
        <w:rPr>
          <w:rFonts w:cs="David" w:hint="cs"/>
          <w:szCs w:val="24"/>
          <w:rtl/>
        </w:rPr>
        <w:t xml:space="preserve"> 11 חברי פרלמנט הוקלטו על ידי התקשורת, כאשר קיבלו כסף תמורת שאילת שאילתא בפרלמנט. הפרלמנט החליט לסלק את החברים מהפרלמנט, והחברים </w:t>
      </w:r>
      <w:proofErr w:type="spellStart"/>
      <w:r>
        <w:rPr>
          <w:rFonts w:cs="David" w:hint="cs"/>
          <w:szCs w:val="24"/>
          <w:rtl/>
        </w:rPr>
        <w:t>עירערו</w:t>
      </w:r>
      <w:proofErr w:type="spellEnd"/>
      <w:r>
        <w:rPr>
          <w:rFonts w:cs="David" w:hint="cs"/>
          <w:szCs w:val="24"/>
          <w:rtl/>
        </w:rPr>
        <w:t xml:space="preserve"> על ההחלטה בפני בית המשפט העליון. </w:t>
      </w:r>
    </w:p>
    <w:p w:rsidR="00D01BC4" w:rsidRDefault="00D01BC4" w:rsidP="00095C07">
      <w:pPr>
        <w:rPr>
          <w:rFonts w:cs="David"/>
          <w:szCs w:val="24"/>
          <w:rtl/>
        </w:rPr>
      </w:pPr>
      <w:r>
        <w:rPr>
          <w:rFonts w:cs="David" w:hint="cs"/>
          <w:szCs w:val="24"/>
          <w:rtl/>
        </w:rPr>
        <w:t xml:space="preserve">הטענות החשובות </w:t>
      </w:r>
      <w:r>
        <w:rPr>
          <w:rFonts w:cs="David"/>
          <w:szCs w:val="24"/>
          <w:rtl/>
        </w:rPr>
        <w:t>–</w:t>
      </w:r>
      <w:r>
        <w:rPr>
          <w:rFonts w:cs="David" w:hint="cs"/>
          <w:szCs w:val="24"/>
          <w:rtl/>
        </w:rPr>
        <w:t xml:space="preserve"> </w:t>
      </w:r>
    </w:p>
    <w:p w:rsidR="00D01BC4" w:rsidRPr="00D946DD" w:rsidRDefault="00D01BC4" w:rsidP="00D946DD">
      <w:pPr>
        <w:pStyle w:val="a9"/>
        <w:numPr>
          <w:ilvl w:val="0"/>
          <w:numId w:val="12"/>
        </w:numPr>
        <w:rPr>
          <w:rFonts w:cs="David"/>
          <w:szCs w:val="24"/>
          <w:rtl/>
        </w:rPr>
      </w:pPr>
      <w:r w:rsidRPr="00D946DD">
        <w:rPr>
          <w:rFonts w:cs="David" w:hint="cs"/>
          <w:szCs w:val="24"/>
          <w:rtl/>
        </w:rPr>
        <w:t xml:space="preserve">בית המשפט העליון הוא הסמכות העליונה בנושא החלטות שיפוטיות </w:t>
      </w:r>
      <w:r w:rsidRPr="00D946DD">
        <w:rPr>
          <w:rFonts w:cs="David"/>
          <w:szCs w:val="24"/>
          <w:rtl/>
        </w:rPr>
        <w:t>–</w:t>
      </w:r>
      <w:r w:rsidRPr="00D946DD">
        <w:rPr>
          <w:rFonts w:cs="David" w:hint="cs"/>
          <w:szCs w:val="24"/>
          <w:rtl/>
        </w:rPr>
        <w:t xml:space="preserve"> ולא הפרלמנט. </w:t>
      </w:r>
    </w:p>
    <w:p w:rsidR="00D01BC4" w:rsidRPr="00D946DD" w:rsidRDefault="00D01BC4" w:rsidP="00D946DD">
      <w:pPr>
        <w:pStyle w:val="a9"/>
        <w:numPr>
          <w:ilvl w:val="0"/>
          <w:numId w:val="12"/>
        </w:numPr>
        <w:rPr>
          <w:rFonts w:cs="David"/>
          <w:szCs w:val="24"/>
          <w:rtl/>
        </w:rPr>
      </w:pPr>
      <w:r w:rsidRPr="00D946DD">
        <w:rPr>
          <w:rFonts w:cs="David" w:hint="cs"/>
          <w:szCs w:val="24"/>
          <w:rtl/>
        </w:rPr>
        <w:t xml:space="preserve">לבית המשפט סמכות לבחון פעולות של הפרלמנט. </w:t>
      </w:r>
    </w:p>
    <w:p w:rsidR="00D946DD" w:rsidRDefault="00D946DD" w:rsidP="00095C07">
      <w:pPr>
        <w:rPr>
          <w:rFonts w:cs="David"/>
          <w:szCs w:val="24"/>
          <w:rtl/>
        </w:rPr>
      </w:pPr>
    </w:p>
    <w:p w:rsidR="00D01BC4" w:rsidRDefault="00D946DD" w:rsidP="00095C07">
      <w:pPr>
        <w:rPr>
          <w:rFonts w:cs="David"/>
          <w:szCs w:val="24"/>
          <w:rtl/>
        </w:rPr>
      </w:pPr>
      <w:r>
        <w:rPr>
          <w:rFonts w:cs="David" w:hint="cs"/>
          <w:szCs w:val="24"/>
          <w:rtl/>
        </w:rPr>
        <w:lastRenderedPageBreak/>
        <w:t xml:space="preserve">סעיף 105 של החוקה אינו מפרט באופן מפורש כיצד ניתן לסלק חבר פרלמנט, וזאת בניגוד לחוקה האמריקאית, שם הנושא מאוד ברור. </w:t>
      </w:r>
    </w:p>
    <w:p w:rsidR="00D946DD" w:rsidRDefault="00D946DD" w:rsidP="00095C07">
      <w:pPr>
        <w:rPr>
          <w:rFonts w:cs="David"/>
          <w:szCs w:val="24"/>
          <w:rtl/>
        </w:rPr>
      </w:pPr>
      <w:r>
        <w:rPr>
          <w:rFonts w:cs="David" w:hint="cs"/>
          <w:szCs w:val="24"/>
          <w:rtl/>
        </w:rPr>
        <w:t xml:space="preserve">בית המשפט קבע בדעת רוב שאין סיבה למנוע את הסמכות לסלק חברי פרלמנט, ושהדבר תואם את זכותו להגן על עצמו. </w:t>
      </w:r>
    </w:p>
    <w:p w:rsidR="00D946DD" w:rsidRDefault="00D946DD" w:rsidP="00095C07">
      <w:pPr>
        <w:rPr>
          <w:rFonts w:cs="David"/>
          <w:szCs w:val="24"/>
          <w:rtl/>
        </w:rPr>
      </w:pPr>
      <w:r>
        <w:rPr>
          <w:rFonts w:cs="David" w:hint="cs"/>
          <w:szCs w:val="24"/>
          <w:rtl/>
        </w:rPr>
        <w:t xml:space="preserve">לבית המשפט זכות להתערב בפעילות הפרלמנט במקרים של הפרה גסה של החוק. </w:t>
      </w:r>
    </w:p>
    <w:p w:rsidR="00D946DD" w:rsidRDefault="00D946DD" w:rsidP="00D946DD">
      <w:pPr>
        <w:rPr>
          <w:rFonts w:cs="David"/>
          <w:szCs w:val="24"/>
          <w:rtl/>
        </w:rPr>
      </w:pPr>
      <w:r>
        <w:rPr>
          <w:rFonts w:cs="David" w:hint="cs"/>
          <w:szCs w:val="24"/>
          <w:rtl/>
        </w:rPr>
        <w:t xml:space="preserve">פסק הדין עורר רעש רב בהודו, מאחר שבחוקה יש סעיף שאינו מאפשר לבית המשפט להתערב בהליכים פנימיים של הפרלמנט. ההתערבות מוצדקת על ידי בית המשפט בכך שהוא מעדיף את הסעיף האומר שבית המשפט הוא שומר החוקה, וקובע שסעיף זה גובר על המגבלה הזו. </w:t>
      </w:r>
    </w:p>
    <w:p w:rsidR="00D946DD" w:rsidRDefault="00D946DD" w:rsidP="00D946DD">
      <w:pPr>
        <w:rPr>
          <w:rFonts w:cs="David"/>
          <w:szCs w:val="24"/>
          <w:rtl/>
        </w:rPr>
      </w:pPr>
      <w:r>
        <w:rPr>
          <w:rFonts w:cs="David" w:hint="cs"/>
          <w:szCs w:val="24"/>
          <w:rtl/>
        </w:rPr>
        <w:t xml:space="preserve">בגרמניה, לעומת זאת, החוקה קובעת שלבית המשפט החוקתי זכות להתערב בפעילויות הפרלמנט אם הן נוגדות את עקרונות החוקה, ולכן התערבות כזו </w:t>
      </w:r>
      <w:r w:rsidR="004457B0">
        <w:rPr>
          <w:rFonts w:cs="David" w:hint="cs"/>
          <w:szCs w:val="24"/>
          <w:rtl/>
        </w:rPr>
        <w:t xml:space="preserve">אינה מעוררת ויכוח. </w:t>
      </w:r>
    </w:p>
    <w:p w:rsidR="004457B0" w:rsidRDefault="004457B0" w:rsidP="00D946DD">
      <w:pPr>
        <w:rPr>
          <w:rFonts w:cs="David"/>
          <w:szCs w:val="24"/>
          <w:rtl/>
        </w:rPr>
      </w:pPr>
      <w:r>
        <w:rPr>
          <w:rFonts w:cs="David" w:hint="cs"/>
          <w:szCs w:val="24"/>
          <w:rtl/>
        </w:rPr>
        <w:t xml:space="preserve">בישראל הביקורת השיפוטית אינה מעוגנת בחוקה, ולכן מובן מאליו שבית המשפט לא יוכל להתערב בהליכיה. לכן, לאורך שנים רבות לא הוגשו כלל עתירות נגד הכנסת. העתירות הראשונות הוגשו בתחילת שנות ה-80. </w:t>
      </w:r>
    </w:p>
    <w:p w:rsidR="004457B0" w:rsidRDefault="004457B0" w:rsidP="00D946DD">
      <w:pPr>
        <w:rPr>
          <w:rFonts w:cs="David"/>
          <w:szCs w:val="24"/>
          <w:u w:val="single"/>
          <w:rtl/>
        </w:rPr>
      </w:pPr>
      <w:r w:rsidRPr="004457B0">
        <w:rPr>
          <w:rFonts w:cs="David" w:hint="cs"/>
          <w:szCs w:val="24"/>
          <w:u w:val="single"/>
          <w:rtl/>
        </w:rPr>
        <w:t>פס"ד שריד</w:t>
      </w:r>
      <w:r>
        <w:rPr>
          <w:rFonts w:cs="David" w:hint="cs"/>
          <w:szCs w:val="24"/>
          <w:u w:val="single"/>
          <w:rtl/>
        </w:rPr>
        <w:t xml:space="preserve"> (1981) </w:t>
      </w:r>
      <w:r>
        <w:rPr>
          <w:rFonts w:cs="David"/>
          <w:szCs w:val="24"/>
          <w:u w:val="single"/>
          <w:rtl/>
        </w:rPr>
        <w:t>–</w:t>
      </w:r>
    </w:p>
    <w:p w:rsidR="004457B0" w:rsidRDefault="004457B0" w:rsidP="004457B0">
      <w:pPr>
        <w:rPr>
          <w:rFonts w:cs="David"/>
          <w:szCs w:val="24"/>
          <w:rtl/>
        </w:rPr>
      </w:pPr>
      <w:r>
        <w:rPr>
          <w:rFonts w:cs="David" w:hint="cs"/>
          <w:szCs w:val="24"/>
          <w:rtl/>
        </w:rPr>
        <w:t xml:space="preserve">יוסי שריד טען שיו"ר הכנסת פעל בניגוד לתקנון כאשר דחה ישיבה שאמורה </w:t>
      </w:r>
      <w:proofErr w:type="spellStart"/>
      <w:r>
        <w:rPr>
          <w:rFonts w:cs="David" w:hint="cs"/>
          <w:szCs w:val="24"/>
          <w:rtl/>
        </w:rPr>
        <w:t>היתה</w:t>
      </w:r>
      <w:proofErr w:type="spellEnd"/>
      <w:r>
        <w:rPr>
          <w:rFonts w:cs="David" w:hint="cs"/>
          <w:szCs w:val="24"/>
          <w:rtl/>
        </w:rPr>
        <w:t xml:space="preserve"> לדון בהצעת אי-אמון. פסק הדין של השופט ברק, שכלל בסה"כ חמישה עמודים, דחה את העתירה. קבע שלבג"צ יש סמכות להתערב בהליכיה הפנימיים של הכנסת, וזאת עפ"י חוק יסוד: השפיטה. בחוק כתוב שבג"צ יכול לתת צו כנגד כל גוף ציבורי על פי דין. הכוונה בחוק היא שלבג"צ יש סמכות להתערב בפעולותיהם של נושאי תפקיד ציבורי </w:t>
      </w:r>
      <w:r>
        <w:rPr>
          <w:rFonts w:cs="David"/>
          <w:szCs w:val="24"/>
          <w:rtl/>
        </w:rPr>
        <w:t>–</w:t>
      </w:r>
      <w:r>
        <w:rPr>
          <w:rFonts w:cs="David" w:hint="cs"/>
          <w:szCs w:val="24"/>
          <w:rtl/>
        </w:rPr>
        <w:t xml:space="preserve"> המחשבה לא </w:t>
      </w:r>
      <w:proofErr w:type="spellStart"/>
      <w:r>
        <w:rPr>
          <w:rFonts w:cs="David" w:hint="cs"/>
          <w:szCs w:val="24"/>
          <w:rtl/>
        </w:rPr>
        <w:t>היתה</w:t>
      </w:r>
      <w:proofErr w:type="spellEnd"/>
      <w:r>
        <w:rPr>
          <w:rFonts w:cs="David" w:hint="cs"/>
          <w:szCs w:val="24"/>
          <w:rtl/>
        </w:rPr>
        <w:t xml:space="preserve"> על הכנסת. </w:t>
      </w:r>
    </w:p>
    <w:p w:rsidR="004457B0" w:rsidRDefault="004457B0" w:rsidP="004457B0">
      <w:pPr>
        <w:rPr>
          <w:rFonts w:cs="David"/>
          <w:szCs w:val="24"/>
          <w:rtl/>
        </w:rPr>
      </w:pPr>
      <w:r>
        <w:rPr>
          <w:rFonts w:cs="David" w:hint="cs"/>
          <w:szCs w:val="24"/>
          <w:rtl/>
        </w:rPr>
        <w:t xml:space="preserve">בהחלטה </w:t>
      </w:r>
      <w:proofErr w:type="spellStart"/>
      <w:r>
        <w:rPr>
          <w:rFonts w:cs="David" w:hint="cs"/>
          <w:szCs w:val="24"/>
          <w:rtl/>
        </w:rPr>
        <w:t>הבג"צ</w:t>
      </w:r>
      <w:proofErr w:type="spellEnd"/>
      <w:r>
        <w:rPr>
          <w:rFonts w:cs="David" w:hint="cs"/>
          <w:szCs w:val="24"/>
          <w:rtl/>
        </w:rPr>
        <w:t xml:space="preserve"> קובע שהכנסת היא כמו כל גוף ציבורי אחר בהקשר זה. עם זאת, בג"צ קובע שהתערבות תהיה רק במקרים בהם נוצרת מידה של פגיעה במרקם החיים </w:t>
      </w:r>
      <w:proofErr w:type="spellStart"/>
      <w:r>
        <w:rPr>
          <w:rFonts w:cs="David" w:hint="cs"/>
          <w:szCs w:val="24"/>
          <w:rtl/>
        </w:rPr>
        <w:t>הפרלמנטריים</w:t>
      </w:r>
      <w:proofErr w:type="spellEnd"/>
      <w:r>
        <w:rPr>
          <w:rFonts w:cs="David" w:hint="cs"/>
          <w:szCs w:val="24"/>
          <w:rtl/>
        </w:rPr>
        <w:t xml:space="preserve">, ושלמידת הפגיעה השפעה על עקרונות היסוד של המשטר החוקתי. </w:t>
      </w:r>
    </w:p>
    <w:p w:rsidR="004457B0" w:rsidRDefault="004457B0" w:rsidP="004457B0">
      <w:pPr>
        <w:tabs>
          <w:tab w:val="left" w:pos="4161"/>
        </w:tabs>
        <w:rPr>
          <w:rFonts w:cs="David"/>
          <w:szCs w:val="24"/>
          <w:rtl/>
        </w:rPr>
      </w:pPr>
      <w:r>
        <w:rPr>
          <w:rFonts w:cs="David" w:hint="cs"/>
          <w:szCs w:val="24"/>
          <w:rtl/>
        </w:rPr>
        <w:t xml:space="preserve">בית המשפט קובע כאן מבחן עמום, מבחן הנתון להמון פרשנות.   </w:t>
      </w:r>
    </w:p>
    <w:p w:rsidR="004457B0" w:rsidRDefault="004457B0" w:rsidP="004457B0">
      <w:pPr>
        <w:tabs>
          <w:tab w:val="left" w:pos="4161"/>
        </w:tabs>
        <w:rPr>
          <w:rFonts w:cs="David"/>
          <w:szCs w:val="24"/>
          <w:rtl/>
        </w:rPr>
      </w:pPr>
      <w:r>
        <w:rPr>
          <w:rFonts w:cs="David" w:hint="cs"/>
          <w:szCs w:val="24"/>
          <w:rtl/>
        </w:rPr>
        <w:t xml:space="preserve">הביטוי המעשי של ההחלטה הגיע בשנים 1984-1988 </w:t>
      </w:r>
      <w:r>
        <w:rPr>
          <w:rFonts w:cs="David"/>
          <w:szCs w:val="24"/>
          <w:rtl/>
        </w:rPr>
        <w:t>–</w:t>
      </w:r>
      <w:r>
        <w:rPr>
          <w:rFonts w:cs="David" w:hint="cs"/>
          <w:szCs w:val="24"/>
          <w:rtl/>
        </w:rPr>
        <w:t xml:space="preserve"> שנות כהונתו של ח"כ מאיר כהנא בכנסת. </w:t>
      </w:r>
      <w:r w:rsidR="00FF4EEB">
        <w:rPr>
          <w:rFonts w:cs="David" w:hint="cs"/>
          <w:szCs w:val="24"/>
          <w:rtl/>
        </w:rPr>
        <w:t xml:space="preserve">הכנסת ניסתה לאורך התקופה להצר את צעדיו של כהנא </w:t>
      </w:r>
      <w:r w:rsidR="00FF4EEB">
        <w:rPr>
          <w:rFonts w:cs="David"/>
          <w:szCs w:val="24"/>
          <w:rtl/>
        </w:rPr>
        <w:t>–</w:t>
      </w:r>
      <w:r w:rsidR="00FF4EEB">
        <w:rPr>
          <w:rFonts w:cs="David" w:hint="cs"/>
          <w:szCs w:val="24"/>
          <w:rtl/>
        </w:rPr>
        <w:t xml:space="preserve"> והוא </w:t>
      </w:r>
      <w:proofErr w:type="spellStart"/>
      <w:r w:rsidR="00FF4EEB">
        <w:rPr>
          <w:rFonts w:cs="David" w:hint="cs"/>
          <w:szCs w:val="24"/>
          <w:rtl/>
        </w:rPr>
        <w:t>איתגר</w:t>
      </w:r>
      <w:proofErr w:type="spellEnd"/>
      <w:r w:rsidR="00FF4EEB">
        <w:rPr>
          <w:rFonts w:cs="David" w:hint="cs"/>
          <w:szCs w:val="24"/>
          <w:rtl/>
        </w:rPr>
        <w:t xml:space="preserve"> את החלטותיה בבג"צ. </w:t>
      </w:r>
    </w:p>
    <w:p w:rsidR="00FF4EEB" w:rsidRDefault="00FF4EEB" w:rsidP="004457B0">
      <w:pPr>
        <w:tabs>
          <w:tab w:val="left" w:pos="4161"/>
        </w:tabs>
        <w:rPr>
          <w:rFonts w:cs="David"/>
          <w:szCs w:val="24"/>
          <w:rtl/>
        </w:rPr>
      </w:pPr>
      <w:r>
        <w:rPr>
          <w:rFonts w:cs="David" w:hint="cs"/>
          <w:szCs w:val="24"/>
          <w:rtl/>
        </w:rPr>
        <w:t xml:space="preserve">דוגמא </w:t>
      </w:r>
      <w:r>
        <w:rPr>
          <w:rFonts w:cs="David"/>
          <w:szCs w:val="24"/>
          <w:rtl/>
        </w:rPr>
        <w:t>–</w:t>
      </w:r>
      <w:r>
        <w:rPr>
          <w:rFonts w:cs="David" w:hint="cs"/>
          <w:szCs w:val="24"/>
          <w:rtl/>
        </w:rPr>
        <w:t xml:space="preserve"> החוק קובע שכל סיעה רשאית להגיש הצעת אי-אמון בממשלה. כאשר כהנא ביקש להגיש הצעת אי-אמון, תוקן התקנון כך שלסיעות יחיד אסור להגיש הצעות אי-אמון. </w:t>
      </w:r>
    </w:p>
    <w:p w:rsidR="00FF4EEB" w:rsidRDefault="00FF4EEB" w:rsidP="004457B0">
      <w:pPr>
        <w:tabs>
          <w:tab w:val="left" w:pos="4161"/>
        </w:tabs>
        <w:rPr>
          <w:rFonts w:cs="David"/>
          <w:szCs w:val="24"/>
          <w:rtl/>
        </w:rPr>
      </w:pPr>
      <w:r>
        <w:rPr>
          <w:rFonts w:cs="David" w:hint="cs"/>
          <w:szCs w:val="24"/>
          <w:rtl/>
        </w:rPr>
        <w:t xml:space="preserve">בתיק סיעת כך קבע בית המשפט שהחלטת הכנסת בעניין זה פוגעת בעקרונות המשטר הדמוקרטי, ופסל את החלטת הכנסת. </w:t>
      </w:r>
    </w:p>
    <w:p w:rsidR="00FF4EEB" w:rsidRDefault="00FF4EEB" w:rsidP="004457B0">
      <w:pPr>
        <w:tabs>
          <w:tab w:val="left" w:pos="4161"/>
        </w:tabs>
        <w:rPr>
          <w:rFonts w:cs="David"/>
          <w:szCs w:val="24"/>
          <w:rtl/>
        </w:rPr>
      </w:pPr>
      <w:r>
        <w:rPr>
          <w:rFonts w:cs="David" w:hint="cs"/>
          <w:szCs w:val="24"/>
          <w:rtl/>
        </w:rPr>
        <w:t xml:space="preserve">במקרה אחר, כהנא הגיש שתי הצעות חוק </w:t>
      </w:r>
      <w:r>
        <w:rPr>
          <w:rFonts w:cs="David"/>
          <w:szCs w:val="24"/>
          <w:rtl/>
        </w:rPr>
        <w:t>–</w:t>
      </w:r>
      <w:r>
        <w:rPr>
          <w:rFonts w:cs="David" w:hint="cs"/>
          <w:szCs w:val="24"/>
          <w:rtl/>
        </w:rPr>
        <w:t xml:space="preserve"> הראשונה, קובעת שמי שאינו יהודי אינו יכול להיות אזרח המדינה ויוגדר גר-תושב, ועליו יחולו חובות מיסים ועבדות, וכן הלאה.... </w:t>
      </w:r>
      <w:proofErr w:type="spellStart"/>
      <w:r>
        <w:rPr>
          <w:rFonts w:cs="David" w:hint="cs"/>
          <w:szCs w:val="24"/>
          <w:rtl/>
        </w:rPr>
        <w:t>השניה</w:t>
      </w:r>
      <w:proofErr w:type="spellEnd"/>
      <w:r>
        <w:rPr>
          <w:rFonts w:cs="David" w:hint="cs"/>
          <w:szCs w:val="24"/>
          <w:rtl/>
        </w:rPr>
        <w:t>, הצעת החוק למניעת התבוללות, ביקשה לאסור על נישואי תערובת, להקים חופי רחצה נפרדים ליהודים ולערבים, ולאסור יחסי אישות בין יהודים וערבים וכן הלאה...</w:t>
      </w:r>
    </w:p>
    <w:p w:rsidR="00FF4EEB" w:rsidRDefault="00FF4EEB" w:rsidP="004457B0">
      <w:pPr>
        <w:tabs>
          <w:tab w:val="left" w:pos="4161"/>
        </w:tabs>
        <w:rPr>
          <w:rFonts w:cs="David"/>
          <w:szCs w:val="24"/>
          <w:rtl/>
        </w:rPr>
      </w:pPr>
      <w:r>
        <w:rPr>
          <w:rFonts w:cs="David" w:hint="cs"/>
          <w:szCs w:val="24"/>
          <w:rtl/>
        </w:rPr>
        <w:t xml:space="preserve">לפי החוק, נשיאות הכנסת צריכה לאשר הצעות חוק, ולהביא אותן לשולחן הכנסת. יו"ר הכנסת, שלמה הלל, לא הסכים לעשות זאת ולהביא את ההצעות לדיון בכנסת. כהנא עתר לבג"ץ. השופט ברק דן בהצעה וקבע שהכנסת לא יכולה לפסול הצעות חוק לדיון בגלל תוכנן, וחייב את הכנסת להביא את ההצעה לדיון. זאת, כל עוד לא משנים את תקנון הכנסת. </w:t>
      </w:r>
    </w:p>
    <w:p w:rsidR="00FF4EEB" w:rsidRDefault="00844129" w:rsidP="004457B0">
      <w:pPr>
        <w:tabs>
          <w:tab w:val="left" w:pos="4161"/>
        </w:tabs>
        <w:rPr>
          <w:rFonts w:cs="David"/>
          <w:szCs w:val="24"/>
          <w:rtl/>
        </w:rPr>
      </w:pPr>
      <w:r>
        <w:rPr>
          <w:rFonts w:cs="David" w:hint="cs"/>
          <w:szCs w:val="24"/>
          <w:rtl/>
        </w:rPr>
        <w:lastRenderedPageBreak/>
        <w:t xml:space="preserve">בתגובה, פעל יו"ר הכנסת לתיקון תקנון הכנסת, והכניס סעיף שלא יוגשו הצבעות חוק גזעניות או השוללות את קיום מדינת ישראל כמדינה יהודית ודמוקרטית. לאור זאת, לא הוגשו הצעות החוק לדיון בכנסת. </w:t>
      </w:r>
    </w:p>
    <w:p w:rsidR="00844129" w:rsidRDefault="00844129" w:rsidP="004457B0">
      <w:pPr>
        <w:tabs>
          <w:tab w:val="left" w:pos="4161"/>
        </w:tabs>
        <w:rPr>
          <w:rFonts w:cs="David"/>
          <w:szCs w:val="24"/>
          <w:rtl/>
        </w:rPr>
      </w:pPr>
      <w:r>
        <w:rPr>
          <w:rFonts w:cs="David" w:hint="cs"/>
          <w:szCs w:val="24"/>
          <w:rtl/>
        </w:rPr>
        <w:t xml:space="preserve">בכל המקרים בהם עתר כהנא ביהמ"ש קבע שעליו להגן על זכויות המיעוט מפני רודנות הרוב, ופסק לזכותו. </w:t>
      </w:r>
    </w:p>
    <w:p w:rsidR="00844129" w:rsidRDefault="00844129" w:rsidP="004457B0">
      <w:pPr>
        <w:tabs>
          <w:tab w:val="left" w:pos="4161"/>
        </w:tabs>
        <w:rPr>
          <w:rFonts w:cs="David"/>
          <w:szCs w:val="24"/>
          <w:rtl/>
        </w:rPr>
      </w:pPr>
      <w:r>
        <w:rPr>
          <w:rFonts w:cs="David" w:hint="cs"/>
          <w:szCs w:val="24"/>
          <w:rtl/>
        </w:rPr>
        <w:t xml:space="preserve">המקרה היחידי בו פסק ביהמ"ש באופן שונה היה </w:t>
      </w:r>
      <w:r w:rsidR="00CB5E03">
        <w:rPr>
          <w:rFonts w:cs="David" w:hint="cs"/>
          <w:szCs w:val="24"/>
          <w:rtl/>
        </w:rPr>
        <w:t xml:space="preserve">בעניין הצהרת הנאמנות של חברי הכנסת בעת ההשבעה, לה הוסיף כהנא פסוק מתהילים. יו"ר הכנסת קיבל את ההצהרה. שנה לאחר מכן, בית המשפט האמריקאי ביקש לשלול את אזרחותו האמריקאית מאחר שהצהיר אמונים למדינת ישראל. כהנא טען שהוא הצהיר אמונים לתורה, על בסיס המשפט שהוסיף להצהרה. לאור זאת, יו"ר הכנסת דרש מכהנא להצהיר מחדש על הנאמנות </w:t>
      </w:r>
      <w:r w:rsidR="00CB5E03">
        <w:rPr>
          <w:rFonts w:cs="David"/>
          <w:szCs w:val="24"/>
          <w:rtl/>
        </w:rPr>
        <w:t>–</w:t>
      </w:r>
      <w:r w:rsidR="00CB5E03">
        <w:rPr>
          <w:rFonts w:cs="David" w:hint="cs"/>
          <w:szCs w:val="24"/>
          <w:rtl/>
        </w:rPr>
        <w:t xml:space="preserve"> ופנה שוב לבג"ץ בנושא. </w:t>
      </w:r>
    </w:p>
    <w:p w:rsidR="00CB5E03" w:rsidRDefault="00CB5E03" w:rsidP="004457B0">
      <w:pPr>
        <w:tabs>
          <w:tab w:val="left" w:pos="4161"/>
        </w:tabs>
        <w:rPr>
          <w:rFonts w:cs="David"/>
          <w:szCs w:val="24"/>
          <w:rtl/>
        </w:rPr>
      </w:pPr>
      <w:r>
        <w:rPr>
          <w:rFonts w:cs="David" w:hint="cs"/>
          <w:szCs w:val="24"/>
          <w:rtl/>
        </w:rPr>
        <w:t xml:space="preserve">לפני הדיון בעתירה כהנא הסכים להצהיר אמונים מחדש </w:t>
      </w:r>
      <w:r>
        <w:rPr>
          <w:rFonts w:cs="David"/>
          <w:szCs w:val="24"/>
          <w:rtl/>
        </w:rPr>
        <w:t>–</w:t>
      </w:r>
      <w:r>
        <w:rPr>
          <w:rFonts w:cs="David" w:hint="cs"/>
          <w:szCs w:val="24"/>
          <w:rtl/>
        </w:rPr>
        <w:t xml:space="preserve"> אך שוב חזר על אותו פסוק. בית המשפט קבע שלאור ההתנהלות שלו, הוא לא ראוי לקבל סעד מבית המשפט. </w:t>
      </w:r>
    </w:p>
    <w:p w:rsidR="008C2F6B" w:rsidRDefault="008C2F6B" w:rsidP="004457B0">
      <w:pPr>
        <w:tabs>
          <w:tab w:val="left" w:pos="4161"/>
        </w:tabs>
        <w:rPr>
          <w:rFonts w:cs="David"/>
          <w:b/>
          <w:bCs/>
          <w:szCs w:val="24"/>
          <w:rtl/>
        </w:rPr>
      </w:pPr>
      <w:r w:rsidRPr="008C2F6B">
        <w:rPr>
          <w:rFonts w:cs="David" w:hint="cs"/>
          <w:b/>
          <w:bCs/>
          <w:szCs w:val="24"/>
          <w:rtl/>
        </w:rPr>
        <w:t xml:space="preserve">לסיכום </w:t>
      </w:r>
      <w:r w:rsidRPr="008C2F6B">
        <w:rPr>
          <w:rFonts w:cs="David"/>
          <w:b/>
          <w:bCs/>
          <w:szCs w:val="24"/>
          <w:rtl/>
        </w:rPr>
        <w:t>–</w:t>
      </w:r>
      <w:r w:rsidRPr="008C2F6B">
        <w:rPr>
          <w:rFonts w:cs="David" w:hint="cs"/>
          <w:b/>
          <w:bCs/>
          <w:szCs w:val="24"/>
          <w:rtl/>
        </w:rPr>
        <w:t xml:space="preserve"> בית המשפט קבע שיש לו סמכות להתערב בהליכיה הפנימיים של הכנסת, ומאוחר יותר גם קבע שיש לו סמכות לביקורת שיפוטית. </w:t>
      </w:r>
    </w:p>
    <w:p w:rsidR="008C2F6B" w:rsidRDefault="008C2F6B" w:rsidP="00021862">
      <w:pPr>
        <w:tabs>
          <w:tab w:val="left" w:pos="4161"/>
        </w:tabs>
        <w:rPr>
          <w:rFonts w:cs="David"/>
          <w:szCs w:val="24"/>
          <w:rtl/>
        </w:rPr>
      </w:pPr>
      <w:r>
        <w:rPr>
          <w:rFonts w:cs="David" w:hint="cs"/>
          <w:szCs w:val="24"/>
          <w:rtl/>
        </w:rPr>
        <w:t>כפי שראינו, לבית המשפט סמכות לבטל חוק אם החוק לא חוקתי</w:t>
      </w:r>
      <w:r w:rsidR="00E10B96">
        <w:rPr>
          <w:rFonts w:cs="David" w:hint="cs"/>
          <w:szCs w:val="24"/>
          <w:rtl/>
        </w:rPr>
        <w:t xml:space="preserve"> (פוגע בזכויות לתכלית ראויה ו/או באופן לא מידתי)</w:t>
      </w:r>
      <w:r>
        <w:rPr>
          <w:rFonts w:cs="David" w:hint="cs"/>
          <w:szCs w:val="24"/>
          <w:rtl/>
        </w:rPr>
        <w:t xml:space="preserve">, </w:t>
      </w:r>
      <w:r w:rsidR="00E10B96">
        <w:rPr>
          <w:rFonts w:cs="David" w:hint="cs"/>
          <w:szCs w:val="24"/>
          <w:rtl/>
        </w:rPr>
        <w:t>או</w:t>
      </w:r>
      <w:r>
        <w:rPr>
          <w:rFonts w:cs="David" w:hint="cs"/>
          <w:szCs w:val="24"/>
          <w:rtl/>
        </w:rPr>
        <w:t xml:space="preserve"> אם ה</w:t>
      </w:r>
      <w:r w:rsidR="00021862">
        <w:rPr>
          <w:rFonts w:cs="David" w:hint="cs"/>
          <w:szCs w:val="24"/>
          <w:rtl/>
        </w:rPr>
        <w:t xml:space="preserve">וא מנוגד לערכי היסוד של המדינה </w:t>
      </w:r>
      <w:r w:rsidR="00021862">
        <w:rPr>
          <w:rFonts w:cs="David"/>
          <w:szCs w:val="24"/>
          <w:rtl/>
        </w:rPr>
        <w:t>–</w:t>
      </w:r>
      <w:r w:rsidR="00021862">
        <w:rPr>
          <w:rFonts w:cs="David" w:hint="cs"/>
          <w:szCs w:val="24"/>
          <w:rtl/>
        </w:rPr>
        <w:t xml:space="preserve"> והדבר חל גם על חוקי יסוד. </w:t>
      </w:r>
    </w:p>
    <w:p w:rsidR="00E10B96" w:rsidRPr="00E10B96" w:rsidRDefault="00E10B96" w:rsidP="00E10B96">
      <w:pPr>
        <w:tabs>
          <w:tab w:val="left" w:pos="4161"/>
        </w:tabs>
        <w:rPr>
          <w:rFonts w:cs="David"/>
          <w:szCs w:val="24"/>
          <w:u w:val="single"/>
          <w:rtl/>
        </w:rPr>
      </w:pPr>
      <w:r w:rsidRPr="00E10B96">
        <w:rPr>
          <w:rFonts w:cs="David" w:hint="cs"/>
          <w:szCs w:val="24"/>
          <w:u w:val="single"/>
          <w:rtl/>
        </w:rPr>
        <w:t>חוק ההסדרים</w:t>
      </w:r>
    </w:p>
    <w:p w:rsidR="00E10B96" w:rsidRDefault="00E10B96" w:rsidP="00E10B96">
      <w:pPr>
        <w:tabs>
          <w:tab w:val="left" w:pos="4161"/>
        </w:tabs>
        <w:rPr>
          <w:rFonts w:cs="David"/>
          <w:szCs w:val="24"/>
          <w:rtl/>
        </w:rPr>
      </w:pPr>
      <w:r>
        <w:rPr>
          <w:rFonts w:cs="David" w:hint="cs"/>
          <w:szCs w:val="24"/>
          <w:rtl/>
        </w:rPr>
        <w:t xml:space="preserve">חוק המובא לאישור הכנסת כל שנה לצד חוק התקציב. החוק מפרט שורה של פעולות </w:t>
      </w:r>
      <w:r w:rsidR="00B94B4B">
        <w:rPr>
          <w:rFonts w:cs="David" w:hint="cs"/>
          <w:szCs w:val="24"/>
          <w:rtl/>
        </w:rPr>
        <w:t xml:space="preserve"> המייצרות רפורמות שונות, ושהממשלה לא מעוניינת שיהיה דיון ממשי בהן. החוק התנפח והחל לכלול סעיפים רבים שהממשלה לא הצליחה להעביר בדרכים אחרות. </w:t>
      </w:r>
    </w:p>
    <w:p w:rsidR="00B94B4B" w:rsidRDefault="00B94B4B" w:rsidP="00E10B96">
      <w:pPr>
        <w:tabs>
          <w:tab w:val="left" w:pos="4161"/>
        </w:tabs>
        <w:rPr>
          <w:rFonts w:cs="David"/>
          <w:szCs w:val="24"/>
          <w:rtl/>
        </w:rPr>
      </w:pPr>
      <w:r>
        <w:rPr>
          <w:rFonts w:cs="David" w:hint="cs"/>
          <w:szCs w:val="24"/>
          <w:rtl/>
        </w:rPr>
        <w:t xml:space="preserve">ב-2003 נכללה בחוק ההסדרים רפורמה בנושא גידול עופות. ארגון מגדלי העופות הגיש עתירה לבג"ץ כנגד חוק ההסדרים. הטענה </w:t>
      </w:r>
      <w:proofErr w:type="spellStart"/>
      <w:r>
        <w:rPr>
          <w:rFonts w:cs="David" w:hint="cs"/>
          <w:szCs w:val="24"/>
          <w:rtl/>
        </w:rPr>
        <w:t>היתה</w:t>
      </w:r>
      <w:proofErr w:type="spellEnd"/>
      <w:r>
        <w:rPr>
          <w:rFonts w:cs="David" w:hint="cs"/>
          <w:szCs w:val="24"/>
          <w:rtl/>
        </w:rPr>
        <w:t xml:space="preserve"> לא שהחוק אינו חוקתי או מנוגד לערכי יסוד, אלא שהליך החקיקה של החוק לא תקין. </w:t>
      </w:r>
    </w:p>
    <w:p w:rsidR="00021862" w:rsidRDefault="00021862" w:rsidP="00E10B96">
      <w:pPr>
        <w:tabs>
          <w:tab w:val="left" w:pos="4161"/>
        </w:tabs>
        <w:rPr>
          <w:rFonts w:cs="David"/>
          <w:szCs w:val="24"/>
          <w:rtl/>
        </w:rPr>
      </w:pPr>
      <w:r>
        <w:rPr>
          <w:rFonts w:cs="David" w:hint="cs"/>
          <w:szCs w:val="24"/>
          <w:rtl/>
        </w:rPr>
        <w:t xml:space="preserve">זוהי לא עילה קיימת לביקורת שיפוטית. בית המשפט דחה את העתירה (כרגיל כאשר הוא קובע תקדים חוקתי), אך הנשיאה בייניש הוסיפה בפסק הדין אפשרות נוספת לביקורת שיפוטית </w:t>
      </w:r>
      <w:r>
        <w:rPr>
          <w:rFonts w:cs="David"/>
          <w:szCs w:val="24"/>
          <w:rtl/>
        </w:rPr>
        <w:t>–</w:t>
      </w:r>
      <w:r>
        <w:rPr>
          <w:rFonts w:cs="David" w:hint="cs"/>
          <w:szCs w:val="24"/>
          <w:rtl/>
        </w:rPr>
        <w:t xml:space="preserve"> ביקורת בשם פגם בהליך החקיקה. היא קבע</w:t>
      </w:r>
      <w:r w:rsidR="0011395F">
        <w:rPr>
          <w:rFonts w:cs="David" w:hint="cs"/>
          <w:szCs w:val="24"/>
          <w:rtl/>
        </w:rPr>
        <w:t>ה</w:t>
      </w:r>
      <w:r>
        <w:rPr>
          <w:rFonts w:cs="David" w:hint="cs"/>
          <w:szCs w:val="24"/>
          <w:rtl/>
        </w:rPr>
        <w:t xml:space="preserve"> שבית המשפט יכול לבטל חוק אם הוא מגלה פגם משמעותי כזה </w:t>
      </w:r>
      <w:r>
        <w:rPr>
          <w:rFonts w:cs="David"/>
          <w:szCs w:val="24"/>
          <w:rtl/>
        </w:rPr>
        <w:t>–</w:t>
      </w:r>
      <w:r>
        <w:rPr>
          <w:rFonts w:cs="David" w:hint="cs"/>
          <w:szCs w:val="24"/>
          <w:rtl/>
        </w:rPr>
        <w:t xml:space="preserve"> למשל, אם פוגעים בעקרון ההשתתפות </w:t>
      </w:r>
      <w:r>
        <w:rPr>
          <w:rFonts w:cs="David"/>
          <w:szCs w:val="24"/>
          <w:rtl/>
        </w:rPr>
        <w:t>–</w:t>
      </w:r>
      <w:r>
        <w:rPr>
          <w:rFonts w:cs="David" w:hint="cs"/>
          <w:szCs w:val="24"/>
          <w:rtl/>
        </w:rPr>
        <w:t xml:space="preserve"> ביכולתם של חברי הכנסת להשתתף בהצבעה, או בעקרון השוויון של חברי הכנסת </w:t>
      </w:r>
      <w:r>
        <w:rPr>
          <w:rFonts w:cs="David"/>
          <w:szCs w:val="24"/>
          <w:rtl/>
        </w:rPr>
        <w:t>–</w:t>
      </w:r>
      <w:r>
        <w:rPr>
          <w:rFonts w:cs="David" w:hint="cs"/>
          <w:szCs w:val="24"/>
          <w:rtl/>
        </w:rPr>
        <w:t xml:space="preserve"> אם מישהו הצביע פעמיים. </w:t>
      </w:r>
    </w:p>
    <w:p w:rsidR="00021862" w:rsidRDefault="00021862" w:rsidP="00E10B96">
      <w:pPr>
        <w:tabs>
          <w:tab w:val="left" w:pos="4161"/>
        </w:tabs>
        <w:rPr>
          <w:rFonts w:cs="David"/>
          <w:szCs w:val="24"/>
          <w:rtl/>
        </w:rPr>
      </w:pPr>
      <w:r>
        <w:rPr>
          <w:rFonts w:cs="David" w:hint="cs"/>
          <w:szCs w:val="24"/>
          <w:rtl/>
        </w:rPr>
        <w:t xml:space="preserve">בפועל, פסק הדין שימש כהזהרה, וכתוצאה מכך הכנסת צמצמה מאוד את חוק ההסדרים </w:t>
      </w:r>
      <w:r>
        <w:rPr>
          <w:rFonts w:cs="David"/>
          <w:szCs w:val="24"/>
          <w:rtl/>
        </w:rPr>
        <w:t>–</w:t>
      </w:r>
      <w:r>
        <w:rPr>
          <w:rFonts w:cs="David" w:hint="cs"/>
          <w:szCs w:val="24"/>
          <w:rtl/>
        </w:rPr>
        <w:t xml:space="preserve"> ולא נעשה שימוש בפועל בעילה זאת. </w:t>
      </w:r>
    </w:p>
    <w:p w:rsidR="00021862" w:rsidRDefault="00021862" w:rsidP="00E10B96">
      <w:pPr>
        <w:tabs>
          <w:tab w:val="left" w:pos="4161"/>
        </w:tabs>
        <w:rPr>
          <w:rFonts w:cs="David"/>
          <w:szCs w:val="24"/>
          <w:rtl/>
        </w:rPr>
      </w:pPr>
    </w:p>
    <w:p w:rsidR="008C2F6B" w:rsidRPr="008C2F6B" w:rsidRDefault="008C2F6B" w:rsidP="004457B0">
      <w:pPr>
        <w:tabs>
          <w:tab w:val="left" w:pos="4161"/>
        </w:tabs>
        <w:rPr>
          <w:rFonts w:cs="David"/>
          <w:szCs w:val="24"/>
          <w:rtl/>
        </w:rPr>
      </w:pPr>
    </w:p>
    <w:p w:rsidR="008C2F6B" w:rsidRPr="004457B0" w:rsidRDefault="008C2F6B" w:rsidP="004457B0">
      <w:pPr>
        <w:tabs>
          <w:tab w:val="left" w:pos="4161"/>
        </w:tabs>
        <w:rPr>
          <w:rFonts w:cs="David"/>
          <w:szCs w:val="24"/>
          <w:rtl/>
        </w:rPr>
      </w:pPr>
    </w:p>
    <w:p w:rsidR="004457B0" w:rsidRDefault="004457B0" w:rsidP="00D946DD">
      <w:pPr>
        <w:rPr>
          <w:rFonts w:cs="David"/>
          <w:szCs w:val="24"/>
          <w:rtl/>
        </w:rPr>
      </w:pPr>
    </w:p>
    <w:p w:rsidR="00D946DD" w:rsidRDefault="00D946DD" w:rsidP="00D946DD">
      <w:pPr>
        <w:rPr>
          <w:rFonts w:cs="David"/>
          <w:szCs w:val="24"/>
          <w:rtl/>
        </w:rPr>
      </w:pPr>
    </w:p>
    <w:p w:rsidR="00D946DD" w:rsidRPr="00095C07" w:rsidRDefault="00D946DD" w:rsidP="00095C07">
      <w:pPr>
        <w:rPr>
          <w:rFonts w:cs="David"/>
          <w:szCs w:val="24"/>
        </w:rPr>
      </w:pPr>
    </w:p>
    <w:sectPr w:rsidR="00D946DD" w:rsidRPr="00095C07" w:rsidSect="00C23C1F">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01B" w:rsidRDefault="00BE401B" w:rsidP="004C3965">
      <w:pPr>
        <w:spacing w:after="0" w:line="240" w:lineRule="auto"/>
      </w:pPr>
      <w:r>
        <w:separator/>
      </w:r>
    </w:p>
  </w:endnote>
  <w:endnote w:type="continuationSeparator" w:id="0">
    <w:p w:rsidR="00BE401B" w:rsidRDefault="00BE401B" w:rsidP="004C3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01B" w:rsidRDefault="00BE401B" w:rsidP="004C3965">
      <w:pPr>
        <w:spacing w:after="0" w:line="240" w:lineRule="auto"/>
      </w:pPr>
      <w:r>
        <w:separator/>
      </w:r>
    </w:p>
  </w:footnote>
  <w:footnote w:type="continuationSeparator" w:id="0">
    <w:p w:rsidR="00BE401B" w:rsidRDefault="00BE401B" w:rsidP="004C3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65" w:rsidRDefault="004C3965" w:rsidP="00EB3382">
    <w:pPr>
      <w:jc w:val="center"/>
      <w:rPr>
        <w:rFonts w:cs="David"/>
        <w:sz w:val="24"/>
        <w:szCs w:val="24"/>
        <w:rtl/>
      </w:rPr>
    </w:pPr>
    <w:r>
      <w:rPr>
        <w:rFonts w:cs="David" w:hint="cs"/>
        <w:sz w:val="24"/>
        <w:szCs w:val="24"/>
        <w:rtl/>
      </w:rPr>
      <w:t xml:space="preserve">סוגיות במשפט ציבורי </w:t>
    </w:r>
    <w:r>
      <w:rPr>
        <w:rFonts w:cs="David"/>
        <w:sz w:val="24"/>
        <w:szCs w:val="24"/>
        <w:rtl/>
      </w:rPr>
      <w:t>–</w:t>
    </w:r>
    <w:r>
      <w:rPr>
        <w:rFonts w:cs="David" w:hint="cs"/>
        <w:sz w:val="24"/>
        <w:szCs w:val="24"/>
        <w:rtl/>
      </w:rPr>
      <w:t xml:space="preserve"> </w:t>
    </w:r>
    <w:r w:rsidR="00243389">
      <w:rPr>
        <w:rFonts w:cs="David" w:hint="cs"/>
        <w:sz w:val="24"/>
        <w:szCs w:val="24"/>
        <w:rtl/>
      </w:rPr>
      <w:t xml:space="preserve">שיעור 9 - </w:t>
    </w:r>
    <w:proofErr w:type="spellStart"/>
    <w:r>
      <w:rPr>
        <w:rFonts w:cs="David" w:hint="cs"/>
        <w:sz w:val="24"/>
        <w:szCs w:val="24"/>
        <w:rtl/>
      </w:rPr>
      <w:t>פרופ</w:t>
    </w:r>
    <w:proofErr w:type="spellEnd"/>
    <w:r>
      <w:rPr>
        <w:rFonts w:cs="David" w:hint="cs"/>
        <w:sz w:val="24"/>
        <w:szCs w:val="24"/>
        <w:rtl/>
      </w:rPr>
      <w:t xml:space="preserve">' סוזי נבות, </w:t>
    </w:r>
    <w:r w:rsidR="00EB3382">
      <w:rPr>
        <w:rFonts w:cs="David" w:hint="cs"/>
        <w:sz w:val="24"/>
        <w:szCs w:val="24"/>
        <w:rtl/>
      </w:rPr>
      <w:t>9.11</w:t>
    </w:r>
    <w:r w:rsidR="001A421A">
      <w:rPr>
        <w:rFonts w:cs="David" w:hint="cs"/>
        <w:sz w:val="24"/>
        <w:szCs w:val="24"/>
        <w:rtl/>
      </w:rPr>
      <w:t>.14</w:t>
    </w:r>
  </w:p>
  <w:p w:rsidR="004C3965" w:rsidRDefault="004C3965" w:rsidP="004C3965">
    <w:pPr>
      <w:pStyle w:val="a3"/>
    </w:pPr>
  </w:p>
  <w:p w:rsidR="004C3965" w:rsidRDefault="004C39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E79"/>
    <w:multiLevelType w:val="hybridMultilevel"/>
    <w:tmpl w:val="2FBA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72A3D"/>
    <w:multiLevelType w:val="hybridMultilevel"/>
    <w:tmpl w:val="FFDC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93C31"/>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773B3"/>
    <w:multiLevelType w:val="hybridMultilevel"/>
    <w:tmpl w:val="B8C2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75F72"/>
    <w:multiLevelType w:val="hybridMultilevel"/>
    <w:tmpl w:val="2FBA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76537"/>
    <w:multiLevelType w:val="hybridMultilevel"/>
    <w:tmpl w:val="8B2EF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74844"/>
    <w:multiLevelType w:val="hybridMultilevel"/>
    <w:tmpl w:val="0996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8F43F8"/>
    <w:multiLevelType w:val="hybridMultilevel"/>
    <w:tmpl w:val="9842A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7C0FA3"/>
    <w:multiLevelType w:val="hybridMultilevel"/>
    <w:tmpl w:val="2DEE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E33FBB"/>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592645"/>
    <w:multiLevelType w:val="hybridMultilevel"/>
    <w:tmpl w:val="A2B6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8750B8"/>
    <w:multiLevelType w:val="hybridMultilevel"/>
    <w:tmpl w:val="C11C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2"/>
  </w:num>
  <w:num w:numId="5">
    <w:abstractNumId w:val="11"/>
  </w:num>
  <w:num w:numId="6">
    <w:abstractNumId w:val="8"/>
  </w:num>
  <w:num w:numId="7">
    <w:abstractNumId w:val="4"/>
  </w:num>
  <w:num w:numId="8">
    <w:abstractNumId w:val="0"/>
  </w:num>
  <w:num w:numId="9">
    <w:abstractNumId w:val="6"/>
  </w:num>
  <w:num w:numId="10">
    <w:abstractNumId w:val="1"/>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C3965"/>
    <w:rsid w:val="00021862"/>
    <w:rsid w:val="000423E2"/>
    <w:rsid w:val="00056AF8"/>
    <w:rsid w:val="00095C07"/>
    <w:rsid w:val="000A1E04"/>
    <w:rsid w:val="000B71CA"/>
    <w:rsid w:val="000D0AAE"/>
    <w:rsid w:val="000D477E"/>
    <w:rsid w:val="000D65D5"/>
    <w:rsid w:val="0011395F"/>
    <w:rsid w:val="00114E7B"/>
    <w:rsid w:val="00121322"/>
    <w:rsid w:val="001331CC"/>
    <w:rsid w:val="00150036"/>
    <w:rsid w:val="0017055F"/>
    <w:rsid w:val="001A421A"/>
    <w:rsid w:val="001C2481"/>
    <w:rsid w:val="00224D66"/>
    <w:rsid w:val="00225E23"/>
    <w:rsid w:val="00243389"/>
    <w:rsid w:val="00256720"/>
    <w:rsid w:val="002752BE"/>
    <w:rsid w:val="002862BB"/>
    <w:rsid w:val="002A6F6E"/>
    <w:rsid w:val="002B256A"/>
    <w:rsid w:val="002D4B9A"/>
    <w:rsid w:val="002E5390"/>
    <w:rsid w:val="00301AEC"/>
    <w:rsid w:val="00352A07"/>
    <w:rsid w:val="003737BA"/>
    <w:rsid w:val="00381B53"/>
    <w:rsid w:val="003D1E5F"/>
    <w:rsid w:val="003F1E1E"/>
    <w:rsid w:val="004129BF"/>
    <w:rsid w:val="00436001"/>
    <w:rsid w:val="0044008F"/>
    <w:rsid w:val="004457B0"/>
    <w:rsid w:val="00456872"/>
    <w:rsid w:val="004600CD"/>
    <w:rsid w:val="00467BCE"/>
    <w:rsid w:val="00484FB4"/>
    <w:rsid w:val="00494BAA"/>
    <w:rsid w:val="004A4784"/>
    <w:rsid w:val="004C3965"/>
    <w:rsid w:val="004C7290"/>
    <w:rsid w:val="004D74B7"/>
    <w:rsid w:val="00581F71"/>
    <w:rsid w:val="005C12AD"/>
    <w:rsid w:val="005F460E"/>
    <w:rsid w:val="005F68C1"/>
    <w:rsid w:val="006059FD"/>
    <w:rsid w:val="006433A0"/>
    <w:rsid w:val="00645E1F"/>
    <w:rsid w:val="00691B8F"/>
    <w:rsid w:val="00695382"/>
    <w:rsid w:val="006A22C0"/>
    <w:rsid w:val="006B5D67"/>
    <w:rsid w:val="006B6730"/>
    <w:rsid w:val="006C6437"/>
    <w:rsid w:val="006D0013"/>
    <w:rsid w:val="006D4457"/>
    <w:rsid w:val="006E2BEB"/>
    <w:rsid w:val="00710FF2"/>
    <w:rsid w:val="007663BF"/>
    <w:rsid w:val="00781458"/>
    <w:rsid w:val="00783C9E"/>
    <w:rsid w:val="00784C9A"/>
    <w:rsid w:val="007905E5"/>
    <w:rsid w:val="007C1898"/>
    <w:rsid w:val="007E0264"/>
    <w:rsid w:val="008237F3"/>
    <w:rsid w:val="00832369"/>
    <w:rsid w:val="00833D63"/>
    <w:rsid w:val="00844129"/>
    <w:rsid w:val="00885B1D"/>
    <w:rsid w:val="0089259F"/>
    <w:rsid w:val="00896C2F"/>
    <w:rsid w:val="008B3AE3"/>
    <w:rsid w:val="008B4D02"/>
    <w:rsid w:val="008C2F6B"/>
    <w:rsid w:val="008D4942"/>
    <w:rsid w:val="008D6335"/>
    <w:rsid w:val="00913BF1"/>
    <w:rsid w:val="00922989"/>
    <w:rsid w:val="009307A4"/>
    <w:rsid w:val="0093418E"/>
    <w:rsid w:val="009638C8"/>
    <w:rsid w:val="00963ABA"/>
    <w:rsid w:val="00965879"/>
    <w:rsid w:val="009B15A5"/>
    <w:rsid w:val="009B5544"/>
    <w:rsid w:val="009D4265"/>
    <w:rsid w:val="00A30BDF"/>
    <w:rsid w:val="00A361B6"/>
    <w:rsid w:val="00A50C8B"/>
    <w:rsid w:val="00A554C5"/>
    <w:rsid w:val="00A74B7A"/>
    <w:rsid w:val="00A772CE"/>
    <w:rsid w:val="00A91E6B"/>
    <w:rsid w:val="00AF24D3"/>
    <w:rsid w:val="00B7789F"/>
    <w:rsid w:val="00B94B4B"/>
    <w:rsid w:val="00BE401B"/>
    <w:rsid w:val="00BE7EC8"/>
    <w:rsid w:val="00BF7BF1"/>
    <w:rsid w:val="00C23C1F"/>
    <w:rsid w:val="00C55BF8"/>
    <w:rsid w:val="00CB5E03"/>
    <w:rsid w:val="00CC363B"/>
    <w:rsid w:val="00D01BC4"/>
    <w:rsid w:val="00D67700"/>
    <w:rsid w:val="00D7306B"/>
    <w:rsid w:val="00D80B42"/>
    <w:rsid w:val="00D80F4D"/>
    <w:rsid w:val="00D93157"/>
    <w:rsid w:val="00D946DD"/>
    <w:rsid w:val="00DA5973"/>
    <w:rsid w:val="00DA6930"/>
    <w:rsid w:val="00DA6FF3"/>
    <w:rsid w:val="00DB5263"/>
    <w:rsid w:val="00DD7767"/>
    <w:rsid w:val="00DE10AA"/>
    <w:rsid w:val="00DF7277"/>
    <w:rsid w:val="00E02308"/>
    <w:rsid w:val="00E10B96"/>
    <w:rsid w:val="00E13E4C"/>
    <w:rsid w:val="00E145D4"/>
    <w:rsid w:val="00E255E6"/>
    <w:rsid w:val="00E53908"/>
    <w:rsid w:val="00E53975"/>
    <w:rsid w:val="00EB3382"/>
    <w:rsid w:val="00EC22B7"/>
    <w:rsid w:val="00F20C9C"/>
    <w:rsid w:val="00F23478"/>
    <w:rsid w:val="00F30353"/>
    <w:rsid w:val="00F321D1"/>
    <w:rsid w:val="00F419BD"/>
    <w:rsid w:val="00F67D8C"/>
    <w:rsid w:val="00FB23B9"/>
    <w:rsid w:val="00FE12FB"/>
    <w:rsid w:val="00FF4EE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9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965"/>
    <w:pPr>
      <w:tabs>
        <w:tab w:val="center" w:pos="4153"/>
        <w:tab w:val="right" w:pos="8306"/>
      </w:tabs>
      <w:spacing w:after="0" w:line="240" w:lineRule="auto"/>
    </w:pPr>
  </w:style>
  <w:style w:type="character" w:customStyle="1" w:styleId="a4">
    <w:name w:val="כותרת עליונה תו"/>
    <w:basedOn w:val="a0"/>
    <w:link w:val="a3"/>
    <w:uiPriority w:val="99"/>
    <w:rsid w:val="004C3965"/>
  </w:style>
  <w:style w:type="paragraph" w:styleId="a5">
    <w:name w:val="footer"/>
    <w:basedOn w:val="a"/>
    <w:link w:val="a6"/>
    <w:uiPriority w:val="99"/>
    <w:semiHidden/>
    <w:unhideWhenUsed/>
    <w:rsid w:val="004C3965"/>
    <w:pPr>
      <w:tabs>
        <w:tab w:val="center" w:pos="4153"/>
        <w:tab w:val="right" w:pos="8306"/>
      </w:tabs>
      <w:spacing w:after="0" w:line="240" w:lineRule="auto"/>
    </w:pPr>
  </w:style>
  <w:style w:type="character" w:customStyle="1" w:styleId="a6">
    <w:name w:val="כותרת תחתונה תו"/>
    <w:basedOn w:val="a0"/>
    <w:link w:val="a5"/>
    <w:uiPriority w:val="99"/>
    <w:semiHidden/>
    <w:rsid w:val="004C3965"/>
  </w:style>
  <w:style w:type="paragraph" w:styleId="a7">
    <w:name w:val="Balloon Text"/>
    <w:basedOn w:val="a"/>
    <w:link w:val="a8"/>
    <w:uiPriority w:val="99"/>
    <w:semiHidden/>
    <w:unhideWhenUsed/>
    <w:rsid w:val="004C396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C3965"/>
    <w:rPr>
      <w:rFonts w:ascii="Tahoma" w:hAnsi="Tahoma" w:cs="Tahoma"/>
      <w:sz w:val="16"/>
      <w:szCs w:val="16"/>
    </w:rPr>
  </w:style>
  <w:style w:type="paragraph" w:styleId="a9">
    <w:name w:val="List Paragraph"/>
    <w:basedOn w:val="a"/>
    <w:uiPriority w:val="34"/>
    <w:qFormat/>
    <w:rsid w:val="009229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DA9A4-EA13-4E3D-8402-EE17F27C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1129</Words>
  <Characters>5645</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 חגי</dc:creator>
  <cp:lastModifiedBy>גל חגי</cp:lastModifiedBy>
  <cp:revision>10</cp:revision>
  <dcterms:created xsi:type="dcterms:W3CDTF">2014-11-19T12:43:00Z</dcterms:created>
  <dcterms:modified xsi:type="dcterms:W3CDTF">2014-11-19T17:17:00Z</dcterms:modified>
</cp:coreProperties>
</file>