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45" w:rsidRDefault="00D21330" w:rsidP="00D21330">
      <w:pPr>
        <w:spacing w:line="360" w:lineRule="auto"/>
        <w:rPr>
          <w:rFonts w:cs="David" w:hint="cs"/>
          <w:sz w:val="28"/>
          <w:szCs w:val="28"/>
          <w:rtl/>
        </w:rPr>
      </w:pPr>
      <w:r w:rsidRPr="00D21330">
        <w:rPr>
          <w:rFonts w:cs="David" w:hint="cs"/>
          <w:sz w:val="28"/>
          <w:szCs w:val="28"/>
          <w:u w:val="single"/>
          <w:rtl/>
        </w:rPr>
        <w:t>המבחן</w:t>
      </w:r>
      <w:r>
        <w:rPr>
          <w:rFonts w:cs="David" w:hint="cs"/>
          <w:sz w:val="28"/>
          <w:szCs w:val="28"/>
          <w:rtl/>
        </w:rPr>
        <w:t xml:space="preserve"> </w:t>
      </w:r>
      <w:r>
        <w:rPr>
          <w:rFonts w:cs="David"/>
          <w:sz w:val="28"/>
          <w:szCs w:val="28"/>
          <w:rtl/>
        </w:rPr>
        <w:t>–</w:t>
      </w:r>
      <w:r>
        <w:rPr>
          <w:rFonts w:cs="David" w:hint="cs"/>
          <w:sz w:val="28"/>
          <w:szCs w:val="28"/>
          <w:rtl/>
        </w:rPr>
        <w:t xml:space="preserve"> מבחן אמריקאי, 11 שאלות, ציון עובר </w:t>
      </w:r>
      <w:r>
        <w:rPr>
          <w:rFonts w:cs="David"/>
          <w:sz w:val="28"/>
          <w:szCs w:val="28"/>
          <w:rtl/>
        </w:rPr>
        <w:t>–</w:t>
      </w:r>
      <w:r>
        <w:rPr>
          <w:rFonts w:cs="David" w:hint="cs"/>
          <w:sz w:val="28"/>
          <w:szCs w:val="28"/>
          <w:rtl/>
        </w:rPr>
        <w:t xml:space="preserve"> לא עובר, ללא חומר עזר, חצי שעה. </w:t>
      </w:r>
    </w:p>
    <w:p w:rsidR="00D21330" w:rsidRPr="00D21330" w:rsidRDefault="00D21330" w:rsidP="00D21330">
      <w:pPr>
        <w:spacing w:line="360" w:lineRule="auto"/>
        <w:rPr>
          <w:rFonts w:cs="David" w:hint="cs"/>
          <w:sz w:val="28"/>
          <w:szCs w:val="28"/>
          <w:u w:val="single"/>
          <w:rtl/>
        </w:rPr>
      </w:pPr>
      <w:r w:rsidRPr="00D21330">
        <w:rPr>
          <w:rFonts w:cs="David" w:hint="cs"/>
          <w:sz w:val="28"/>
          <w:szCs w:val="28"/>
          <w:u w:val="single"/>
          <w:rtl/>
        </w:rPr>
        <w:t>יחסי הצבא ובית המשפט</w:t>
      </w:r>
    </w:p>
    <w:p w:rsidR="00D21330" w:rsidRDefault="00D21330" w:rsidP="00D21330">
      <w:pPr>
        <w:spacing w:line="360" w:lineRule="auto"/>
        <w:rPr>
          <w:rFonts w:cs="David" w:hint="cs"/>
          <w:sz w:val="28"/>
          <w:szCs w:val="28"/>
          <w:rtl/>
        </w:rPr>
      </w:pPr>
      <w:r>
        <w:rPr>
          <w:rFonts w:cs="David" w:hint="cs"/>
          <w:sz w:val="28"/>
          <w:szCs w:val="28"/>
          <w:rtl/>
        </w:rPr>
        <w:t xml:space="preserve">נושא </w:t>
      </w:r>
      <w:r w:rsidR="00043C75">
        <w:rPr>
          <w:rFonts w:cs="David" w:hint="cs"/>
          <w:sz w:val="28"/>
          <w:szCs w:val="28"/>
          <w:rtl/>
        </w:rPr>
        <w:t>י</w:t>
      </w:r>
      <w:r>
        <w:rPr>
          <w:rFonts w:cs="David" w:hint="cs"/>
          <w:sz w:val="28"/>
          <w:szCs w:val="28"/>
          <w:rtl/>
        </w:rPr>
        <w:t xml:space="preserve">יחודי לישראל. התערבות של מערכת שיפוטית בנושאים הגרעיניים של הצבא היא תופעה </w:t>
      </w:r>
      <w:r w:rsidR="00043C75">
        <w:rPr>
          <w:rFonts w:cs="David" w:hint="cs"/>
          <w:sz w:val="28"/>
          <w:szCs w:val="28"/>
          <w:rtl/>
        </w:rPr>
        <w:t>י</w:t>
      </w:r>
      <w:r>
        <w:rPr>
          <w:rFonts w:cs="David" w:hint="cs"/>
          <w:sz w:val="28"/>
          <w:szCs w:val="28"/>
          <w:rtl/>
        </w:rPr>
        <w:t xml:space="preserve">יחודית לישראל. </w:t>
      </w:r>
    </w:p>
    <w:p w:rsidR="00D21330" w:rsidRDefault="00D21330" w:rsidP="00D21330">
      <w:pPr>
        <w:spacing w:line="360" w:lineRule="auto"/>
        <w:rPr>
          <w:rFonts w:cs="David" w:hint="cs"/>
          <w:sz w:val="28"/>
          <w:szCs w:val="28"/>
          <w:rtl/>
        </w:rPr>
      </w:pPr>
      <w:r>
        <w:rPr>
          <w:rFonts w:cs="David" w:hint="cs"/>
          <w:sz w:val="28"/>
          <w:szCs w:val="28"/>
          <w:rtl/>
        </w:rPr>
        <w:t xml:space="preserve">עד שנות ה-90, מערכת המשפט נמנעה מלהתערב בשני תחומים </w:t>
      </w:r>
      <w:r>
        <w:rPr>
          <w:rFonts w:cs="David"/>
          <w:sz w:val="28"/>
          <w:szCs w:val="28"/>
          <w:rtl/>
        </w:rPr>
        <w:t>–</w:t>
      </w:r>
      <w:r>
        <w:rPr>
          <w:rFonts w:cs="David" w:hint="cs"/>
          <w:sz w:val="28"/>
          <w:szCs w:val="28"/>
          <w:rtl/>
        </w:rPr>
        <w:t xml:space="preserve"> צבא ופוליטיקה. הטענה היא לא שבית המשפט אינו מוסמך, אלא שהנושא </w:t>
      </w:r>
      <w:r w:rsidRPr="00D21330">
        <w:rPr>
          <w:rFonts w:cs="David" w:hint="cs"/>
          <w:b/>
          <w:bCs/>
          <w:sz w:val="28"/>
          <w:szCs w:val="28"/>
          <w:rtl/>
        </w:rPr>
        <w:t>אינו שפיט</w:t>
      </w:r>
      <w:r>
        <w:rPr>
          <w:rFonts w:cs="David" w:hint="cs"/>
          <w:sz w:val="28"/>
          <w:szCs w:val="28"/>
          <w:rtl/>
        </w:rPr>
        <w:t xml:space="preserve"> </w:t>
      </w:r>
      <w:r>
        <w:rPr>
          <w:rFonts w:cs="David"/>
          <w:sz w:val="28"/>
          <w:szCs w:val="28"/>
          <w:rtl/>
        </w:rPr>
        <w:t>–</w:t>
      </w:r>
      <w:r>
        <w:rPr>
          <w:rFonts w:cs="David" w:hint="cs"/>
          <w:sz w:val="28"/>
          <w:szCs w:val="28"/>
          <w:rtl/>
        </w:rPr>
        <w:t xml:space="preserve"> ביהמ"ש לא רוצה לעסוק בו. </w:t>
      </w:r>
    </w:p>
    <w:p w:rsidR="00D21330" w:rsidRDefault="00D21330" w:rsidP="00D21330">
      <w:pPr>
        <w:spacing w:line="360" w:lineRule="auto"/>
        <w:rPr>
          <w:rFonts w:cs="David" w:hint="cs"/>
          <w:sz w:val="28"/>
          <w:szCs w:val="28"/>
          <w:rtl/>
        </w:rPr>
      </w:pPr>
      <w:r>
        <w:rPr>
          <w:rFonts w:cs="David" w:hint="cs"/>
          <w:sz w:val="28"/>
          <w:szCs w:val="28"/>
          <w:rtl/>
        </w:rPr>
        <w:t xml:space="preserve">מבחינת הסמכות, סעיף הסעד למען הצדק מאפשר לבית המשפט להתערב גם בנושאים צבאיים. הסעיף שבו בית המשפט עושה שימוש הוא אחר </w:t>
      </w:r>
      <w:r>
        <w:rPr>
          <w:rFonts w:cs="David"/>
          <w:sz w:val="28"/>
          <w:szCs w:val="28"/>
          <w:rtl/>
        </w:rPr>
        <w:t>–</w:t>
      </w:r>
      <w:r>
        <w:rPr>
          <w:rFonts w:cs="David" w:hint="cs"/>
          <w:sz w:val="28"/>
          <w:szCs w:val="28"/>
          <w:rtl/>
        </w:rPr>
        <w:t xml:space="preserve"> הסעיף המסמיך את בית המשפט העליון לתת צווים נגד גופים ציבוריים. בפועל עד</w:t>
      </w:r>
      <w:r w:rsidR="00EB7570">
        <w:rPr>
          <w:rFonts w:cs="David" w:hint="cs"/>
          <w:sz w:val="28"/>
          <w:szCs w:val="28"/>
          <w:rtl/>
        </w:rPr>
        <w:t>,</w:t>
      </w:r>
      <w:r>
        <w:rPr>
          <w:rFonts w:cs="David" w:hint="cs"/>
          <w:sz w:val="28"/>
          <w:szCs w:val="28"/>
          <w:rtl/>
        </w:rPr>
        <w:t xml:space="preserve"> שנות ה-90 בית המשפט לא עשה שימוש גם בסעיף זה. </w:t>
      </w:r>
    </w:p>
    <w:p w:rsidR="00D21330" w:rsidRDefault="00EB7570" w:rsidP="00D21330">
      <w:pPr>
        <w:spacing w:line="360" w:lineRule="auto"/>
        <w:rPr>
          <w:rFonts w:cs="David" w:hint="cs"/>
          <w:sz w:val="28"/>
          <w:szCs w:val="28"/>
          <w:rtl/>
        </w:rPr>
      </w:pPr>
      <w:r>
        <w:rPr>
          <w:rFonts w:cs="David" w:hint="cs"/>
          <w:sz w:val="28"/>
          <w:szCs w:val="28"/>
          <w:rtl/>
        </w:rPr>
        <w:t xml:space="preserve">פסק הדין שביטא תפיסה זו היה פס"ד מוטי אשכנזי משנת </w:t>
      </w:r>
      <w:proofErr w:type="spellStart"/>
      <w:r>
        <w:rPr>
          <w:rFonts w:cs="David" w:hint="cs"/>
          <w:sz w:val="28"/>
          <w:szCs w:val="28"/>
          <w:rtl/>
        </w:rPr>
        <w:t>75</w:t>
      </w:r>
      <w:proofErr w:type="spellEnd"/>
      <w:r>
        <w:rPr>
          <w:rFonts w:cs="David" w:hint="cs"/>
          <w:sz w:val="28"/>
          <w:szCs w:val="28"/>
          <w:rtl/>
        </w:rPr>
        <w:t xml:space="preserve">' </w:t>
      </w:r>
      <w:r>
        <w:rPr>
          <w:rFonts w:cs="David"/>
          <w:sz w:val="28"/>
          <w:szCs w:val="28"/>
          <w:rtl/>
        </w:rPr>
        <w:t>–</w:t>
      </w:r>
      <w:r>
        <w:rPr>
          <w:rFonts w:cs="David" w:hint="cs"/>
          <w:sz w:val="28"/>
          <w:szCs w:val="28"/>
          <w:rtl/>
        </w:rPr>
        <w:t xml:space="preserve"> בתגובה לדרישת מוטי אשכנזי לחייב את הצבא לאמץ את דו"ח </w:t>
      </w:r>
      <w:proofErr w:type="spellStart"/>
      <w:r>
        <w:rPr>
          <w:rFonts w:cs="David" w:hint="cs"/>
          <w:sz w:val="28"/>
          <w:szCs w:val="28"/>
          <w:rtl/>
        </w:rPr>
        <w:t>אגרנט</w:t>
      </w:r>
      <w:proofErr w:type="spellEnd"/>
      <w:r>
        <w:rPr>
          <w:rFonts w:cs="David" w:hint="cs"/>
          <w:sz w:val="28"/>
          <w:szCs w:val="28"/>
          <w:rtl/>
        </w:rPr>
        <w:t xml:space="preserve">. בית המשפט ניצל את העתירה כדי להודיע שאינו רואה את התחום כשפיט </w:t>
      </w:r>
      <w:r>
        <w:rPr>
          <w:rFonts w:cs="David"/>
          <w:sz w:val="28"/>
          <w:szCs w:val="28"/>
          <w:rtl/>
        </w:rPr>
        <w:t>–</w:t>
      </w:r>
      <w:r>
        <w:rPr>
          <w:rFonts w:cs="David" w:hint="cs"/>
          <w:sz w:val="28"/>
          <w:szCs w:val="28"/>
          <w:rtl/>
        </w:rPr>
        <w:t xml:space="preserve"> החלטות בדבר הצטיידות, מינויים, מבנה </w:t>
      </w:r>
      <w:r>
        <w:rPr>
          <w:rFonts w:cs="David"/>
          <w:sz w:val="28"/>
          <w:szCs w:val="28"/>
          <w:rtl/>
        </w:rPr>
        <w:t>–</w:t>
      </w:r>
      <w:r>
        <w:rPr>
          <w:rFonts w:cs="David" w:hint="cs"/>
          <w:sz w:val="28"/>
          <w:szCs w:val="28"/>
          <w:rtl/>
        </w:rPr>
        <w:t xml:space="preserve"> כל אלה אינם שפיטים. הנושא היחידי שהינו כן שפיט, הנו מה שקיים לגביו חוק קונקרטי </w:t>
      </w:r>
      <w:r>
        <w:rPr>
          <w:rFonts w:cs="David"/>
          <w:sz w:val="28"/>
          <w:szCs w:val="28"/>
          <w:rtl/>
        </w:rPr>
        <w:t>–</w:t>
      </w:r>
      <w:r>
        <w:rPr>
          <w:rFonts w:cs="David" w:hint="cs"/>
          <w:sz w:val="28"/>
          <w:szCs w:val="28"/>
          <w:rtl/>
        </w:rPr>
        <w:t xml:space="preserve"> למשל, הפרה של חוק שירות ביטחון, או חוק השיפוט הצבאי. </w:t>
      </w:r>
    </w:p>
    <w:p w:rsidR="00EB7570" w:rsidRDefault="00EB7570" w:rsidP="00D21330">
      <w:pPr>
        <w:spacing w:line="360" w:lineRule="auto"/>
        <w:rPr>
          <w:rFonts w:cs="David" w:hint="cs"/>
          <w:sz w:val="28"/>
          <w:szCs w:val="28"/>
          <w:rtl/>
        </w:rPr>
      </w:pPr>
      <w:r>
        <w:rPr>
          <w:rFonts w:cs="David" w:hint="cs"/>
          <w:sz w:val="28"/>
          <w:szCs w:val="28"/>
          <w:rtl/>
        </w:rPr>
        <w:t xml:space="preserve">השינוי החל בשנות ה-90. אלה השנים שבהם נשבר הטאבו בדבר הנושאים הלא שפיטים. </w:t>
      </w:r>
      <w:r w:rsidR="00152AF8">
        <w:rPr>
          <w:rFonts w:cs="David" w:hint="cs"/>
          <w:sz w:val="28"/>
          <w:szCs w:val="28"/>
          <w:rtl/>
        </w:rPr>
        <w:t xml:space="preserve">בשנים אלה נחקקו חוקי היסוד העוסקים בזכויות וכבוד האדם </w:t>
      </w:r>
      <w:r w:rsidR="00152AF8">
        <w:rPr>
          <w:rFonts w:cs="David"/>
          <w:sz w:val="28"/>
          <w:szCs w:val="28"/>
          <w:rtl/>
        </w:rPr>
        <w:t>–</w:t>
      </w:r>
      <w:r w:rsidR="00152AF8">
        <w:rPr>
          <w:rFonts w:cs="David" w:hint="cs"/>
          <w:sz w:val="28"/>
          <w:szCs w:val="28"/>
          <w:rtl/>
        </w:rPr>
        <w:t xml:space="preserve"> ועימם חלק המהפכה החוקתית. השאלה שנוצרה היא האם חוקי היסוד מייצרים לבית המשפט דריסת רגל גם בתוך הצבא </w:t>
      </w:r>
      <w:r w:rsidR="00152AF8">
        <w:rPr>
          <w:rFonts w:cs="David"/>
          <w:sz w:val="28"/>
          <w:szCs w:val="28"/>
          <w:rtl/>
        </w:rPr>
        <w:t>–</w:t>
      </w:r>
      <w:r w:rsidR="00152AF8">
        <w:rPr>
          <w:rFonts w:cs="David" w:hint="cs"/>
          <w:sz w:val="28"/>
          <w:szCs w:val="28"/>
          <w:rtl/>
        </w:rPr>
        <w:t xml:space="preserve"> והתשובה היא שכן. </w:t>
      </w:r>
    </w:p>
    <w:p w:rsidR="00152AF8" w:rsidRDefault="00152AF8" w:rsidP="00D21330">
      <w:pPr>
        <w:spacing w:line="360" w:lineRule="auto"/>
        <w:rPr>
          <w:rFonts w:cs="David" w:hint="cs"/>
          <w:sz w:val="28"/>
          <w:szCs w:val="28"/>
          <w:rtl/>
        </w:rPr>
      </w:pPr>
      <w:r>
        <w:rPr>
          <w:rFonts w:cs="David" w:hint="cs"/>
          <w:sz w:val="28"/>
          <w:szCs w:val="28"/>
          <w:rtl/>
        </w:rPr>
        <w:t xml:space="preserve">הנושא הראשון שנדון היה תיק מ-1992 </w:t>
      </w:r>
      <w:r>
        <w:rPr>
          <w:rFonts w:cs="David"/>
          <w:sz w:val="28"/>
          <w:szCs w:val="28"/>
          <w:rtl/>
        </w:rPr>
        <w:t>–</w:t>
      </w:r>
      <w:r>
        <w:rPr>
          <w:rFonts w:cs="David" w:hint="cs"/>
          <w:sz w:val="28"/>
          <w:szCs w:val="28"/>
          <w:rtl/>
        </w:rPr>
        <w:t xml:space="preserve"> </w:t>
      </w:r>
      <w:r w:rsidRPr="00152AF8">
        <w:rPr>
          <w:rFonts w:cs="David" w:hint="cs"/>
          <w:sz w:val="28"/>
          <w:szCs w:val="28"/>
          <w:u w:val="single"/>
          <w:rtl/>
        </w:rPr>
        <w:t xml:space="preserve">פרשת </w:t>
      </w:r>
      <w:proofErr w:type="spellStart"/>
      <w:r w:rsidRPr="00152AF8">
        <w:rPr>
          <w:rFonts w:cs="David" w:hint="cs"/>
          <w:sz w:val="28"/>
          <w:szCs w:val="28"/>
          <w:u w:val="single"/>
          <w:rtl/>
        </w:rPr>
        <w:t>ויכסלבאום</w:t>
      </w:r>
      <w:proofErr w:type="spellEnd"/>
      <w:r>
        <w:rPr>
          <w:rFonts w:cs="David" w:hint="cs"/>
          <w:sz w:val="28"/>
          <w:szCs w:val="28"/>
          <w:rtl/>
        </w:rPr>
        <w:t xml:space="preserve">. אימו של ערן </w:t>
      </w:r>
      <w:proofErr w:type="spellStart"/>
      <w:r>
        <w:rPr>
          <w:rFonts w:cs="David" w:hint="cs"/>
          <w:sz w:val="28"/>
          <w:szCs w:val="28"/>
          <w:rtl/>
        </w:rPr>
        <w:t>ויכסלבאום</w:t>
      </w:r>
      <w:proofErr w:type="spellEnd"/>
      <w:r>
        <w:rPr>
          <w:rFonts w:cs="David" w:hint="cs"/>
          <w:sz w:val="28"/>
          <w:szCs w:val="28"/>
          <w:rtl/>
        </w:rPr>
        <w:t xml:space="preserve">, שנפל בשירותו הצבאי, ביקשה לשנות את הנוסח הרגיל הכתוב על מצבות הנופלים, ולהוסיף את המילים "אח של...". משרד הביטחון דחה את הבקשה, בשם עקרון האחידות. האם הגישה עתירה לבג"ץ נגד משרד הביטחון. </w:t>
      </w:r>
    </w:p>
    <w:p w:rsidR="007342CD" w:rsidRDefault="007342CD" w:rsidP="00D21330">
      <w:pPr>
        <w:spacing w:line="360" w:lineRule="auto"/>
        <w:rPr>
          <w:rFonts w:cs="David" w:hint="cs"/>
          <w:sz w:val="28"/>
          <w:szCs w:val="28"/>
          <w:rtl/>
        </w:rPr>
      </w:pPr>
      <w:r>
        <w:rPr>
          <w:rFonts w:cs="David" w:hint="cs"/>
          <w:sz w:val="28"/>
          <w:szCs w:val="28"/>
          <w:rtl/>
        </w:rPr>
        <w:t xml:space="preserve">טענת המשפחה </w:t>
      </w:r>
      <w:proofErr w:type="spellStart"/>
      <w:r>
        <w:rPr>
          <w:rFonts w:cs="David" w:hint="cs"/>
          <w:sz w:val="28"/>
          <w:szCs w:val="28"/>
          <w:rtl/>
        </w:rPr>
        <w:t>היתה</w:t>
      </w:r>
      <w:proofErr w:type="spellEnd"/>
      <w:r>
        <w:rPr>
          <w:rFonts w:cs="David" w:hint="cs"/>
          <w:sz w:val="28"/>
          <w:szCs w:val="28"/>
          <w:rtl/>
        </w:rPr>
        <w:t xml:space="preserve"> שמול עקרון האחידות עומד עיקרון כבוד האדם </w:t>
      </w:r>
      <w:r>
        <w:rPr>
          <w:rFonts w:cs="David"/>
          <w:sz w:val="28"/>
          <w:szCs w:val="28"/>
          <w:rtl/>
        </w:rPr>
        <w:t>–</w:t>
      </w:r>
      <w:r>
        <w:rPr>
          <w:rFonts w:cs="David" w:hint="cs"/>
          <w:sz w:val="28"/>
          <w:szCs w:val="28"/>
          <w:rtl/>
        </w:rPr>
        <w:t xml:space="preserve"> ונדרש איזון בין השניים. העתירה נדחתה ברוב של שניים מול אחד. דעת המיעוט </w:t>
      </w:r>
      <w:proofErr w:type="spellStart"/>
      <w:r>
        <w:rPr>
          <w:rFonts w:cs="David" w:hint="cs"/>
          <w:sz w:val="28"/>
          <w:szCs w:val="28"/>
          <w:rtl/>
        </w:rPr>
        <w:t>היתה</w:t>
      </w:r>
      <w:proofErr w:type="spellEnd"/>
      <w:r>
        <w:rPr>
          <w:rFonts w:cs="David" w:hint="cs"/>
          <w:sz w:val="28"/>
          <w:szCs w:val="28"/>
          <w:rtl/>
        </w:rPr>
        <w:t xml:space="preserve"> של </w:t>
      </w:r>
      <w:r>
        <w:rPr>
          <w:rFonts w:cs="David" w:hint="cs"/>
          <w:sz w:val="28"/>
          <w:szCs w:val="28"/>
          <w:rtl/>
        </w:rPr>
        <w:lastRenderedPageBreak/>
        <w:t xml:space="preserve">השופט ברק, והנושא עבר לדיון נוסף בהרכב של חמישה שופטים, שהפך את ההחלטה, וקבע שמותר לתת ביטוי אישי </w:t>
      </w:r>
      <w:r>
        <w:rPr>
          <w:rFonts w:cs="David"/>
          <w:sz w:val="28"/>
          <w:szCs w:val="28"/>
          <w:rtl/>
        </w:rPr>
        <w:t>–</w:t>
      </w:r>
      <w:r>
        <w:rPr>
          <w:rFonts w:cs="David" w:hint="cs"/>
          <w:sz w:val="28"/>
          <w:szCs w:val="28"/>
          <w:rtl/>
        </w:rPr>
        <w:t xml:space="preserve"> לצד המצבה האחידה. </w:t>
      </w:r>
    </w:p>
    <w:p w:rsidR="007342CD" w:rsidRDefault="007342CD" w:rsidP="00D21330">
      <w:pPr>
        <w:spacing w:line="360" w:lineRule="auto"/>
        <w:rPr>
          <w:rFonts w:cs="David" w:hint="cs"/>
          <w:sz w:val="28"/>
          <w:szCs w:val="28"/>
          <w:rtl/>
        </w:rPr>
      </w:pPr>
      <w:r>
        <w:rPr>
          <w:rFonts w:cs="David" w:hint="cs"/>
          <w:sz w:val="28"/>
          <w:szCs w:val="28"/>
          <w:rtl/>
        </w:rPr>
        <w:t xml:space="preserve">למרות שהנושא הוא שולי לעיסוק הצבאי, והגוף מולו </w:t>
      </w:r>
      <w:proofErr w:type="spellStart"/>
      <w:r>
        <w:rPr>
          <w:rFonts w:cs="David" w:hint="cs"/>
          <w:sz w:val="28"/>
          <w:szCs w:val="28"/>
          <w:rtl/>
        </w:rPr>
        <w:t>היתה</w:t>
      </w:r>
      <w:proofErr w:type="spellEnd"/>
      <w:r>
        <w:rPr>
          <w:rFonts w:cs="David" w:hint="cs"/>
          <w:sz w:val="28"/>
          <w:szCs w:val="28"/>
          <w:rtl/>
        </w:rPr>
        <w:t xml:space="preserve"> העתירה היה משרד הביטחון ולא הצבא, ניתן לראות את ההחלטה כסדק הראשון. </w:t>
      </w:r>
    </w:p>
    <w:p w:rsidR="007342CD" w:rsidRDefault="007342CD" w:rsidP="00065D48">
      <w:pPr>
        <w:spacing w:line="360" w:lineRule="auto"/>
        <w:rPr>
          <w:rFonts w:cs="David" w:hint="cs"/>
          <w:sz w:val="28"/>
          <w:szCs w:val="28"/>
          <w:rtl/>
        </w:rPr>
      </w:pPr>
      <w:r>
        <w:rPr>
          <w:rFonts w:cs="David" w:hint="cs"/>
          <w:sz w:val="28"/>
          <w:szCs w:val="28"/>
          <w:rtl/>
        </w:rPr>
        <w:t xml:space="preserve">הנושא הבא שנדון היה חקירת תאונות צבאיות. בית המשפט הראה נכונות לדון בעתירות של משפחות שטענו שהצבא לא חקר כראוי תאונות. העתירות נדחו </w:t>
      </w:r>
      <w:r>
        <w:rPr>
          <w:rFonts w:cs="David"/>
          <w:sz w:val="28"/>
          <w:szCs w:val="28"/>
          <w:rtl/>
        </w:rPr>
        <w:t>–</w:t>
      </w:r>
      <w:r>
        <w:rPr>
          <w:rFonts w:cs="David" w:hint="cs"/>
          <w:sz w:val="28"/>
          <w:szCs w:val="28"/>
          <w:rtl/>
        </w:rPr>
        <w:t xml:space="preserve"> אבל בית המשפט התערב </w:t>
      </w:r>
      <w:r>
        <w:rPr>
          <w:rFonts w:cs="David"/>
          <w:sz w:val="28"/>
          <w:szCs w:val="28"/>
          <w:rtl/>
        </w:rPr>
        <w:t>–</w:t>
      </w:r>
      <w:r>
        <w:rPr>
          <w:rFonts w:cs="David" w:hint="cs"/>
          <w:sz w:val="28"/>
          <w:szCs w:val="28"/>
          <w:rtl/>
        </w:rPr>
        <w:t xml:space="preserve"> וביקש לראות שהחקירה נעשתה כראוי. </w:t>
      </w:r>
      <w:r w:rsidR="00853F5B">
        <w:rPr>
          <w:rFonts w:cs="David" w:hint="cs"/>
          <w:sz w:val="28"/>
          <w:szCs w:val="28"/>
          <w:rtl/>
        </w:rPr>
        <w:t xml:space="preserve">הפתח הזה אפשר, מאז, עתירות רבות שכן נדונו, אודות </w:t>
      </w:r>
      <w:r w:rsidR="00065D48">
        <w:rPr>
          <w:rFonts w:cs="David" w:hint="cs"/>
          <w:sz w:val="28"/>
          <w:szCs w:val="28"/>
          <w:rtl/>
        </w:rPr>
        <w:t>תהל</w:t>
      </w:r>
      <w:r w:rsidR="00AA6098">
        <w:rPr>
          <w:rFonts w:cs="David" w:hint="cs"/>
          <w:sz w:val="28"/>
          <w:szCs w:val="28"/>
          <w:rtl/>
        </w:rPr>
        <w:t>י</w:t>
      </w:r>
      <w:r w:rsidR="00065D48">
        <w:rPr>
          <w:rFonts w:cs="David" w:hint="cs"/>
          <w:sz w:val="28"/>
          <w:szCs w:val="28"/>
          <w:rtl/>
        </w:rPr>
        <w:t xml:space="preserve">כי התחקיר והפקת הלקחים בצבא, במהלכן בית המשפט יורד לעומק האירועים ולעומק התחקיר. בית המשפט בודק את סבירות ההחלטה, ואם מדובר בחוסר סבירות קיצונית, הוא רואה זכות לעצמו להתערב. יחד עם זאת, גם אם בית המשפט לא בוחר להתערב, הוא קובע שהצבא חייב לשמוע את עמדת המשפחות. </w:t>
      </w:r>
    </w:p>
    <w:p w:rsidR="000867B8" w:rsidRDefault="00B22592" w:rsidP="00B22592">
      <w:pPr>
        <w:spacing w:line="360" w:lineRule="auto"/>
        <w:rPr>
          <w:rFonts w:cs="David" w:hint="cs"/>
          <w:sz w:val="28"/>
          <w:szCs w:val="28"/>
          <w:rtl/>
        </w:rPr>
      </w:pPr>
      <w:r>
        <w:rPr>
          <w:rFonts w:cs="David" w:hint="cs"/>
          <w:sz w:val="28"/>
          <w:szCs w:val="28"/>
          <w:rtl/>
        </w:rPr>
        <w:t xml:space="preserve">התפיסה שברקע השינוי </w:t>
      </w:r>
      <w:r>
        <w:rPr>
          <w:rFonts w:cs="David"/>
          <w:sz w:val="28"/>
          <w:szCs w:val="28"/>
          <w:rtl/>
        </w:rPr>
        <w:t>–</w:t>
      </w:r>
      <w:r>
        <w:rPr>
          <w:rFonts w:cs="David" w:hint="cs"/>
          <w:sz w:val="28"/>
          <w:szCs w:val="28"/>
          <w:rtl/>
        </w:rPr>
        <w:t xml:space="preserve"> מניעת חללים שחורים ללא ביקורת ופיקוח. חוקי היסוד, כאשר הם קובעים נורמות כלליות, חייבים לפי גישה זו, לחול על כל תחומי החיים. </w:t>
      </w:r>
    </w:p>
    <w:p w:rsidR="00065D48" w:rsidRDefault="00E7585F" w:rsidP="00D21330">
      <w:pPr>
        <w:spacing w:line="360" w:lineRule="auto"/>
        <w:rPr>
          <w:rFonts w:cs="David" w:hint="cs"/>
          <w:sz w:val="28"/>
          <w:szCs w:val="28"/>
          <w:rtl/>
        </w:rPr>
      </w:pPr>
      <w:r>
        <w:rPr>
          <w:rFonts w:cs="David" w:hint="cs"/>
          <w:sz w:val="28"/>
          <w:szCs w:val="28"/>
          <w:rtl/>
        </w:rPr>
        <w:t xml:space="preserve">דוגמא לגבולות ההתערבות </w:t>
      </w:r>
      <w:r>
        <w:rPr>
          <w:rFonts w:cs="David"/>
          <w:sz w:val="28"/>
          <w:szCs w:val="28"/>
          <w:rtl/>
        </w:rPr>
        <w:t>–</w:t>
      </w:r>
      <w:r>
        <w:rPr>
          <w:rFonts w:cs="David" w:hint="cs"/>
          <w:sz w:val="28"/>
          <w:szCs w:val="28"/>
          <w:rtl/>
        </w:rPr>
        <w:t xml:space="preserve"> מאז עסקת ג'יבריל ב-</w:t>
      </w:r>
      <w:proofErr w:type="spellStart"/>
      <w:r>
        <w:rPr>
          <w:rFonts w:cs="David" w:hint="cs"/>
          <w:sz w:val="28"/>
          <w:szCs w:val="28"/>
          <w:rtl/>
        </w:rPr>
        <w:t>85</w:t>
      </w:r>
      <w:proofErr w:type="spellEnd"/>
      <w:r>
        <w:rPr>
          <w:rFonts w:cs="David" w:hint="cs"/>
          <w:sz w:val="28"/>
          <w:szCs w:val="28"/>
          <w:rtl/>
        </w:rPr>
        <w:t xml:space="preserve">' ועד היום, כל העתירות בנושא שחרור מחבלים הגיעו לבג"ץ </w:t>
      </w:r>
      <w:r>
        <w:rPr>
          <w:rFonts w:cs="David"/>
          <w:sz w:val="28"/>
          <w:szCs w:val="28"/>
          <w:rtl/>
        </w:rPr>
        <w:t>–</w:t>
      </w:r>
      <w:r>
        <w:rPr>
          <w:rFonts w:cs="David" w:hint="cs"/>
          <w:sz w:val="28"/>
          <w:szCs w:val="28"/>
          <w:rtl/>
        </w:rPr>
        <w:t xml:space="preserve"> וכולן נדחו, אבל נדונו. בין אם המסר הוא שיש פיקוח, או שבית המשפט מראה שיש במה למשפחות, העובדה מסמנת שבית המשפט נמצא שם, אבל מגביל את עצמו בהחלטותיו.  </w:t>
      </w:r>
    </w:p>
    <w:p w:rsidR="00065D48" w:rsidRDefault="00B55410" w:rsidP="00D21330">
      <w:pPr>
        <w:spacing w:line="360" w:lineRule="auto"/>
        <w:rPr>
          <w:rFonts w:cs="David" w:hint="cs"/>
          <w:sz w:val="28"/>
          <w:szCs w:val="28"/>
          <w:rtl/>
        </w:rPr>
      </w:pPr>
      <w:r>
        <w:rPr>
          <w:rFonts w:cs="David" w:hint="cs"/>
          <w:sz w:val="28"/>
          <w:szCs w:val="28"/>
          <w:rtl/>
        </w:rPr>
        <w:t>פרשת אליס מילר (</w:t>
      </w:r>
      <w:proofErr w:type="spellStart"/>
      <w:r>
        <w:rPr>
          <w:rFonts w:cs="David" w:hint="cs"/>
          <w:sz w:val="28"/>
          <w:szCs w:val="28"/>
          <w:rtl/>
        </w:rPr>
        <w:t>94</w:t>
      </w:r>
      <w:proofErr w:type="spellEnd"/>
      <w:r>
        <w:rPr>
          <w:rFonts w:cs="David" w:hint="cs"/>
          <w:sz w:val="28"/>
          <w:szCs w:val="28"/>
          <w:rtl/>
        </w:rPr>
        <w:t xml:space="preserve">') </w:t>
      </w:r>
      <w:r>
        <w:rPr>
          <w:rFonts w:cs="David"/>
          <w:sz w:val="28"/>
          <w:szCs w:val="28"/>
          <w:rtl/>
        </w:rPr>
        <w:t>–</w:t>
      </w:r>
      <w:r>
        <w:rPr>
          <w:rFonts w:cs="David" w:hint="cs"/>
          <w:sz w:val="28"/>
          <w:szCs w:val="28"/>
          <w:rtl/>
        </w:rPr>
        <w:t xml:space="preserve"> עוסק בנושא ליבה </w:t>
      </w:r>
      <w:r>
        <w:rPr>
          <w:rFonts w:cs="David"/>
          <w:sz w:val="28"/>
          <w:szCs w:val="28"/>
          <w:rtl/>
        </w:rPr>
        <w:t>–</w:t>
      </w:r>
      <w:r>
        <w:rPr>
          <w:rFonts w:cs="David" w:hint="cs"/>
          <w:sz w:val="28"/>
          <w:szCs w:val="28"/>
          <w:rtl/>
        </w:rPr>
        <w:t xml:space="preserve"> המיון והגיוס לצבא. מילר טענה שזכותה להתקבל לקורס טייס. הצבא טען, כטענה מקדמית, שאין להתערב בהחלטות מסוג זה. שנית, טען שלהחלטה יש משמעות כלכלית (עלות ההכשרה אל מול זמן השירות הצפוי של </w:t>
      </w:r>
      <w:proofErr w:type="spellStart"/>
      <w:r>
        <w:rPr>
          <w:rFonts w:cs="David" w:hint="cs"/>
          <w:sz w:val="28"/>
          <w:szCs w:val="28"/>
          <w:rtl/>
        </w:rPr>
        <w:t>אשה</w:t>
      </w:r>
      <w:proofErr w:type="spellEnd"/>
      <w:r>
        <w:rPr>
          <w:rFonts w:cs="David" w:hint="cs"/>
          <w:sz w:val="28"/>
          <w:szCs w:val="28"/>
          <w:rtl/>
        </w:rPr>
        <w:t xml:space="preserve">) </w:t>
      </w:r>
      <w:r>
        <w:rPr>
          <w:rFonts w:cs="David"/>
          <w:sz w:val="28"/>
          <w:szCs w:val="28"/>
          <w:rtl/>
        </w:rPr>
        <w:t>–</w:t>
      </w:r>
      <w:r>
        <w:rPr>
          <w:rFonts w:cs="David" w:hint="cs"/>
          <w:sz w:val="28"/>
          <w:szCs w:val="28"/>
          <w:rtl/>
        </w:rPr>
        <w:t xml:space="preserve"> וגם כאן, לא נכון שבית המשפט יתערב. בית המשפט קבע שהצבא כפוף לנורמות השוויון המחייבות בכל המדינה, ושהעלות הכלכלית מוצדקת לאור מימוש זכויות האדם. הפסיקה שינתה את מדיניות הצבא בנושא מקצה לקצה. </w:t>
      </w:r>
    </w:p>
    <w:p w:rsidR="00B55410" w:rsidRDefault="00B55410" w:rsidP="00B55410">
      <w:pPr>
        <w:spacing w:line="360" w:lineRule="auto"/>
        <w:rPr>
          <w:rFonts w:cs="David" w:hint="cs"/>
          <w:sz w:val="28"/>
          <w:szCs w:val="28"/>
          <w:rtl/>
        </w:rPr>
      </w:pPr>
      <w:r>
        <w:rPr>
          <w:rFonts w:cs="David" w:hint="cs"/>
          <w:sz w:val="28"/>
          <w:szCs w:val="28"/>
          <w:rtl/>
        </w:rPr>
        <w:t xml:space="preserve">השלב הבא היה התערבות בהחלטות מבצעיות. מה שמסמן את השינוי בתחום זה היה </w:t>
      </w:r>
      <w:proofErr w:type="spellStart"/>
      <w:r>
        <w:rPr>
          <w:rFonts w:cs="David" w:hint="cs"/>
          <w:sz w:val="28"/>
          <w:szCs w:val="28"/>
          <w:rtl/>
        </w:rPr>
        <w:t>האינתפדה</w:t>
      </w:r>
      <w:proofErr w:type="spellEnd"/>
      <w:r>
        <w:rPr>
          <w:rFonts w:cs="David" w:hint="cs"/>
          <w:sz w:val="28"/>
          <w:szCs w:val="28"/>
          <w:rtl/>
        </w:rPr>
        <w:t xml:space="preserve"> השנייה </w:t>
      </w:r>
      <w:r>
        <w:rPr>
          <w:rFonts w:cs="David"/>
          <w:sz w:val="28"/>
          <w:szCs w:val="28"/>
          <w:rtl/>
        </w:rPr>
        <w:t>–</w:t>
      </w:r>
      <w:r>
        <w:rPr>
          <w:rFonts w:cs="David" w:hint="cs"/>
          <w:sz w:val="28"/>
          <w:szCs w:val="28"/>
          <w:rtl/>
        </w:rPr>
        <w:t xml:space="preserve"> אוקטובר 2000. מה שקדם לכך הוא פסק הדין לגבי חקירות השב"כ (ה"טלטולים"), שנקבע בשנת 1999, בעקבות עתירה שהוגשה ב-</w:t>
      </w:r>
      <w:proofErr w:type="spellStart"/>
      <w:r>
        <w:rPr>
          <w:rFonts w:cs="David" w:hint="cs"/>
          <w:sz w:val="28"/>
          <w:szCs w:val="28"/>
          <w:rtl/>
        </w:rPr>
        <w:t>95</w:t>
      </w:r>
      <w:proofErr w:type="spellEnd"/>
      <w:r>
        <w:rPr>
          <w:rFonts w:cs="David" w:hint="cs"/>
          <w:sz w:val="28"/>
          <w:szCs w:val="28"/>
          <w:rtl/>
        </w:rPr>
        <w:t xml:space="preserve">'. פסק הדין קבע שעינויים אסורים באופן מוחלט, ולכן חייבים לשנות את שיטות החקירה. פסק הדין מתאר את כל שיטות החקירה וקובע אם הן מותרות או </w:t>
      </w:r>
      <w:r>
        <w:rPr>
          <w:rFonts w:cs="David" w:hint="cs"/>
          <w:sz w:val="28"/>
          <w:szCs w:val="28"/>
          <w:rtl/>
        </w:rPr>
        <w:lastRenderedPageBreak/>
        <w:t xml:space="preserve">אסורות. מדובר בפס"ד קשה </w:t>
      </w:r>
      <w:r>
        <w:rPr>
          <w:rFonts w:cs="David"/>
          <w:sz w:val="28"/>
          <w:szCs w:val="28"/>
          <w:rtl/>
        </w:rPr>
        <w:t>–</w:t>
      </w:r>
      <w:r>
        <w:rPr>
          <w:rFonts w:cs="David" w:hint="cs"/>
          <w:sz w:val="28"/>
          <w:szCs w:val="28"/>
          <w:rtl/>
        </w:rPr>
        <w:t xml:space="preserve"> כפי שגם נאמר בנוסח פסק הדין (כמו בכל פס"ד שאוסר על הצבא לעשות משהו). </w:t>
      </w:r>
    </w:p>
    <w:p w:rsidR="00B55410" w:rsidRDefault="00B55410" w:rsidP="00D21330">
      <w:pPr>
        <w:spacing w:line="360" w:lineRule="auto"/>
        <w:rPr>
          <w:rFonts w:cs="David" w:hint="cs"/>
          <w:sz w:val="28"/>
          <w:szCs w:val="28"/>
          <w:rtl/>
        </w:rPr>
      </w:pPr>
      <w:proofErr w:type="spellStart"/>
      <w:r>
        <w:rPr>
          <w:rFonts w:cs="David" w:hint="cs"/>
          <w:sz w:val="28"/>
          <w:szCs w:val="28"/>
          <w:rtl/>
        </w:rPr>
        <w:t>האנתפדה</w:t>
      </w:r>
      <w:proofErr w:type="spellEnd"/>
      <w:r>
        <w:rPr>
          <w:rFonts w:cs="David" w:hint="cs"/>
          <w:sz w:val="28"/>
          <w:szCs w:val="28"/>
          <w:rtl/>
        </w:rPr>
        <w:t xml:space="preserve"> השנייה הביאה </w:t>
      </w:r>
      <w:r w:rsidR="003E6F35">
        <w:rPr>
          <w:rFonts w:cs="David" w:hint="cs"/>
          <w:sz w:val="28"/>
          <w:szCs w:val="28"/>
          <w:rtl/>
        </w:rPr>
        <w:t xml:space="preserve">לצעדים צבאיים רבים שזכו לביקורת. ארגוני זכויות אדם וארגונים פלסטיניים החלו לפנות לבג"ץ כדי שיבחן את הצעדים הללו. אחד הביטויים לשינוי היה פרסום, באתר בית המשפט העליון, של פסקי דין באנגלית, העוסקים ב"מלחמה בטרור". בית המשפט מעביר כך את המסר שהתנהלות הצבא נמצאת תחת ביקורת של בית המשפט </w:t>
      </w:r>
      <w:r w:rsidR="003E6F35">
        <w:rPr>
          <w:rFonts w:cs="David"/>
          <w:sz w:val="28"/>
          <w:szCs w:val="28"/>
          <w:rtl/>
        </w:rPr>
        <w:t>–</w:t>
      </w:r>
      <w:r w:rsidR="003E6F35">
        <w:rPr>
          <w:rFonts w:cs="David" w:hint="cs"/>
          <w:sz w:val="28"/>
          <w:szCs w:val="28"/>
          <w:rtl/>
        </w:rPr>
        <w:t xml:space="preserve"> ולכן אין מקום להתערבות נוספת של גופי משפט בינלאומיים, תחת "עקרון המשלימות". </w:t>
      </w:r>
    </w:p>
    <w:p w:rsidR="003E6F35" w:rsidRDefault="003E6F35" w:rsidP="00761D47">
      <w:pPr>
        <w:spacing w:line="360" w:lineRule="auto"/>
        <w:rPr>
          <w:rFonts w:cs="David" w:hint="cs"/>
          <w:sz w:val="28"/>
          <w:szCs w:val="28"/>
          <w:rtl/>
        </w:rPr>
      </w:pPr>
      <w:r>
        <w:rPr>
          <w:rFonts w:cs="David" w:hint="cs"/>
          <w:sz w:val="28"/>
          <w:szCs w:val="28"/>
          <w:rtl/>
        </w:rPr>
        <w:t xml:space="preserve">פסקי הדין בנושא העינויים, תוואי הגדר, הסנקציה של הריסת בתים </w:t>
      </w:r>
      <w:proofErr w:type="spellStart"/>
      <w:r>
        <w:rPr>
          <w:rFonts w:cs="David" w:hint="cs"/>
          <w:sz w:val="28"/>
          <w:szCs w:val="28"/>
          <w:rtl/>
        </w:rPr>
        <w:t>וסיכולים</w:t>
      </w:r>
      <w:proofErr w:type="spellEnd"/>
      <w:r>
        <w:rPr>
          <w:rFonts w:cs="David" w:hint="cs"/>
          <w:sz w:val="28"/>
          <w:szCs w:val="28"/>
          <w:rtl/>
        </w:rPr>
        <w:t xml:space="preserve"> ממוקדים </w:t>
      </w:r>
      <w:r>
        <w:rPr>
          <w:rFonts w:cs="David"/>
          <w:sz w:val="28"/>
          <w:szCs w:val="28"/>
          <w:rtl/>
        </w:rPr>
        <w:t>–</w:t>
      </w:r>
      <w:r>
        <w:rPr>
          <w:rFonts w:cs="David" w:hint="cs"/>
          <w:sz w:val="28"/>
          <w:szCs w:val="28"/>
          <w:rtl/>
        </w:rPr>
        <w:t xml:space="preserve"> כולם אוסרים </w:t>
      </w:r>
      <w:r w:rsidRPr="003E6F35">
        <w:rPr>
          <w:rFonts w:cs="David" w:hint="cs"/>
          <w:sz w:val="28"/>
          <w:szCs w:val="28"/>
          <w:u w:val="single"/>
          <w:rtl/>
        </w:rPr>
        <w:t>ככלל</w:t>
      </w:r>
      <w:r>
        <w:rPr>
          <w:rFonts w:cs="David" w:hint="cs"/>
          <w:sz w:val="28"/>
          <w:szCs w:val="28"/>
          <w:rtl/>
        </w:rPr>
        <w:t xml:space="preserve"> צורות פעילות הפוגעות באופן לא סביר בזכויות האדם, אך משאירות פתח לחריגים, ויוצרים הגנה למי שעושה שימוש מוצדק בפתח הזה. </w:t>
      </w:r>
    </w:p>
    <w:p w:rsidR="003E6F35" w:rsidRDefault="00E27F81" w:rsidP="00E27F81">
      <w:pPr>
        <w:spacing w:line="360" w:lineRule="auto"/>
        <w:rPr>
          <w:rFonts w:cs="David" w:hint="cs"/>
          <w:sz w:val="28"/>
          <w:szCs w:val="28"/>
          <w:rtl/>
        </w:rPr>
      </w:pPr>
      <w:r>
        <w:rPr>
          <w:rFonts w:cs="David" w:hint="cs"/>
          <w:sz w:val="28"/>
          <w:szCs w:val="28"/>
          <w:rtl/>
        </w:rPr>
        <w:t xml:space="preserve">בית המשפט מפעיל ביחס להחלטות הביטחוניות את אותו הכלל </w:t>
      </w:r>
      <w:r>
        <w:rPr>
          <w:rFonts w:cs="David"/>
          <w:sz w:val="28"/>
          <w:szCs w:val="28"/>
          <w:rtl/>
        </w:rPr>
        <w:t>–</w:t>
      </w:r>
      <w:r>
        <w:rPr>
          <w:rFonts w:cs="David" w:hint="cs"/>
          <w:sz w:val="28"/>
          <w:szCs w:val="28"/>
          <w:rtl/>
        </w:rPr>
        <w:t xml:space="preserve"> החלטות אסור שיהיו גורפות ופוגעות בזכויות האדם באופן שאינו מידתי. ההחלטה בנוגע לזכות הפלסטינים לנסיעה בכביש 443 התקבלה בגלל שמבחינת בית המשפט האיסור היה גורפת מידי </w:t>
      </w:r>
      <w:r>
        <w:rPr>
          <w:rFonts w:cs="David"/>
          <w:sz w:val="28"/>
          <w:szCs w:val="28"/>
          <w:rtl/>
        </w:rPr>
        <w:t>–</w:t>
      </w:r>
      <w:r>
        <w:rPr>
          <w:rFonts w:cs="David" w:hint="cs"/>
          <w:sz w:val="28"/>
          <w:szCs w:val="28"/>
          <w:rtl/>
        </w:rPr>
        <w:t xml:space="preserve"> ולכן אינו מידתי. </w:t>
      </w:r>
    </w:p>
    <w:p w:rsidR="00761D47" w:rsidRDefault="00761D47" w:rsidP="00E27F81">
      <w:pPr>
        <w:spacing w:line="360" w:lineRule="auto"/>
        <w:rPr>
          <w:rFonts w:cs="David" w:hint="cs"/>
          <w:sz w:val="28"/>
          <w:szCs w:val="28"/>
          <w:rtl/>
        </w:rPr>
      </w:pPr>
      <w:r w:rsidRPr="00761D47">
        <w:rPr>
          <w:rFonts w:cs="David" w:hint="cs"/>
          <w:b/>
          <w:bCs/>
          <w:sz w:val="28"/>
          <w:szCs w:val="28"/>
          <w:rtl/>
        </w:rPr>
        <w:t xml:space="preserve">פסק דין </w:t>
      </w:r>
      <w:proofErr w:type="spellStart"/>
      <w:r w:rsidRPr="00761D47">
        <w:rPr>
          <w:rFonts w:cs="David" w:hint="cs"/>
          <w:b/>
          <w:bCs/>
          <w:sz w:val="28"/>
          <w:szCs w:val="28"/>
          <w:rtl/>
        </w:rPr>
        <w:t>צ'יקו</w:t>
      </w:r>
      <w:proofErr w:type="spellEnd"/>
      <w:r w:rsidRPr="00761D47">
        <w:rPr>
          <w:rFonts w:cs="David" w:hint="cs"/>
          <w:b/>
          <w:bCs/>
          <w:sz w:val="28"/>
          <w:szCs w:val="28"/>
          <w:rtl/>
        </w:rPr>
        <w:t xml:space="preserve"> תמיר</w:t>
      </w:r>
      <w:r>
        <w:rPr>
          <w:rFonts w:cs="David" w:hint="cs"/>
          <w:sz w:val="28"/>
          <w:szCs w:val="28"/>
          <w:rtl/>
        </w:rPr>
        <w:t xml:space="preserve"> </w:t>
      </w:r>
      <w:r>
        <w:rPr>
          <w:rFonts w:cs="David"/>
          <w:sz w:val="28"/>
          <w:szCs w:val="28"/>
          <w:rtl/>
        </w:rPr>
        <w:t>–</w:t>
      </w:r>
      <w:r>
        <w:rPr>
          <w:rFonts w:cs="David" w:hint="cs"/>
          <w:sz w:val="28"/>
          <w:szCs w:val="28"/>
          <w:rtl/>
        </w:rPr>
        <w:t xml:space="preserve"> תיק צבאי ולא בג"ץ. החשיבות </w:t>
      </w:r>
      <w:r>
        <w:rPr>
          <w:rFonts w:cs="David"/>
          <w:sz w:val="28"/>
          <w:szCs w:val="28"/>
          <w:rtl/>
        </w:rPr>
        <w:t>–</w:t>
      </w:r>
      <w:r>
        <w:rPr>
          <w:rFonts w:cs="David" w:hint="cs"/>
          <w:sz w:val="28"/>
          <w:szCs w:val="28"/>
          <w:rtl/>
        </w:rPr>
        <w:t xml:space="preserve"> </w:t>
      </w:r>
      <w:proofErr w:type="spellStart"/>
      <w:r>
        <w:rPr>
          <w:rFonts w:cs="David" w:hint="cs"/>
          <w:sz w:val="28"/>
          <w:szCs w:val="28"/>
          <w:rtl/>
        </w:rPr>
        <w:t>בנסיון</w:t>
      </w:r>
      <w:proofErr w:type="spellEnd"/>
      <w:r>
        <w:rPr>
          <w:rFonts w:cs="David" w:hint="cs"/>
          <w:sz w:val="28"/>
          <w:szCs w:val="28"/>
          <w:rtl/>
        </w:rPr>
        <w:t xml:space="preserve"> </w:t>
      </w:r>
      <w:proofErr w:type="spellStart"/>
      <w:r>
        <w:rPr>
          <w:rFonts w:cs="David" w:hint="cs"/>
          <w:sz w:val="28"/>
          <w:szCs w:val="28"/>
          <w:rtl/>
        </w:rPr>
        <w:t>לשפיע</w:t>
      </w:r>
      <w:proofErr w:type="spellEnd"/>
      <w:r>
        <w:rPr>
          <w:rFonts w:cs="David" w:hint="cs"/>
          <w:sz w:val="28"/>
          <w:szCs w:val="28"/>
          <w:rtl/>
        </w:rPr>
        <w:t xml:space="preserve"> על הנורמות של הקצונה הגבוהה בצבא. </w:t>
      </w:r>
    </w:p>
    <w:p w:rsidR="00761D47" w:rsidRDefault="00761D47" w:rsidP="00E27F81">
      <w:pPr>
        <w:spacing w:line="360" w:lineRule="auto"/>
        <w:rPr>
          <w:rFonts w:cs="David" w:hint="cs"/>
          <w:sz w:val="28"/>
          <w:szCs w:val="28"/>
          <w:rtl/>
        </w:rPr>
      </w:pPr>
      <w:r>
        <w:rPr>
          <w:rFonts w:cs="David" w:hint="cs"/>
          <w:sz w:val="28"/>
          <w:szCs w:val="28"/>
          <w:rtl/>
        </w:rPr>
        <w:t xml:space="preserve">לב האירוע </w:t>
      </w:r>
      <w:r>
        <w:rPr>
          <w:rFonts w:cs="David"/>
          <w:sz w:val="28"/>
          <w:szCs w:val="28"/>
          <w:rtl/>
        </w:rPr>
        <w:t>–</w:t>
      </w:r>
      <w:r>
        <w:rPr>
          <w:rFonts w:cs="David" w:hint="cs"/>
          <w:sz w:val="28"/>
          <w:szCs w:val="28"/>
          <w:rtl/>
        </w:rPr>
        <w:t xml:space="preserve"> בדו"ח תאונת הדרכים, שמולא על ידי הנהג וחתום על ידי </w:t>
      </w:r>
      <w:proofErr w:type="spellStart"/>
      <w:r>
        <w:rPr>
          <w:rFonts w:cs="David" w:hint="cs"/>
          <w:sz w:val="28"/>
          <w:szCs w:val="28"/>
          <w:rtl/>
        </w:rPr>
        <w:t>צ'יקו</w:t>
      </w:r>
      <w:proofErr w:type="spellEnd"/>
      <w:r>
        <w:rPr>
          <w:rFonts w:cs="David" w:hint="cs"/>
          <w:sz w:val="28"/>
          <w:szCs w:val="28"/>
          <w:rtl/>
        </w:rPr>
        <w:t xml:space="preserve">, לא </w:t>
      </w:r>
      <w:proofErr w:type="spellStart"/>
      <w:r>
        <w:rPr>
          <w:rFonts w:cs="David" w:hint="cs"/>
          <w:sz w:val="28"/>
          <w:szCs w:val="28"/>
          <w:rtl/>
        </w:rPr>
        <w:t>צויין</w:t>
      </w:r>
      <w:proofErr w:type="spellEnd"/>
      <w:r>
        <w:rPr>
          <w:rFonts w:cs="David" w:hint="cs"/>
          <w:sz w:val="28"/>
          <w:szCs w:val="28"/>
          <w:rtl/>
        </w:rPr>
        <w:t xml:space="preserve"> כי מי שנהג ברכב הריינג'ר היה הבן ולא </w:t>
      </w:r>
      <w:proofErr w:type="spellStart"/>
      <w:r>
        <w:rPr>
          <w:rFonts w:cs="David" w:hint="cs"/>
          <w:sz w:val="28"/>
          <w:szCs w:val="28"/>
          <w:rtl/>
        </w:rPr>
        <w:t>צ'יקו</w:t>
      </w:r>
      <w:proofErr w:type="spellEnd"/>
      <w:r>
        <w:rPr>
          <w:rFonts w:cs="David" w:hint="cs"/>
          <w:sz w:val="28"/>
          <w:szCs w:val="28"/>
          <w:rtl/>
        </w:rPr>
        <w:t xml:space="preserve">. </w:t>
      </w:r>
    </w:p>
    <w:p w:rsidR="00761D47" w:rsidRDefault="00761D47" w:rsidP="00E27F81">
      <w:pPr>
        <w:spacing w:line="360" w:lineRule="auto"/>
        <w:rPr>
          <w:rFonts w:cs="David" w:hint="cs"/>
          <w:sz w:val="28"/>
          <w:szCs w:val="28"/>
          <w:rtl/>
        </w:rPr>
      </w:pPr>
      <w:r>
        <w:rPr>
          <w:rFonts w:cs="David" w:hint="cs"/>
          <w:sz w:val="28"/>
          <w:szCs w:val="28"/>
          <w:rtl/>
        </w:rPr>
        <w:t xml:space="preserve">העונש המקורי שקיבל </w:t>
      </w:r>
      <w:proofErr w:type="spellStart"/>
      <w:r>
        <w:rPr>
          <w:rFonts w:cs="David" w:hint="cs"/>
          <w:sz w:val="28"/>
          <w:szCs w:val="28"/>
          <w:rtl/>
        </w:rPr>
        <w:t>צ'יקו</w:t>
      </w:r>
      <w:proofErr w:type="spellEnd"/>
      <w:r>
        <w:rPr>
          <w:rFonts w:cs="David" w:hint="cs"/>
          <w:sz w:val="28"/>
          <w:szCs w:val="28"/>
          <w:rtl/>
        </w:rPr>
        <w:t xml:space="preserve"> תמיר היה הורדה בדרגה. הוא הובא לבית הדין הצבאי לערעורים. </w:t>
      </w:r>
    </w:p>
    <w:p w:rsidR="00761D47" w:rsidRDefault="00761D47" w:rsidP="00E27F81">
      <w:pPr>
        <w:spacing w:line="360" w:lineRule="auto"/>
        <w:rPr>
          <w:rFonts w:cs="David" w:hint="cs"/>
          <w:sz w:val="28"/>
          <w:szCs w:val="28"/>
          <w:rtl/>
        </w:rPr>
      </w:pPr>
      <w:r>
        <w:rPr>
          <w:rFonts w:cs="David" w:hint="cs"/>
          <w:sz w:val="28"/>
          <w:szCs w:val="28"/>
          <w:rtl/>
        </w:rPr>
        <w:t xml:space="preserve">פסק הדין מראה כיצד הדרישות הנורמטיביות המוצבות בפני אנשי הצבא ומערכת </w:t>
      </w:r>
      <w:proofErr w:type="spellStart"/>
      <w:r>
        <w:rPr>
          <w:rFonts w:cs="David" w:hint="cs"/>
          <w:sz w:val="28"/>
          <w:szCs w:val="28"/>
          <w:rtl/>
        </w:rPr>
        <w:t>הבטחון</w:t>
      </w:r>
      <w:proofErr w:type="spellEnd"/>
      <w:r>
        <w:rPr>
          <w:rFonts w:cs="David" w:hint="cs"/>
          <w:sz w:val="28"/>
          <w:szCs w:val="28"/>
          <w:rtl/>
        </w:rPr>
        <w:t xml:space="preserve"> בכללה עולות </w:t>
      </w:r>
      <w:r>
        <w:rPr>
          <w:rFonts w:cs="David"/>
          <w:sz w:val="28"/>
          <w:szCs w:val="28"/>
          <w:rtl/>
        </w:rPr>
        <w:t>–</w:t>
      </w:r>
      <w:r>
        <w:rPr>
          <w:rFonts w:cs="David" w:hint="cs"/>
          <w:sz w:val="28"/>
          <w:szCs w:val="28"/>
          <w:rtl/>
        </w:rPr>
        <w:t xml:space="preserve"> בעוד שהדרישות הנורמטיביות בפני נבחרי הציבור רק יורדות. </w:t>
      </w:r>
    </w:p>
    <w:p w:rsidR="0080244C" w:rsidRDefault="0080244C" w:rsidP="00E27F81">
      <w:pPr>
        <w:spacing w:line="360" w:lineRule="auto"/>
        <w:rPr>
          <w:rFonts w:cs="David" w:hint="cs"/>
          <w:sz w:val="28"/>
          <w:szCs w:val="28"/>
          <w:rtl/>
        </w:rPr>
      </w:pPr>
      <w:r>
        <w:rPr>
          <w:rFonts w:cs="David" w:hint="cs"/>
          <w:sz w:val="28"/>
          <w:szCs w:val="28"/>
          <w:rtl/>
        </w:rPr>
        <w:t>קישור לפסק הדין הראשון:</w:t>
      </w:r>
    </w:p>
    <w:p w:rsidR="0080244C" w:rsidRDefault="0080244C" w:rsidP="00E27F81">
      <w:pPr>
        <w:spacing w:line="360" w:lineRule="auto"/>
        <w:rPr>
          <w:rFonts w:cs="David" w:hint="cs"/>
          <w:sz w:val="28"/>
          <w:szCs w:val="28"/>
          <w:rtl/>
        </w:rPr>
      </w:pPr>
      <w:hyperlink r:id="rId7" w:history="1">
        <w:r w:rsidRPr="001349CF">
          <w:rPr>
            <w:rStyle w:val="Hyperlink"/>
            <w:rFonts w:cs="David"/>
            <w:sz w:val="28"/>
            <w:szCs w:val="28"/>
          </w:rPr>
          <w:t>http://www.cal.org.il/index.php?option=com_content&amp;view=article&amp;id=235&amp;catid=115&amp;Itemid=113</w:t>
        </w:r>
      </w:hyperlink>
    </w:p>
    <w:p w:rsidR="0080244C" w:rsidRPr="0080244C" w:rsidRDefault="0080244C" w:rsidP="00E27F81">
      <w:pPr>
        <w:spacing w:line="360" w:lineRule="auto"/>
        <w:rPr>
          <w:rFonts w:cs="David" w:hint="cs"/>
          <w:sz w:val="28"/>
          <w:szCs w:val="28"/>
          <w:u w:val="single"/>
          <w:rtl/>
        </w:rPr>
      </w:pPr>
      <w:r w:rsidRPr="0080244C">
        <w:rPr>
          <w:rFonts w:cs="David" w:hint="cs"/>
          <w:sz w:val="28"/>
          <w:szCs w:val="28"/>
          <w:u w:val="single"/>
          <w:rtl/>
        </w:rPr>
        <w:lastRenderedPageBreak/>
        <w:t xml:space="preserve">הדרישות הנורמטיביות הנקבעות בפסק הדין </w:t>
      </w:r>
      <w:r w:rsidRPr="0080244C">
        <w:rPr>
          <w:rFonts w:cs="David"/>
          <w:sz w:val="28"/>
          <w:szCs w:val="28"/>
          <w:u w:val="single"/>
          <w:rtl/>
        </w:rPr>
        <w:t>–</w:t>
      </w:r>
      <w:r w:rsidRPr="0080244C">
        <w:rPr>
          <w:rFonts w:cs="David" w:hint="cs"/>
          <w:sz w:val="28"/>
          <w:szCs w:val="28"/>
          <w:u w:val="single"/>
          <w:rtl/>
        </w:rPr>
        <w:t xml:space="preserve"> </w:t>
      </w:r>
    </w:p>
    <w:p w:rsidR="0080244C" w:rsidRDefault="0080244C" w:rsidP="0080244C">
      <w:pPr>
        <w:spacing w:line="360" w:lineRule="auto"/>
        <w:rPr>
          <w:rFonts w:cs="David" w:hint="cs"/>
          <w:sz w:val="28"/>
          <w:szCs w:val="28"/>
          <w:rtl/>
        </w:rPr>
      </w:pPr>
      <w:r>
        <w:rPr>
          <w:rFonts w:cs="David" w:hint="cs"/>
          <w:sz w:val="28"/>
          <w:szCs w:val="28"/>
          <w:rtl/>
        </w:rPr>
        <w:t xml:space="preserve">"על המפקד להוות מופת ודוגמא", להיות בעל "חוט שדרה ערכי", "חוסן מוסרי". </w:t>
      </w:r>
    </w:p>
    <w:p w:rsidR="0080244C" w:rsidRDefault="0080244C" w:rsidP="0080244C">
      <w:pPr>
        <w:spacing w:line="360" w:lineRule="auto"/>
        <w:rPr>
          <w:rFonts w:cs="David" w:hint="cs"/>
          <w:sz w:val="28"/>
          <w:szCs w:val="28"/>
          <w:rtl/>
        </w:rPr>
      </w:pPr>
      <w:r>
        <w:rPr>
          <w:rFonts w:cs="David" w:hint="cs"/>
          <w:sz w:val="28"/>
          <w:szCs w:val="28"/>
          <w:rtl/>
        </w:rPr>
        <w:t xml:space="preserve">לגבי הקצונה הבכירה, נקבע, כי "כרום הדרגה כך גודל </w:t>
      </w:r>
      <w:proofErr w:type="spellStart"/>
      <w:r>
        <w:rPr>
          <w:rFonts w:cs="David" w:hint="cs"/>
          <w:sz w:val="28"/>
          <w:szCs w:val="28"/>
          <w:rtl/>
        </w:rPr>
        <w:t>הציפיה</w:t>
      </w:r>
      <w:proofErr w:type="spellEnd"/>
      <w:r>
        <w:rPr>
          <w:rFonts w:cs="David" w:hint="cs"/>
          <w:sz w:val="28"/>
          <w:szCs w:val="28"/>
          <w:rtl/>
        </w:rPr>
        <w:t xml:space="preserve">" </w:t>
      </w:r>
      <w:r>
        <w:rPr>
          <w:rFonts w:cs="David"/>
          <w:sz w:val="28"/>
          <w:szCs w:val="28"/>
          <w:rtl/>
        </w:rPr>
        <w:t>–</w:t>
      </w:r>
      <w:r>
        <w:rPr>
          <w:rFonts w:cs="David" w:hint="cs"/>
          <w:sz w:val="28"/>
          <w:szCs w:val="28"/>
          <w:rtl/>
        </w:rPr>
        <w:t xml:space="preserve"> הדרישה המוסרית והערכי</w:t>
      </w:r>
      <w:r w:rsidR="009B512F">
        <w:rPr>
          <w:rFonts w:cs="David" w:hint="cs"/>
          <w:sz w:val="28"/>
          <w:szCs w:val="28"/>
          <w:rtl/>
        </w:rPr>
        <w:t xml:space="preserve">ת עולה ככל שעולים בסולם הדרגות, ולכן כשלון של קצין בכיר נושא עימו חומרה יתרה. </w:t>
      </w:r>
    </w:p>
    <w:p w:rsidR="009B512F" w:rsidRDefault="009B512F" w:rsidP="0080244C">
      <w:pPr>
        <w:spacing w:line="360" w:lineRule="auto"/>
        <w:rPr>
          <w:rFonts w:cs="David" w:hint="cs"/>
          <w:sz w:val="28"/>
          <w:szCs w:val="28"/>
          <w:rtl/>
        </w:rPr>
      </w:pPr>
      <w:r>
        <w:rPr>
          <w:rFonts w:cs="David" w:hint="cs"/>
          <w:sz w:val="28"/>
          <w:szCs w:val="28"/>
          <w:rtl/>
        </w:rPr>
        <w:t xml:space="preserve">בית המשפט מתייחס לסוגיית ההורדה בדרגה. הוא קובע כי דרגה, כמשהו שנרכש בעבודה קשה, הופכת להיות קניינו של הקצין. המטרה בכך היא להכניס את עקרון המידתיות לבחינת הפגיעה בדרגה </w:t>
      </w:r>
      <w:r>
        <w:rPr>
          <w:rFonts w:cs="David"/>
          <w:sz w:val="28"/>
          <w:szCs w:val="28"/>
          <w:rtl/>
        </w:rPr>
        <w:t>–</w:t>
      </w:r>
      <w:r>
        <w:rPr>
          <w:rFonts w:cs="David" w:hint="cs"/>
          <w:sz w:val="28"/>
          <w:szCs w:val="28"/>
          <w:rtl/>
        </w:rPr>
        <w:t xml:space="preserve"> האם נעשתה לתכלית ראויה ובאופן מידתי. </w:t>
      </w:r>
    </w:p>
    <w:p w:rsidR="000F5CDF" w:rsidRDefault="000F5CDF" w:rsidP="0080244C">
      <w:pPr>
        <w:spacing w:line="360" w:lineRule="auto"/>
        <w:rPr>
          <w:rFonts w:cs="David" w:hint="cs"/>
          <w:sz w:val="28"/>
          <w:szCs w:val="28"/>
          <w:rtl/>
        </w:rPr>
      </w:pPr>
      <w:r>
        <w:rPr>
          <w:rFonts w:cs="David" w:hint="cs"/>
          <w:sz w:val="28"/>
          <w:szCs w:val="28"/>
          <w:rtl/>
        </w:rPr>
        <w:t xml:space="preserve">לכן, צריך להיות מתאם בין מידת </w:t>
      </w:r>
      <w:proofErr w:type="spellStart"/>
      <w:r>
        <w:rPr>
          <w:rFonts w:cs="David" w:hint="cs"/>
          <w:sz w:val="28"/>
          <w:szCs w:val="28"/>
          <w:rtl/>
        </w:rPr>
        <w:t>הכשלון</w:t>
      </w:r>
      <w:proofErr w:type="spellEnd"/>
      <w:r>
        <w:rPr>
          <w:rFonts w:cs="David" w:hint="cs"/>
          <w:sz w:val="28"/>
          <w:szCs w:val="28"/>
          <w:rtl/>
        </w:rPr>
        <w:t xml:space="preserve"> לבין מידת הענישה </w:t>
      </w:r>
      <w:r>
        <w:rPr>
          <w:rFonts w:cs="David"/>
          <w:sz w:val="28"/>
          <w:szCs w:val="28"/>
          <w:rtl/>
        </w:rPr>
        <w:t>–</w:t>
      </w:r>
      <w:r>
        <w:rPr>
          <w:rFonts w:cs="David" w:hint="cs"/>
          <w:sz w:val="28"/>
          <w:szCs w:val="28"/>
          <w:rtl/>
        </w:rPr>
        <w:t xml:space="preserve"> הכנסת תורת המידתיות לנורמות של הענישה הצבאית. </w:t>
      </w:r>
    </w:p>
    <w:p w:rsidR="000F5CDF" w:rsidRDefault="000F5CDF" w:rsidP="0080244C">
      <w:pPr>
        <w:spacing w:line="360" w:lineRule="auto"/>
        <w:rPr>
          <w:rFonts w:cs="David" w:hint="cs"/>
          <w:sz w:val="28"/>
          <w:szCs w:val="28"/>
          <w:rtl/>
        </w:rPr>
      </w:pPr>
      <w:r>
        <w:rPr>
          <w:rFonts w:cs="David" w:hint="cs"/>
          <w:sz w:val="28"/>
          <w:szCs w:val="28"/>
          <w:rtl/>
        </w:rPr>
        <w:t xml:space="preserve">בית המשפט קובע כי תמיר חטא בהפרת </w:t>
      </w:r>
      <w:r w:rsidRPr="000F5CDF">
        <w:rPr>
          <w:rFonts w:cs="David" w:hint="cs"/>
          <w:b/>
          <w:bCs/>
          <w:sz w:val="28"/>
          <w:szCs w:val="28"/>
          <w:rtl/>
        </w:rPr>
        <w:t>נורמות יסוד</w:t>
      </w:r>
      <w:r>
        <w:rPr>
          <w:rFonts w:cs="David" w:hint="cs"/>
          <w:sz w:val="28"/>
          <w:szCs w:val="28"/>
          <w:rtl/>
        </w:rPr>
        <w:t xml:space="preserve"> </w:t>
      </w:r>
      <w:r>
        <w:rPr>
          <w:rFonts w:cs="David"/>
          <w:sz w:val="28"/>
          <w:szCs w:val="28"/>
          <w:rtl/>
        </w:rPr>
        <w:t>–</w:t>
      </w:r>
      <w:r>
        <w:rPr>
          <w:rFonts w:cs="David" w:hint="cs"/>
          <w:sz w:val="28"/>
          <w:szCs w:val="28"/>
          <w:rtl/>
        </w:rPr>
        <w:t xml:space="preserve"> האמינות, הדוגמא האישית והמשמעת. זו הפרה של "תעודת הזהות הערכית" של הצבא, הפרה של "רוח צה"ל". </w:t>
      </w:r>
    </w:p>
    <w:p w:rsidR="000F5CDF" w:rsidRDefault="000F5CDF" w:rsidP="0080244C">
      <w:pPr>
        <w:spacing w:line="360" w:lineRule="auto"/>
        <w:rPr>
          <w:rFonts w:cs="David" w:hint="cs"/>
          <w:sz w:val="28"/>
          <w:szCs w:val="28"/>
          <w:rtl/>
        </w:rPr>
      </w:pPr>
      <w:r>
        <w:rPr>
          <w:rFonts w:cs="David" w:hint="cs"/>
          <w:sz w:val="28"/>
          <w:szCs w:val="28"/>
          <w:rtl/>
        </w:rPr>
        <w:t xml:space="preserve">בבחינת המידתיות, קובע בית המשפט שיש להבחין בין פגיעה בדרגה לעיכוב קידום </w:t>
      </w:r>
      <w:r>
        <w:rPr>
          <w:rFonts w:cs="David"/>
          <w:sz w:val="28"/>
          <w:szCs w:val="28"/>
          <w:rtl/>
        </w:rPr>
        <w:t>–</w:t>
      </w:r>
      <w:r>
        <w:rPr>
          <w:rFonts w:cs="David" w:hint="cs"/>
          <w:sz w:val="28"/>
          <w:szCs w:val="28"/>
          <w:rtl/>
        </w:rPr>
        <w:t xml:space="preserve"> הורדה בדרגה היא סנקציה חמורה, הנושאת "קלון חיצוני", ופגיעה בקניינו של אדם </w:t>
      </w:r>
      <w:r>
        <w:rPr>
          <w:rFonts w:cs="David"/>
          <w:sz w:val="28"/>
          <w:szCs w:val="28"/>
          <w:rtl/>
        </w:rPr>
        <w:t>–</w:t>
      </w:r>
      <w:r>
        <w:rPr>
          <w:rFonts w:cs="David" w:hint="cs"/>
          <w:sz w:val="28"/>
          <w:szCs w:val="28"/>
          <w:rtl/>
        </w:rPr>
        <w:t xml:space="preserve"> ויש לה משמעות של השפלה (ולכן </w:t>
      </w:r>
      <w:r>
        <w:rPr>
          <w:rFonts w:cs="David"/>
          <w:sz w:val="28"/>
          <w:szCs w:val="28"/>
          <w:rtl/>
        </w:rPr>
        <w:t>–</w:t>
      </w:r>
      <w:r>
        <w:rPr>
          <w:rFonts w:cs="David" w:hint="cs"/>
          <w:sz w:val="28"/>
          <w:szCs w:val="28"/>
          <w:rtl/>
        </w:rPr>
        <w:t xml:space="preserve"> פגיעה בכבוד האדם). לכן, בית המשפט מבטל את עונש ההורדה בדרגה. </w:t>
      </w:r>
    </w:p>
    <w:p w:rsidR="000F5CDF" w:rsidRDefault="000F5CDF" w:rsidP="0080244C">
      <w:pPr>
        <w:spacing w:line="360" w:lineRule="auto"/>
        <w:rPr>
          <w:rFonts w:cs="David" w:hint="cs"/>
          <w:sz w:val="28"/>
          <w:szCs w:val="28"/>
          <w:rtl/>
        </w:rPr>
      </w:pPr>
      <w:r>
        <w:rPr>
          <w:rFonts w:cs="David" w:hint="cs"/>
          <w:sz w:val="28"/>
          <w:szCs w:val="28"/>
          <w:rtl/>
        </w:rPr>
        <w:t xml:space="preserve">פסק דין זה אינו פסק דין של בג"צ </w:t>
      </w:r>
      <w:r>
        <w:rPr>
          <w:rFonts w:cs="David"/>
          <w:sz w:val="28"/>
          <w:szCs w:val="28"/>
          <w:rtl/>
        </w:rPr>
        <w:t>–</w:t>
      </w:r>
      <w:r>
        <w:rPr>
          <w:rFonts w:cs="David" w:hint="cs"/>
          <w:sz w:val="28"/>
          <w:szCs w:val="28"/>
          <w:rtl/>
        </w:rPr>
        <w:t xml:space="preserve"> אבל הוא מאמץ את </w:t>
      </w:r>
      <w:r w:rsidR="00A63C3C">
        <w:rPr>
          <w:rFonts w:cs="David" w:hint="cs"/>
          <w:sz w:val="28"/>
          <w:szCs w:val="28"/>
          <w:rtl/>
        </w:rPr>
        <w:t xml:space="preserve">הנורמות של בג"צ ומכניס אותן לתוך הדין הצבאי. </w:t>
      </w:r>
    </w:p>
    <w:p w:rsidR="00C11608" w:rsidRDefault="00C11608" w:rsidP="0080244C">
      <w:pPr>
        <w:spacing w:line="360" w:lineRule="auto"/>
        <w:rPr>
          <w:rFonts w:cs="David" w:hint="cs"/>
          <w:b/>
          <w:bCs/>
          <w:sz w:val="28"/>
          <w:szCs w:val="28"/>
          <w:u w:val="single"/>
          <w:rtl/>
        </w:rPr>
      </w:pPr>
      <w:r w:rsidRPr="00C11608">
        <w:rPr>
          <w:rFonts w:cs="David" w:hint="cs"/>
          <w:b/>
          <w:bCs/>
          <w:sz w:val="28"/>
          <w:szCs w:val="28"/>
          <w:u w:val="single"/>
          <w:rtl/>
        </w:rPr>
        <w:t>אקטואליה משפטית</w:t>
      </w:r>
    </w:p>
    <w:p w:rsidR="00C11608" w:rsidRPr="00C11608" w:rsidRDefault="00C11608" w:rsidP="00C11608">
      <w:pPr>
        <w:spacing w:line="360" w:lineRule="auto"/>
        <w:rPr>
          <w:rFonts w:cs="David" w:hint="cs"/>
          <w:sz w:val="28"/>
          <w:szCs w:val="28"/>
          <w:u w:val="single"/>
          <w:rtl/>
        </w:rPr>
      </w:pPr>
      <w:r w:rsidRPr="00C11608">
        <w:rPr>
          <w:rFonts w:cs="David" w:hint="cs"/>
          <w:sz w:val="28"/>
          <w:szCs w:val="28"/>
          <w:u w:val="single"/>
          <w:rtl/>
        </w:rPr>
        <w:t xml:space="preserve">פסק הדין האמריקאי בנושא רישום מקום הלידה </w:t>
      </w:r>
    </w:p>
    <w:p w:rsidR="00C11608" w:rsidRDefault="00C11608" w:rsidP="0080244C">
      <w:pPr>
        <w:spacing w:line="360" w:lineRule="auto"/>
        <w:rPr>
          <w:rFonts w:cs="David" w:hint="cs"/>
          <w:sz w:val="28"/>
          <w:szCs w:val="28"/>
          <w:rtl/>
        </w:rPr>
      </w:pPr>
      <w:r>
        <w:rPr>
          <w:rFonts w:cs="David" w:hint="cs"/>
          <w:sz w:val="28"/>
          <w:szCs w:val="28"/>
          <w:rtl/>
        </w:rPr>
        <w:t xml:space="preserve">הממשל האמריקאי אינו מכיר בירושלים כבירת ישראל, וזאת עקב הרעיון שהכרה כזו תלויה בהסדר מדיני שיקבע את </w:t>
      </w:r>
      <w:proofErr w:type="spellStart"/>
      <w:r>
        <w:rPr>
          <w:rFonts w:cs="David" w:hint="cs"/>
          <w:sz w:val="28"/>
          <w:szCs w:val="28"/>
          <w:rtl/>
        </w:rPr>
        <w:t>הסטטוס</w:t>
      </w:r>
      <w:proofErr w:type="spellEnd"/>
      <w:r>
        <w:rPr>
          <w:rFonts w:cs="David" w:hint="cs"/>
          <w:sz w:val="28"/>
          <w:szCs w:val="28"/>
          <w:rtl/>
        </w:rPr>
        <w:t xml:space="preserve"> של ירושלים. הדבר חל על כל העיר, לא רק על חלקה המזרחי. </w:t>
      </w:r>
    </w:p>
    <w:p w:rsidR="00C11608" w:rsidRDefault="00C11608" w:rsidP="00C11608">
      <w:pPr>
        <w:spacing w:line="360" w:lineRule="auto"/>
        <w:rPr>
          <w:rFonts w:cs="David" w:hint="cs"/>
          <w:sz w:val="28"/>
          <w:szCs w:val="28"/>
          <w:rtl/>
        </w:rPr>
      </w:pPr>
      <w:r>
        <w:rPr>
          <w:rFonts w:cs="David" w:hint="cs"/>
          <w:sz w:val="28"/>
          <w:szCs w:val="28"/>
          <w:rtl/>
        </w:rPr>
        <w:t xml:space="preserve">לפי החוקה האמריקאית, הכרה במדינות חדשות היא בסמכות הנשיא. הקונגרס אישר חוק, המאשר לפקיד הרישום לרשום בדרכונו של מי שנולד בירושלים שהוא יליד ישראל. זהו חוק שנתפר ישירות </w:t>
      </w:r>
      <w:proofErr w:type="spellStart"/>
      <w:r>
        <w:rPr>
          <w:rFonts w:cs="David" w:hint="cs"/>
          <w:sz w:val="28"/>
          <w:szCs w:val="28"/>
          <w:rtl/>
        </w:rPr>
        <w:t>לסוגייה</w:t>
      </w:r>
      <w:proofErr w:type="spellEnd"/>
      <w:r>
        <w:rPr>
          <w:rFonts w:cs="David" w:hint="cs"/>
          <w:sz w:val="28"/>
          <w:szCs w:val="28"/>
          <w:rtl/>
        </w:rPr>
        <w:t xml:space="preserve"> זו </w:t>
      </w:r>
      <w:r>
        <w:rPr>
          <w:rFonts w:cs="David"/>
          <w:sz w:val="28"/>
          <w:szCs w:val="28"/>
          <w:rtl/>
        </w:rPr>
        <w:t>–</w:t>
      </w:r>
      <w:r>
        <w:rPr>
          <w:rFonts w:cs="David" w:hint="cs"/>
          <w:sz w:val="28"/>
          <w:szCs w:val="28"/>
          <w:rtl/>
        </w:rPr>
        <w:t xml:space="preserve"> והתוצאה שלו היא כרסום של המחוקק בסמכות הנשיא. </w:t>
      </w:r>
    </w:p>
    <w:p w:rsidR="00C11608" w:rsidRDefault="00FA5FDD" w:rsidP="00C11608">
      <w:pPr>
        <w:spacing w:line="360" w:lineRule="auto"/>
        <w:rPr>
          <w:rFonts w:cs="David" w:hint="cs"/>
          <w:sz w:val="28"/>
          <w:szCs w:val="28"/>
          <w:rtl/>
        </w:rPr>
      </w:pPr>
      <w:r>
        <w:rPr>
          <w:rFonts w:cs="David" w:hint="cs"/>
          <w:sz w:val="28"/>
          <w:szCs w:val="28"/>
          <w:rtl/>
        </w:rPr>
        <w:lastRenderedPageBreak/>
        <w:t xml:space="preserve">סוגיה דומה </w:t>
      </w:r>
      <w:r>
        <w:rPr>
          <w:rFonts w:cs="David"/>
          <w:sz w:val="28"/>
          <w:szCs w:val="28"/>
          <w:rtl/>
        </w:rPr>
        <w:t>–</w:t>
      </w:r>
      <w:r>
        <w:rPr>
          <w:rFonts w:cs="David" w:hint="cs"/>
          <w:sz w:val="28"/>
          <w:szCs w:val="28"/>
          <w:rtl/>
        </w:rPr>
        <w:t xml:space="preserve"> חוק יגאל עמיר, המונע מהנשיא מתן חנינה לרוצח ראש ממשלה </w:t>
      </w:r>
      <w:r>
        <w:rPr>
          <w:rFonts w:cs="David"/>
          <w:sz w:val="28"/>
          <w:szCs w:val="28"/>
          <w:rtl/>
        </w:rPr>
        <w:t>–</w:t>
      </w:r>
      <w:r>
        <w:rPr>
          <w:rFonts w:cs="David" w:hint="cs"/>
          <w:sz w:val="28"/>
          <w:szCs w:val="28"/>
          <w:rtl/>
        </w:rPr>
        <w:t xml:space="preserve"> חוק שלא עמד במבחן בג"ץ .</w:t>
      </w:r>
    </w:p>
    <w:p w:rsidR="00FA5FDD" w:rsidRDefault="00FA5FDD" w:rsidP="00C11608">
      <w:pPr>
        <w:spacing w:line="360" w:lineRule="auto"/>
        <w:rPr>
          <w:rFonts w:cs="David" w:hint="cs"/>
          <w:sz w:val="28"/>
          <w:szCs w:val="28"/>
          <w:rtl/>
        </w:rPr>
      </w:pPr>
      <w:r>
        <w:rPr>
          <w:rFonts w:cs="David" w:hint="cs"/>
          <w:sz w:val="28"/>
          <w:szCs w:val="28"/>
          <w:rtl/>
        </w:rPr>
        <w:t xml:space="preserve">הפסיקה של בית המשפט העליון האמריקאי </w:t>
      </w:r>
      <w:proofErr w:type="spellStart"/>
      <w:r>
        <w:rPr>
          <w:rFonts w:cs="David" w:hint="cs"/>
          <w:sz w:val="28"/>
          <w:szCs w:val="28"/>
          <w:rtl/>
        </w:rPr>
        <w:t>היתה</w:t>
      </w:r>
      <w:proofErr w:type="spellEnd"/>
      <w:r>
        <w:rPr>
          <w:rFonts w:cs="David" w:hint="cs"/>
          <w:sz w:val="28"/>
          <w:szCs w:val="28"/>
          <w:rtl/>
        </w:rPr>
        <w:t xml:space="preserve"> שכרסום כזה אינו חוקתי, ופסל את החוק. כלומר </w:t>
      </w:r>
      <w:r>
        <w:rPr>
          <w:rFonts w:cs="David"/>
          <w:sz w:val="28"/>
          <w:szCs w:val="28"/>
          <w:rtl/>
        </w:rPr>
        <w:t>–</w:t>
      </w:r>
      <w:r>
        <w:rPr>
          <w:rFonts w:cs="David" w:hint="cs"/>
          <w:sz w:val="28"/>
          <w:szCs w:val="28"/>
          <w:rtl/>
        </w:rPr>
        <w:t xml:space="preserve"> הנושא הוא אינו יחסי ישראל </w:t>
      </w:r>
      <w:r>
        <w:rPr>
          <w:rFonts w:cs="David"/>
          <w:sz w:val="28"/>
          <w:szCs w:val="28"/>
          <w:rtl/>
        </w:rPr>
        <w:t>–</w:t>
      </w:r>
      <w:r>
        <w:rPr>
          <w:rFonts w:cs="David" w:hint="cs"/>
          <w:sz w:val="28"/>
          <w:szCs w:val="28"/>
          <w:rtl/>
        </w:rPr>
        <w:t xml:space="preserve"> ארה"ב, אלא יחסי הרשויות בארה"ב. </w:t>
      </w:r>
    </w:p>
    <w:p w:rsidR="00FA5FDD" w:rsidRPr="00FA5FDD" w:rsidRDefault="00FA5FDD" w:rsidP="00C11608">
      <w:pPr>
        <w:spacing w:line="360" w:lineRule="auto"/>
        <w:rPr>
          <w:rFonts w:cs="David" w:hint="cs"/>
          <w:sz w:val="28"/>
          <w:szCs w:val="28"/>
          <w:u w:val="single"/>
          <w:rtl/>
        </w:rPr>
      </w:pPr>
      <w:r w:rsidRPr="00FA5FDD">
        <w:rPr>
          <w:rFonts w:cs="David" w:hint="cs"/>
          <w:sz w:val="28"/>
          <w:szCs w:val="28"/>
          <w:u w:val="single"/>
          <w:rtl/>
        </w:rPr>
        <w:t>היבטים חוקיים בהרכבת הממשלה</w:t>
      </w:r>
    </w:p>
    <w:p w:rsidR="009B512F" w:rsidRDefault="00FA5FDD" w:rsidP="0080244C">
      <w:pPr>
        <w:spacing w:line="360" w:lineRule="auto"/>
        <w:rPr>
          <w:rFonts w:cs="David" w:hint="cs"/>
          <w:sz w:val="28"/>
          <w:szCs w:val="28"/>
          <w:rtl/>
        </w:rPr>
      </w:pPr>
      <w:r>
        <w:rPr>
          <w:rFonts w:cs="David" w:hint="cs"/>
          <w:sz w:val="28"/>
          <w:szCs w:val="28"/>
          <w:rtl/>
        </w:rPr>
        <w:t xml:space="preserve">הרכבת הממשלה הנוכחית סובלת מפגמים חוקתיים רבים מאוד. </w:t>
      </w:r>
    </w:p>
    <w:p w:rsidR="00FA5FDD" w:rsidRDefault="00FA5FDD" w:rsidP="0080244C">
      <w:pPr>
        <w:spacing w:line="360" w:lineRule="auto"/>
        <w:rPr>
          <w:rFonts w:cs="David" w:hint="cs"/>
          <w:sz w:val="28"/>
          <w:szCs w:val="28"/>
          <w:rtl/>
        </w:rPr>
      </w:pPr>
      <w:r w:rsidRPr="00A928CA">
        <w:rPr>
          <w:rFonts w:cs="David" w:hint="cs"/>
          <w:sz w:val="28"/>
          <w:szCs w:val="28"/>
          <w:u w:val="single"/>
          <w:rtl/>
        </w:rPr>
        <w:t>תוצאות הבחירות עצמן הן תעודת בגרות לדמוקרטיה הישראלית</w:t>
      </w:r>
      <w:r>
        <w:rPr>
          <w:rFonts w:cs="David" w:hint="cs"/>
          <w:sz w:val="28"/>
          <w:szCs w:val="28"/>
          <w:rtl/>
        </w:rPr>
        <w:t xml:space="preserve"> </w:t>
      </w:r>
      <w:r>
        <w:rPr>
          <w:rFonts w:cs="David"/>
          <w:sz w:val="28"/>
          <w:szCs w:val="28"/>
          <w:rtl/>
        </w:rPr>
        <w:t>–</w:t>
      </w:r>
      <w:r>
        <w:rPr>
          <w:rFonts w:cs="David" w:hint="cs"/>
          <w:sz w:val="28"/>
          <w:szCs w:val="28"/>
          <w:rtl/>
        </w:rPr>
        <w:t xml:space="preserve"> השיטה הצליחה:</w:t>
      </w:r>
    </w:p>
    <w:p w:rsidR="00FA5FDD" w:rsidRPr="00FA5FDD" w:rsidRDefault="00FA5FDD" w:rsidP="00FA5FDD">
      <w:pPr>
        <w:pStyle w:val="a7"/>
        <w:numPr>
          <w:ilvl w:val="0"/>
          <w:numId w:val="1"/>
        </w:numPr>
        <w:spacing w:line="360" w:lineRule="auto"/>
        <w:rPr>
          <w:rFonts w:cs="David" w:hint="cs"/>
          <w:sz w:val="28"/>
          <w:szCs w:val="28"/>
          <w:rtl/>
        </w:rPr>
      </w:pPr>
      <w:r w:rsidRPr="00FA5FDD">
        <w:rPr>
          <w:rFonts w:cs="David" w:hint="cs"/>
          <w:sz w:val="28"/>
          <w:szCs w:val="28"/>
          <w:rtl/>
        </w:rPr>
        <w:t>עליה ב</w:t>
      </w:r>
      <w:r>
        <w:rPr>
          <w:rFonts w:cs="David" w:hint="cs"/>
          <w:sz w:val="28"/>
          <w:szCs w:val="28"/>
          <w:rtl/>
        </w:rPr>
        <w:t>שיעור</w:t>
      </w:r>
      <w:r w:rsidRPr="00FA5FDD">
        <w:rPr>
          <w:rFonts w:cs="David" w:hint="cs"/>
          <w:sz w:val="28"/>
          <w:szCs w:val="28"/>
          <w:rtl/>
        </w:rPr>
        <w:t xml:space="preserve"> ההשתתפות בבחירות</w:t>
      </w:r>
    </w:p>
    <w:p w:rsidR="00FA5FDD" w:rsidRDefault="00FA5FDD" w:rsidP="00FA5FDD">
      <w:pPr>
        <w:pStyle w:val="a7"/>
        <w:numPr>
          <w:ilvl w:val="0"/>
          <w:numId w:val="1"/>
        </w:numPr>
        <w:spacing w:line="360" w:lineRule="auto"/>
        <w:rPr>
          <w:rFonts w:cs="David" w:hint="cs"/>
          <w:sz w:val="28"/>
          <w:szCs w:val="28"/>
        </w:rPr>
      </w:pPr>
      <w:r w:rsidRPr="00FA5FDD">
        <w:rPr>
          <w:rFonts w:cs="David" w:hint="cs"/>
          <w:sz w:val="28"/>
          <w:szCs w:val="28"/>
          <w:rtl/>
        </w:rPr>
        <w:t>עליה בכוחן של המפלגות הגדולות</w:t>
      </w:r>
    </w:p>
    <w:p w:rsidR="00FA5FDD" w:rsidRDefault="00FA5FDD" w:rsidP="00FA5FDD">
      <w:pPr>
        <w:pStyle w:val="a7"/>
        <w:numPr>
          <w:ilvl w:val="0"/>
          <w:numId w:val="1"/>
        </w:numPr>
        <w:spacing w:line="360" w:lineRule="auto"/>
        <w:rPr>
          <w:rFonts w:cs="David" w:hint="cs"/>
          <w:sz w:val="28"/>
          <w:szCs w:val="28"/>
        </w:rPr>
      </w:pPr>
      <w:r>
        <w:rPr>
          <w:rFonts w:cs="David" w:hint="cs"/>
          <w:sz w:val="28"/>
          <w:szCs w:val="28"/>
          <w:rtl/>
        </w:rPr>
        <w:t>העלאת אחוז החסימה</w:t>
      </w:r>
      <w:r w:rsidR="005856A4">
        <w:rPr>
          <w:rFonts w:cs="David" w:hint="cs"/>
          <w:sz w:val="28"/>
          <w:szCs w:val="28"/>
          <w:rtl/>
        </w:rPr>
        <w:t xml:space="preserve"> לא מנעה ייצוג ממפלגות המייצגות סקטורים משמעותיים</w:t>
      </w:r>
    </w:p>
    <w:p w:rsidR="005856A4" w:rsidRPr="005856A4" w:rsidRDefault="005856A4" w:rsidP="005856A4">
      <w:pPr>
        <w:spacing w:line="360" w:lineRule="auto"/>
        <w:rPr>
          <w:rFonts w:cs="David" w:hint="cs"/>
          <w:sz w:val="28"/>
          <w:szCs w:val="28"/>
          <w:u w:val="single"/>
          <w:rtl/>
        </w:rPr>
      </w:pPr>
      <w:r w:rsidRPr="005856A4">
        <w:rPr>
          <w:rFonts w:cs="David" w:hint="cs"/>
          <w:sz w:val="28"/>
          <w:szCs w:val="28"/>
          <w:u w:val="single"/>
          <w:rtl/>
        </w:rPr>
        <w:t>עם זאת, תהליך הרכבת הממשלה חשף הרבה פגמים:</w:t>
      </w:r>
    </w:p>
    <w:p w:rsidR="005856A4" w:rsidRPr="005856A4" w:rsidRDefault="005856A4" w:rsidP="005856A4">
      <w:pPr>
        <w:spacing w:line="360" w:lineRule="auto"/>
        <w:rPr>
          <w:rFonts w:cs="David" w:hint="cs"/>
          <w:sz w:val="28"/>
          <w:szCs w:val="28"/>
          <w:rtl/>
        </w:rPr>
      </w:pPr>
      <w:r>
        <w:rPr>
          <w:rFonts w:cs="David" w:hint="cs"/>
          <w:sz w:val="28"/>
          <w:szCs w:val="28"/>
          <w:rtl/>
        </w:rPr>
        <w:t xml:space="preserve">עוד לפני הרכבת הממשלה שונה חוק יסוד, על חודו של קול, על ידי הכנסת החדשה. שינוי של חוק יסוד בישראל משמעו הוא שינוי החוקה. כאשר </w:t>
      </w:r>
      <w:proofErr w:type="spellStart"/>
      <w:r>
        <w:rPr>
          <w:rFonts w:cs="David" w:hint="cs"/>
          <w:sz w:val="28"/>
          <w:szCs w:val="28"/>
          <w:rtl/>
        </w:rPr>
        <w:t>ארדואן</w:t>
      </w:r>
      <w:proofErr w:type="spellEnd"/>
      <w:r>
        <w:rPr>
          <w:rFonts w:cs="David" w:hint="cs"/>
          <w:sz w:val="28"/>
          <w:szCs w:val="28"/>
          <w:rtl/>
        </w:rPr>
        <w:t xml:space="preserve"> ביקש לשנות את החוקה בתורכיה, הוא היה צריך לגייס 2/3 של הקולות בפרלמנט </w:t>
      </w:r>
      <w:r>
        <w:rPr>
          <w:rFonts w:cs="David"/>
          <w:sz w:val="28"/>
          <w:szCs w:val="28"/>
          <w:rtl/>
        </w:rPr>
        <w:t>–</w:t>
      </w:r>
      <w:r>
        <w:rPr>
          <w:rFonts w:cs="David" w:hint="cs"/>
          <w:sz w:val="28"/>
          <w:szCs w:val="28"/>
          <w:rtl/>
        </w:rPr>
        <w:t xml:space="preserve"> ולא הצליח בכך. אצלנו, בניצול של הרוב </w:t>
      </w:r>
      <w:proofErr w:type="spellStart"/>
      <w:r>
        <w:rPr>
          <w:rFonts w:cs="David" w:hint="cs"/>
          <w:sz w:val="28"/>
          <w:szCs w:val="28"/>
          <w:rtl/>
        </w:rPr>
        <w:t>המינימלי</w:t>
      </w:r>
      <w:proofErr w:type="spellEnd"/>
      <w:r>
        <w:rPr>
          <w:rFonts w:cs="David" w:hint="cs"/>
          <w:sz w:val="28"/>
          <w:szCs w:val="28"/>
          <w:rtl/>
        </w:rPr>
        <w:t xml:space="preserve"> של הקואליציה, נעשה שינוי כזה, על מנת להגדיל את מספר השרים. </w:t>
      </w:r>
    </w:p>
    <w:p w:rsidR="00853F5B" w:rsidRDefault="00A928CA" w:rsidP="00D21330">
      <w:pPr>
        <w:spacing w:line="360" w:lineRule="auto"/>
        <w:rPr>
          <w:rFonts w:cs="David" w:hint="cs"/>
          <w:sz w:val="28"/>
          <w:szCs w:val="28"/>
          <w:rtl/>
        </w:rPr>
      </w:pPr>
      <w:r>
        <w:rPr>
          <w:rFonts w:cs="David" w:hint="cs"/>
          <w:sz w:val="28"/>
          <w:szCs w:val="28"/>
          <w:rtl/>
        </w:rPr>
        <w:t xml:space="preserve">בדרך כלל, תהליך של שינוי חוק יסוד מחייב דיון של ועדת חוקה, חוק ומשפט והתייחסות ציבורית, כולל שמיעת עמדת האקדמיה </w:t>
      </w:r>
      <w:r>
        <w:rPr>
          <w:rFonts w:cs="David"/>
          <w:sz w:val="28"/>
          <w:szCs w:val="28"/>
          <w:rtl/>
        </w:rPr>
        <w:t>–</w:t>
      </w:r>
      <w:r>
        <w:rPr>
          <w:rFonts w:cs="David" w:hint="cs"/>
          <w:sz w:val="28"/>
          <w:szCs w:val="28"/>
          <w:rtl/>
        </w:rPr>
        <w:t xml:space="preserve"> שום דבר מזה לא נעשה. </w:t>
      </w:r>
    </w:p>
    <w:p w:rsidR="00A928CA" w:rsidRDefault="00A928CA" w:rsidP="00D21330">
      <w:pPr>
        <w:spacing w:line="360" w:lineRule="auto"/>
        <w:rPr>
          <w:rFonts w:cs="David" w:hint="cs"/>
          <w:sz w:val="28"/>
          <w:szCs w:val="28"/>
          <w:rtl/>
        </w:rPr>
      </w:pPr>
      <w:r>
        <w:rPr>
          <w:rFonts w:cs="David" w:hint="cs"/>
          <w:sz w:val="28"/>
          <w:szCs w:val="28"/>
          <w:rtl/>
        </w:rPr>
        <w:t xml:space="preserve">בית המשפט דחה עתירה למניעת ההצבעה </w:t>
      </w:r>
      <w:r>
        <w:rPr>
          <w:rFonts w:cs="David"/>
          <w:sz w:val="28"/>
          <w:szCs w:val="28"/>
          <w:rtl/>
        </w:rPr>
        <w:t>–</w:t>
      </w:r>
      <w:r>
        <w:rPr>
          <w:rFonts w:cs="David" w:hint="cs"/>
          <w:sz w:val="28"/>
          <w:szCs w:val="28"/>
          <w:rtl/>
        </w:rPr>
        <w:t xml:space="preserve"> בטענה שבית המשפט לעולם לא ימנע מהכנסת להצביע. אם יתערב, זה יהיה בהחלטה, ולא בזכות הכנסת להחליט. </w:t>
      </w:r>
    </w:p>
    <w:p w:rsidR="00A928CA" w:rsidRDefault="00A928CA" w:rsidP="00D21330">
      <w:pPr>
        <w:spacing w:line="360" w:lineRule="auto"/>
        <w:rPr>
          <w:rFonts w:cs="David" w:hint="cs"/>
          <w:sz w:val="28"/>
          <w:szCs w:val="28"/>
          <w:rtl/>
        </w:rPr>
      </w:pPr>
      <w:r>
        <w:rPr>
          <w:rFonts w:cs="David" w:hint="cs"/>
          <w:sz w:val="28"/>
          <w:szCs w:val="28"/>
          <w:rtl/>
        </w:rPr>
        <w:t xml:space="preserve">סגן שר במעמד שר </w:t>
      </w:r>
      <w:r>
        <w:rPr>
          <w:rFonts w:cs="David"/>
          <w:sz w:val="28"/>
          <w:szCs w:val="28"/>
          <w:rtl/>
        </w:rPr>
        <w:t>–</w:t>
      </w:r>
      <w:r>
        <w:rPr>
          <w:rFonts w:cs="David" w:hint="cs"/>
          <w:sz w:val="28"/>
          <w:szCs w:val="28"/>
          <w:rtl/>
        </w:rPr>
        <w:t xml:space="preserve"> בשלושה משרדים נקבעו סגני שרים העומדים בראשם. </w:t>
      </w:r>
      <w:proofErr w:type="spellStart"/>
      <w:r>
        <w:rPr>
          <w:rFonts w:cs="David" w:hint="cs"/>
          <w:sz w:val="28"/>
          <w:szCs w:val="28"/>
          <w:rtl/>
        </w:rPr>
        <w:t>ליצמן</w:t>
      </w:r>
      <w:proofErr w:type="spellEnd"/>
      <w:r>
        <w:rPr>
          <w:rFonts w:cs="David" w:hint="cs"/>
          <w:sz w:val="28"/>
          <w:szCs w:val="28"/>
          <w:rtl/>
        </w:rPr>
        <w:t xml:space="preserve"> במשרד הבריאות, איוב קרא במשרד לפיתוח אזורי, </w:t>
      </w:r>
      <w:proofErr w:type="spellStart"/>
      <w:r>
        <w:rPr>
          <w:rFonts w:cs="David" w:hint="cs"/>
          <w:sz w:val="28"/>
          <w:szCs w:val="28"/>
          <w:rtl/>
        </w:rPr>
        <w:t>וחוטבלי</w:t>
      </w:r>
      <w:proofErr w:type="spellEnd"/>
      <w:r>
        <w:rPr>
          <w:rFonts w:cs="David" w:hint="cs"/>
          <w:sz w:val="28"/>
          <w:szCs w:val="28"/>
          <w:rtl/>
        </w:rPr>
        <w:t xml:space="preserve"> (שלא הוגדרה כבעלת מעמד שר) במשרד החוץ. </w:t>
      </w:r>
    </w:p>
    <w:p w:rsidR="00A928CA" w:rsidRDefault="00A928CA" w:rsidP="00D21330">
      <w:pPr>
        <w:spacing w:line="360" w:lineRule="auto"/>
        <w:rPr>
          <w:rFonts w:cs="David" w:hint="cs"/>
          <w:sz w:val="28"/>
          <w:szCs w:val="28"/>
          <w:rtl/>
        </w:rPr>
      </w:pPr>
      <w:r>
        <w:rPr>
          <w:rFonts w:cs="David" w:hint="cs"/>
          <w:sz w:val="28"/>
          <w:szCs w:val="28"/>
          <w:rtl/>
        </w:rPr>
        <w:lastRenderedPageBreak/>
        <w:t xml:space="preserve">מעמד כזה פשוט אינו קיים בחוק. עצם תפקידו של סגן שר </w:t>
      </w:r>
      <w:r>
        <w:rPr>
          <w:rFonts w:cs="David"/>
          <w:sz w:val="28"/>
          <w:szCs w:val="28"/>
          <w:rtl/>
        </w:rPr>
        <w:t>–</w:t>
      </w:r>
      <w:r>
        <w:rPr>
          <w:rFonts w:cs="David" w:hint="cs"/>
          <w:sz w:val="28"/>
          <w:szCs w:val="28"/>
          <w:rtl/>
        </w:rPr>
        <w:t xml:space="preserve"> שאינו אחראי חוקתית לכלום, הוגדר כ"אנדרוגינוס חוקתי". </w:t>
      </w:r>
    </w:p>
    <w:p w:rsidR="00A928CA" w:rsidRDefault="00A928CA" w:rsidP="00A928CA">
      <w:pPr>
        <w:spacing w:line="360" w:lineRule="auto"/>
        <w:rPr>
          <w:rFonts w:cs="David" w:hint="cs"/>
          <w:sz w:val="28"/>
          <w:szCs w:val="28"/>
          <w:rtl/>
        </w:rPr>
      </w:pPr>
      <w:r>
        <w:rPr>
          <w:rFonts w:cs="David" w:hint="cs"/>
          <w:sz w:val="28"/>
          <w:szCs w:val="28"/>
          <w:rtl/>
        </w:rPr>
        <w:t xml:space="preserve">הצהרת האמונים </w:t>
      </w:r>
      <w:r>
        <w:rPr>
          <w:rFonts w:cs="David"/>
          <w:sz w:val="28"/>
          <w:szCs w:val="28"/>
          <w:rtl/>
        </w:rPr>
        <w:t>–</w:t>
      </w:r>
      <w:r>
        <w:rPr>
          <w:rFonts w:cs="David" w:hint="cs"/>
          <w:sz w:val="28"/>
          <w:szCs w:val="28"/>
          <w:rtl/>
        </w:rPr>
        <w:t xml:space="preserve"> ח"כ מצהיר אמונים למדינת ישראל, שר מצהיר אמונים למדינת ישראל ולחוקיה, ומתחייב לכבד את החלטות הכנסת. הצהרה כזו מעמידה את חוקי המדינה מעל סמכות הדת </w:t>
      </w:r>
      <w:r>
        <w:rPr>
          <w:rFonts w:cs="David"/>
          <w:sz w:val="28"/>
          <w:szCs w:val="28"/>
          <w:rtl/>
        </w:rPr>
        <w:t>–</w:t>
      </w:r>
      <w:r>
        <w:rPr>
          <w:rFonts w:cs="David" w:hint="cs"/>
          <w:sz w:val="28"/>
          <w:szCs w:val="28"/>
          <w:rtl/>
        </w:rPr>
        <w:t xml:space="preserve"> ולכן יהדות התורה אינה ממנה שרים. </w:t>
      </w:r>
    </w:p>
    <w:p w:rsidR="00A928CA" w:rsidRDefault="00A928CA" w:rsidP="00A928CA">
      <w:pPr>
        <w:spacing w:line="360" w:lineRule="auto"/>
        <w:rPr>
          <w:rFonts w:cs="David" w:hint="cs"/>
          <w:sz w:val="28"/>
          <w:szCs w:val="28"/>
          <w:rtl/>
        </w:rPr>
      </w:pPr>
      <w:r>
        <w:rPr>
          <w:rFonts w:cs="David" w:hint="cs"/>
          <w:sz w:val="28"/>
          <w:szCs w:val="28"/>
          <w:rtl/>
        </w:rPr>
        <w:t xml:space="preserve">בשנת 2009 בית המשפט הוציא לממשלה "התראת בטלות" ביחס למעמד של סגן שר במעמד שר </w:t>
      </w:r>
      <w:r>
        <w:rPr>
          <w:rFonts w:cs="David"/>
          <w:sz w:val="28"/>
          <w:szCs w:val="28"/>
          <w:rtl/>
        </w:rPr>
        <w:t>–</w:t>
      </w:r>
      <w:r>
        <w:rPr>
          <w:rFonts w:cs="David" w:hint="cs"/>
          <w:sz w:val="28"/>
          <w:szCs w:val="28"/>
          <w:rtl/>
        </w:rPr>
        <w:t xml:space="preserve"> בעתירה נגד מינויו הקודם של </w:t>
      </w:r>
      <w:proofErr w:type="spellStart"/>
      <w:r>
        <w:rPr>
          <w:rFonts w:cs="David" w:hint="cs"/>
          <w:sz w:val="28"/>
          <w:szCs w:val="28"/>
          <w:rtl/>
        </w:rPr>
        <w:t>ליצמן</w:t>
      </w:r>
      <w:proofErr w:type="spellEnd"/>
      <w:r>
        <w:rPr>
          <w:rFonts w:cs="David" w:hint="cs"/>
          <w:sz w:val="28"/>
          <w:szCs w:val="28"/>
          <w:rtl/>
        </w:rPr>
        <w:t xml:space="preserve"> לתפקיד. עתה הוגשה שוב עתירה </w:t>
      </w:r>
      <w:r>
        <w:rPr>
          <w:rFonts w:cs="David"/>
          <w:sz w:val="28"/>
          <w:szCs w:val="28"/>
          <w:rtl/>
        </w:rPr>
        <w:t>–</w:t>
      </w:r>
      <w:r>
        <w:rPr>
          <w:rFonts w:cs="David" w:hint="cs"/>
          <w:sz w:val="28"/>
          <w:szCs w:val="28"/>
          <w:rtl/>
        </w:rPr>
        <w:t xml:space="preserve"> ויתכן מאוד שבית המשפט יבטל את המינוי. </w:t>
      </w:r>
    </w:p>
    <w:p w:rsidR="00954851" w:rsidRDefault="00954851" w:rsidP="00A928CA">
      <w:pPr>
        <w:spacing w:line="360" w:lineRule="auto"/>
        <w:rPr>
          <w:rFonts w:cs="David" w:hint="cs"/>
          <w:sz w:val="28"/>
          <w:szCs w:val="28"/>
          <w:rtl/>
        </w:rPr>
      </w:pPr>
      <w:r>
        <w:rPr>
          <w:rFonts w:cs="David" w:hint="cs"/>
          <w:sz w:val="28"/>
          <w:szCs w:val="28"/>
          <w:rtl/>
        </w:rPr>
        <w:t xml:space="preserve">"שר במשרד התקשורת" </w:t>
      </w:r>
      <w:r>
        <w:rPr>
          <w:rFonts w:cs="David"/>
          <w:sz w:val="28"/>
          <w:szCs w:val="28"/>
          <w:rtl/>
        </w:rPr>
        <w:t>–</w:t>
      </w:r>
      <w:r>
        <w:rPr>
          <w:rFonts w:cs="David" w:hint="cs"/>
          <w:sz w:val="28"/>
          <w:szCs w:val="28"/>
          <w:rtl/>
        </w:rPr>
        <w:t xml:space="preserve"> לא ניתן למנות שר שאין לו אחריות משרדית, אלא אם מדובר כשר בלי תיק. </w:t>
      </w:r>
    </w:p>
    <w:p w:rsidR="00954851" w:rsidRDefault="00954851" w:rsidP="00A928CA">
      <w:pPr>
        <w:spacing w:line="360" w:lineRule="auto"/>
        <w:rPr>
          <w:rFonts w:cs="David" w:hint="cs"/>
          <w:sz w:val="28"/>
          <w:szCs w:val="28"/>
          <w:rtl/>
        </w:rPr>
      </w:pPr>
      <w:r>
        <w:rPr>
          <w:rFonts w:cs="David" w:hint="cs"/>
          <w:sz w:val="28"/>
          <w:szCs w:val="28"/>
          <w:rtl/>
        </w:rPr>
        <w:t xml:space="preserve">מעמד "המשנה לראש הממשלה" </w:t>
      </w:r>
      <w:r>
        <w:rPr>
          <w:rFonts w:cs="David"/>
          <w:sz w:val="28"/>
          <w:szCs w:val="28"/>
          <w:rtl/>
        </w:rPr>
        <w:t>–</w:t>
      </w:r>
      <w:r>
        <w:rPr>
          <w:rFonts w:cs="David" w:hint="cs"/>
          <w:sz w:val="28"/>
          <w:szCs w:val="28"/>
          <w:rtl/>
        </w:rPr>
        <w:t xml:space="preserve"> זהו מעמד שאינו קיים מבחינה חוקתית. בחוק היסוד נקבעים שני תפקידים </w:t>
      </w:r>
      <w:r>
        <w:rPr>
          <w:rFonts w:cs="David"/>
          <w:sz w:val="28"/>
          <w:szCs w:val="28"/>
          <w:rtl/>
        </w:rPr>
        <w:t>–</w:t>
      </w:r>
      <w:r>
        <w:rPr>
          <w:rFonts w:cs="David" w:hint="cs"/>
          <w:sz w:val="28"/>
          <w:szCs w:val="28"/>
          <w:rtl/>
        </w:rPr>
        <w:t xml:space="preserve"> ממלא מקום וסגן. בשנת 2004 נתנו את התואר של מ"מ לאולמרט. תואר המשנה הומצא כפתרון למתן כיבוד לפרס </w:t>
      </w:r>
      <w:r>
        <w:rPr>
          <w:rFonts w:cs="David"/>
          <w:sz w:val="28"/>
          <w:szCs w:val="28"/>
          <w:rtl/>
        </w:rPr>
        <w:t>–</w:t>
      </w:r>
      <w:r>
        <w:rPr>
          <w:rFonts w:cs="David" w:hint="cs"/>
          <w:sz w:val="28"/>
          <w:szCs w:val="28"/>
          <w:rtl/>
        </w:rPr>
        <w:t xml:space="preserve"> אבל כאשר שרון חלה והוגדר כ"נבצר", מי שמונה לממלא מקומו הוא מי שהחזיק בתואר זה, ולא "המשנה", שאינו מוגדר בחוק. </w:t>
      </w:r>
    </w:p>
    <w:p w:rsidR="00954851" w:rsidRDefault="00954851" w:rsidP="00A928CA">
      <w:pPr>
        <w:spacing w:line="360" w:lineRule="auto"/>
        <w:rPr>
          <w:rFonts w:cs="David" w:hint="cs"/>
          <w:sz w:val="28"/>
          <w:szCs w:val="28"/>
          <w:rtl/>
        </w:rPr>
      </w:pPr>
      <w:r>
        <w:rPr>
          <w:rFonts w:cs="David" w:hint="cs"/>
          <w:sz w:val="28"/>
          <w:szCs w:val="28"/>
          <w:rtl/>
        </w:rPr>
        <w:t xml:space="preserve">בממשלה הנוכחית יש משנה ויש סגנים </w:t>
      </w:r>
      <w:r>
        <w:rPr>
          <w:rFonts w:cs="David"/>
          <w:sz w:val="28"/>
          <w:szCs w:val="28"/>
          <w:rtl/>
        </w:rPr>
        <w:t>–</w:t>
      </w:r>
      <w:r>
        <w:rPr>
          <w:rFonts w:cs="David" w:hint="cs"/>
          <w:sz w:val="28"/>
          <w:szCs w:val="28"/>
          <w:rtl/>
        </w:rPr>
        <w:t xml:space="preserve"> אך אין ממלא מקום. </w:t>
      </w:r>
    </w:p>
    <w:p w:rsidR="00954851" w:rsidRDefault="00954851" w:rsidP="00A928CA">
      <w:pPr>
        <w:spacing w:line="360" w:lineRule="auto"/>
        <w:rPr>
          <w:rFonts w:cs="David" w:hint="cs"/>
          <w:sz w:val="28"/>
          <w:szCs w:val="28"/>
          <w:u w:val="single"/>
          <w:rtl/>
        </w:rPr>
      </w:pPr>
      <w:r w:rsidRPr="00954851">
        <w:rPr>
          <w:rFonts w:cs="David" w:hint="cs"/>
          <w:sz w:val="28"/>
          <w:szCs w:val="28"/>
          <w:u w:val="single"/>
          <w:rtl/>
        </w:rPr>
        <w:t>עתירות בנושא</w:t>
      </w:r>
    </w:p>
    <w:p w:rsidR="00954851" w:rsidRDefault="00954851" w:rsidP="00A928CA">
      <w:pPr>
        <w:spacing w:line="360" w:lineRule="auto"/>
        <w:rPr>
          <w:rFonts w:cs="David" w:hint="cs"/>
          <w:sz w:val="28"/>
          <w:szCs w:val="28"/>
          <w:rtl/>
        </w:rPr>
      </w:pPr>
      <w:r>
        <w:rPr>
          <w:rFonts w:cs="David" w:hint="cs"/>
          <w:sz w:val="28"/>
          <w:szCs w:val="28"/>
          <w:rtl/>
        </w:rPr>
        <w:t>הוגשו שלוש עתירת כנגד הרכבת הממשלה:</w:t>
      </w:r>
    </w:p>
    <w:p w:rsidR="00954851" w:rsidRDefault="00954851" w:rsidP="00A928CA">
      <w:pPr>
        <w:spacing w:line="360" w:lineRule="auto"/>
        <w:rPr>
          <w:rFonts w:cs="David" w:hint="cs"/>
          <w:sz w:val="28"/>
          <w:szCs w:val="28"/>
          <w:rtl/>
        </w:rPr>
      </w:pPr>
      <w:r w:rsidRPr="00954851">
        <w:rPr>
          <w:rFonts w:cs="David" w:hint="cs"/>
          <w:sz w:val="28"/>
          <w:szCs w:val="28"/>
          <w:u w:val="single"/>
          <w:rtl/>
        </w:rPr>
        <w:t xml:space="preserve">עתירה נגד </w:t>
      </w:r>
      <w:r>
        <w:rPr>
          <w:rFonts w:cs="David" w:hint="cs"/>
          <w:sz w:val="28"/>
          <w:szCs w:val="28"/>
          <w:u w:val="single"/>
          <w:rtl/>
        </w:rPr>
        <w:t xml:space="preserve">מינוי </w:t>
      </w:r>
      <w:r w:rsidRPr="00954851">
        <w:rPr>
          <w:rFonts w:cs="David" w:hint="cs"/>
          <w:sz w:val="28"/>
          <w:szCs w:val="28"/>
          <w:u w:val="single"/>
          <w:rtl/>
        </w:rPr>
        <w:t>גלנט</w:t>
      </w:r>
      <w:r>
        <w:rPr>
          <w:rFonts w:cs="David" w:hint="cs"/>
          <w:sz w:val="28"/>
          <w:szCs w:val="28"/>
          <w:rtl/>
        </w:rPr>
        <w:t xml:space="preserve"> </w:t>
      </w:r>
      <w:r>
        <w:rPr>
          <w:rFonts w:cs="David"/>
          <w:sz w:val="28"/>
          <w:szCs w:val="28"/>
          <w:rtl/>
        </w:rPr>
        <w:t>–</w:t>
      </w:r>
      <w:r>
        <w:rPr>
          <w:rFonts w:cs="David" w:hint="cs"/>
          <w:sz w:val="28"/>
          <w:szCs w:val="28"/>
          <w:rtl/>
        </w:rPr>
        <w:t xml:space="preserve"> הפגם בהתנהלות גלנט נקבע בדו"ח של מבקר המדינה </w:t>
      </w:r>
      <w:r>
        <w:rPr>
          <w:rFonts w:cs="David"/>
          <w:sz w:val="28"/>
          <w:szCs w:val="28"/>
          <w:rtl/>
        </w:rPr>
        <w:t>–</w:t>
      </w:r>
      <w:r>
        <w:rPr>
          <w:rFonts w:cs="David" w:hint="cs"/>
          <w:sz w:val="28"/>
          <w:szCs w:val="28"/>
          <w:rtl/>
        </w:rPr>
        <w:t xml:space="preserve"> שעד היום עוד לא פורסם. העתירה היא שגלנט לא יכול להיות שר במשרד השיכון </w:t>
      </w:r>
      <w:r>
        <w:rPr>
          <w:rFonts w:cs="David"/>
          <w:sz w:val="28"/>
          <w:szCs w:val="28"/>
          <w:rtl/>
        </w:rPr>
        <w:t>–</w:t>
      </w:r>
      <w:r>
        <w:rPr>
          <w:rFonts w:cs="David" w:hint="cs"/>
          <w:sz w:val="28"/>
          <w:szCs w:val="28"/>
          <w:rtl/>
        </w:rPr>
        <w:t xml:space="preserve"> בוודאי אם התנהלותו הפסולה נוגעת לדיני התכנון והבניה. </w:t>
      </w:r>
    </w:p>
    <w:p w:rsidR="00954851" w:rsidRDefault="00954851" w:rsidP="00A928CA">
      <w:pPr>
        <w:spacing w:line="360" w:lineRule="auto"/>
        <w:rPr>
          <w:rFonts w:cs="David" w:hint="cs"/>
          <w:sz w:val="28"/>
          <w:szCs w:val="28"/>
          <w:rtl/>
        </w:rPr>
      </w:pPr>
      <w:r>
        <w:rPr>
          <w:rFonts w:cs="David" w:hint="cs"/>
          <w:sz w:val="28"/>
          <w:szCs w:val="28"/>
          <w:rtl/>
        </w:rPr>
        <w:t xml:space="preserve">לעתירה זו אין בסיס </w:t>
      </w:r>
      <w:r>
        <w:rPr>
          <w:rFonts w:cs="David"/>
          <w:sz w:val="28"/>
          <w:szCs w:val="28"/>
          <w:rtl/>
        </w:rPr>
        <w:t>–</w:t>
      </w:r>
      <w:r>
        <w:rPr>
          <w:rFonts w:cs="David" w:hint="cs"/>
          <w:sz w:val="28"/>
          <w:szCs w:val="28"/>
          <w:rtl/>
        </w:rPr>
        <w:t xml:space="preserve"> שכן הפגם שדבק בגלנט הוא פגם הרלבנטי למי שמועמד להיות רמטכ"ל, ומבוסס על הסטנדרט הגבוהה מאוד הנדרש מקציני צבא בכירים </w:t>
      </w:r>
      <w:r>
        <w:rPr>
          <w:rFonts w:cs="David"/>
          <w:sz w:val="28"/>
          <w:szCs w:val="28"/>
          <w:rtl/>
        </w:rPr>
        <w:t>–</w:t>
      </w:r>
      <w:r>
        <w:rPr>
          <w:rFonts w:cs="David" w:hint="cs"/>
          <w:sz w:val="28"/>
          <w:szCs w:val="28"/>
          <w:rtl/>
        </w:rPr>
        <w:t xml:space="preserve"> אבל לא כזה שרלבנטי למינוי שר. </w:t>
      </w:r>
    </w:p>
    <w:p w:rsidR="0086113A" w:rsidRDefault="0086113A" w:rsidP="00A928CA">
      <w:pPr>
        <w:spacing w:line="360" w:lineRule="auto"/>
        <w:rPr>
          <w:rFonts w:cs="David" w:hint="cs"/>
          <w:sz w:val="28"/>
          <w:szCs w:val="28"/>
          <w:rtl/>
        </w:rPr>
      </w:pPr>
      <w:r w:rsidRPr="0086113A">
        <w:rPr>
          <w:rFonts w:cs="David" w:hint="cs"/>
          <w:sz w:val="28"/>
          <w:szCs w:val="28"/>
          <w:u w:val="single"/>
          <w:rtl/>
        </w:rPr>
        <w:t>עתירה כנגד ההסכמים הקואליציוניים</w:t>
      </w:r>
      <w:r>
        <w:rPr>
          <w:rFonts w:cs="David" w:hint="cs"/>
          <w:sz w:val="28"/>
          <w:szCs w:val="28"/>
          <w:rtl/>
        </w:rPr>
        <w:t xml:space="preserve"> </w:t>
      </w:r>
      <w:r>
        <w:rPr>
          <w:rFonts w:cs="David"/>
          <w:sz w:val="28"/>
          <w:szCs w:val="28"/>
          <w:rtl/>
        </w:rPr>
        <w:t>–</w:t>
      </w:r>
      <w:r>
        <w:rPr>
          <w:rFonts w:cs="David" w:hint="cs"/>
          <w:sz w:val="28"/>
          <w:szCs w:val="28"/>
          <w:rtl/>
        </w:rPr>
        <w:t xml:space="preserve"> הטענה היא שבהסכם יש התחייבויות לא חוקיות. בית המשפט כבר קבע שהסכמים קואליציוניים הם שפיטים. </w:t>
      </w:r>
    </w:p>
    <w:p w:rsidR="0086113A" w:rsidRDefault="0086113A" w:rsidP="00A928CA">
      <w:pPr>
        <w:spacing w:line="360" w:lineRule="auto"/>
        <w:rPr>
          <w:rFonts w:cs="David" w:hint="cs"/>
          <w:sz w:val="28"/>
          <w:szCs w:val="28"/>
          <w:rtl/>
        </w:rPr>
      </w:pPr>
      <w:r w:rsidRPr="0086113A">
        <w:rPr>
          <w:rFonts w:cs="David" w:hint="cs"/>
          <w:sz w:val="28"/>
          <w:szCs w:val="28"/>
          <w:u w:val="single"/>
          <w:rtl/>
        </w:rPr>
        <w:t>עתירה נגד מינוי דרעי</w:t>
      </w:r>
      <w:r>
        <w:rPr>
          <w:rFonts w:cs="David" w:hint="cs"/>
          <w:sz w:val="28"/>
          <w:szCs w:val="28"/>
          <w:rtl/>
        </w:rPr>
        <w:t xml:space="preserve"> </w:t>
      </w:r>
      <w:r>
        <w:rPr>
          <w:rFonts w:cs="David"/>
          <w:sz w:val="28"/>
          <w:szCs w:val="28"/>
          <w:rtl/>
        </w:rPr>
        <w:t>–</w:t>
      </w:r>
      <w:r>
        <w:rPr>
          <w:rFonts w:cs="David" w:hint="cs"/>
          <w:sz w:val="28"/>
          <w:szCs w:val="28"/>
          <w:rtl/>
        </w:rPr>
        <w:t xml:space="preserve"> מבוססת על ההבחנה בין בכירים ממונים (שר, מפכ"ל, אלוף, רמטכ"ל </w:t>
      </w:r>
      <w:proofErr w:type="spellStart"/>
      <w:r>
        <w:rPr>
          <w:rFonts w:cs="David" w:hint="cs"/>
          <w:sz w:val="28"/>
          <w:szCs w:val="28"/>
          <w:rtl/>
        </w:rPr>
        <w:t>וכו</w:t>
      </w:r>
      <w:proofErr w:type="spellEnd"/>
      <w:r>
        <w:rPr>
          <w:rFonts w:cs="David" w:hint="cs"/>
          <w:sz w:val="28"/>
          <w:szCs w:val="28"/>
          <w:rtl/>
        </w:rPr>
        <w:t xml:space="preserve">') לבין מי שנבחר על ידי הציבור </w:t>
      </w:r>
      <w:r>
        <w:rPr>
          <w:rFonts w:cs="David"/>
          <w:sz w:val="28"/>
          <w:szCs w:val="28"/>
          <w:rtl/>
        </w:rPr>
        <w:t>–</w:t>
      </w:r>
      <w:r>
        <w:rPr>
          <w:rFonts w:cs="David" w:hint="cs"/>
          <w:sz w:val="28"/>
          <w:szCs w:val="28"/>
          <w:rtl/>
        </w:rPr>
        <w:t xml:space="preserve"> חברי כנסת וראשי ערים. </w:t>
      </w:r>
      <w:r w:rsidRPr="0086113A">
        <w:rPr>
          <w:rFonts w:cs="David" w:hint="cs"/>
          <w:b/>
          <w:bCs/>
          <w:sz w:val="28"/>
          <w:szCs w:val="28"/>
          <w:rtl/>
        </w:rPr>
        <w:lastRenderedPageBreak/>
        <w:t>במקרה של נבחר ציבור בוחנים סמכות בלבד</w:t>
      </w:r>
      <w:r>
        <w:rPr>
          <w:rFonts w:cs="David" w:hint="cs"/>
          <w:sz w:val="28"/>
          <w:szCs w:val="28"/>
          <w:rtl/>
        </w:rPr>
        <w:t xml:space="preserve"> </w:t>
      </w:r>
      <w:r>
        <w:rPr>
          <w:rFonts w:cs="David"/>
          <w:sz w:val="28"/>
          <w:szCs w:val="28"/>
          <w:rtl/>
        </w:rPr>
        <w:t>–</w:t>
      </w:r>
      <w:r>
        <w:rPr>
          <w:rFonts w:cs="David" w:hint="cs"/>
          <w:sz w:val="28"/>
          <w:szCs w:val="28"/>
          <w:rtl/>
        </w:rPr>
        <w:t xml:space="preserve"> האם על פי החוק המינוי עומד בכללים. האם הנבחר עומד בתבחינים של מי שראוי לפי החוק להיות מועמד, והאם תהליך הבחירה תקין. </w:t>
      </w:r>
    </w:p>
    <w:p w:rsidR="0086113A" w:rsidRDefault="0086113A" w:rsidP="00A928CA">
      <w:pPr>
        <w:spacing w:line="360" w:lineRule="auto"/>
        <w:rPr>
          <w:rFonts w:cs="David" w:hint="cs"/>
          <w:sz w:val="28"/>
          <w:szCs w:val="28"/>
          <w:rtl/>
        </w:rPr>
      </w:pPr>
      <w:r w:rsidRPr="0086113A">
        <w:rPr>
          <w:rFonts w:cs="David" w:hint="cs"/>
          <w:b/>
          <w:bCs/>
          <w:sz w:val="28"/>
          <w:szCs w:val="28"/>
          <w:rtl/>
        </w:rPr>
        <w:t>במקרה של ממונים בודקים כשירות ושיקול דעת</w:t>
      </w:r>
      <w:r>
        <w:rPr>
          <w:rFonts w:cs="David" w:hint="cs"/>
          <w:b/>
          <w:bCs/>
          <w:sz w:val="28"/>
          <w:szCs w:val="28"/>
          <w:rtl/>
        </w:rPr>
        <w:t xml:space="preserve"> </w:t>
      </w:r>
      <w:r>
        <w:rPr>
          <w:rFonts w:cs="David"/>
          <w:sz w:val="28"/>
          <w:szCs w:val="28"/>
          <w:rtl/>
        </w:rPr>
        <w:t>–</w:t>
      </w:r>
      <w:r>
        <w:rPr>
          <w:rFonts w:cs="David" w:hint="cs"/>
          <w:sz w:val="28"/>
          <w:szCs w:val="28"/>
          <w:rtl/>
        </w:rPr>
        <w:t xml:space="preserve"> כשירות חוקית וסבירות. פס"ד בעניין יוסי גינוסר יצר חובה לבדוק עבר פלילי של כל מועמד לתפקיד בכיר. כאשר בודקים עבר פלילי יש חובה לבדוק את סוג העבירה ונסיבותיה. הנסיבות קובעות את משקל העבירה. בנוסף, יש לשקול גם את סוג התפקיד </w:t>
      </w:r>
      <w:r>
        <w:rPr>
          <w:rFonts w:cs="David"/>
          <w:sz w:val="28"/>
          <w:szCs w:val="28"/>
          <w:rtl/>
        </w:rPr>
        <w:t>–</w:t>
      </w:r>
      <w:r>
        <w:rPr>
          <w:rFonts w:cs="David" w:hint="cs"/>
          <w:sz w:val="28"/>
          <w:szCs w:val="28"/>
          <w:rtl/>
        </w:rPr>
        <w:t xml:space="preserve"> לפי עקרון של כרום הדרגה כך גודל הדרישה </w:t>
      </w:r>
      <w:proofErr w:type="spellStart"/>
      <w:r>
        <w:rPr>
          <w:rFonts w:cs="David" w:hint="cs"/>
          <w:sz w:val="28"/>
          <w:szCs w:val="28"/>
          <w:rtl/>
        </w:rPr>
        <w:t>לנקיון</w:t>
      </w:r>
      <w:proofErr w:type="spellEnd"/>
      <w:r>
        <w:rPr>
          <w:rFonts w:cs="David" w:hint="cs"/>
          <w:sz w:val="28"/>
          <w:szCs w:val="28"/>
          <w:rtl/>
        </w:rPr>
        <w:t xml:space="preserve"> כפיים. </w:t>
      </w:r>
    </w:p>
    <w:p w:rsidR="00EF5FA0" w:rsidRDefault="0086113A" w:rsidP="00EF5FA0">
      <w:pPr>
        <w:spacing w:line="360" w:lineRule="auto"/>
        <w:rPr>
          <w:rFonts w:cs="David" w:hint="cs"/>
          <w:sz w:val="28"/>
          <w:szCs w:val="28"/>
          <w:rtl/>
        </w:rPr>
      </w:pPr>
      <w:r>
        <w:rPr>
          <w:rFonts w:cs="David" w:hint="cs"/>
          <w:sz w:val="28"/>
          <w:szCs w:val="28"/>
          <w:rtl/>
        </w:rPr>
        <w:t xml:space="preserve">דרעי הוא עבריין מורשע והיה מעורב בפרשיות נוספות שעליהן לא הועמד לדין. דרעי גם מעולם לא </w:t>
      </w:r>
      <w:r w:rsidR="00EF5FA0">
        <w:rPr>
          <w:rFonts w:cs="David" w:hint="cs"/>
          <w:sz w:val="28"/>
          <w:szCs w:val="28"/>
          <w:rtl/>
        </w:rPr>
        <w:t xml:space="preserve">הביע חרטה. לפי החוק, דרעי זכאי להתמודד על תפקיד חבר כנסת, ועל כך אין חולק. השאלה התקדימית היא האם הוא יכול להיות שר. שר אינו תפקיד נבחר אלא תפקיד ממלכתי וייצוגי, </w:t>
      </w:r>
      <w:proofErr w:type="spellStart"/>
      <w:r w:rsidR="00EF5FA0">
        <w:rPr>
          <w:rFonts w:cs="David" w:hint="cs"/>
          <w:sz w:val="28"/>
          <w:szCs w:val="28"/>
          <w:rtl/>
        </w:rPr>
        <w:t>ההכלל</w:t>
      </w:r>
      <w:proofErr w:type="spellEnd"/>
      <w:r w:rsidR="00EF5FA0">
        <w:rPr>
          <w:rFonts w:cs="David" w:hint="cs"/>
          <w:sz w:val="28"/>
          <w:szCs w:val="28"/>
          <w:rtl/>
        </w:rPr>
        <w:t xml:space="preserve"> הוא ש"הממשלה היא נאמן הציבור, </w:t>
      </w:r>
      <w:proofErr w:type="spellStart"/>
      <w:r w:rsidR="00EF5FA0">
        <w:rPr>
          <w:rFonts w:cs="David" w:hint="cs"/>
          <w:sz w:val="28"/>
          <w:szCs w:val="28"/>
          <w:rtl/>
        </w:rPr>
        <w:t>המחוייבת</w:t>
      </w:r>
      <w:proofErr w:type="spellEnd"/>
      <w:r w:rsidR="00EF5FA0">
        <w:rPr>
          <w:rFonts w:cs="David" w:hint="cs"/>
          <w:sz w:val="28"/>
          <w:szCs w:val="28"/>
          <w:rtl/>
        </w:rPr>
        <w:t xml:space="preserve"> לנורמות ראויות". </w:t>
      </w:r>
    </w:p>
    <w:p w:rsidR="0086113A" w:rsidRPr="0086113A" w:rsidRDefault="00EF5FA0" w:rsidP="00EF5FA0">
      <w:pPr>
        <w:spacing w:line="360" w:lineRule="auto"/>
        <w:rPr>
          <w:rFonts w:cs="David" w:hint="cs"/>
          <w:sz w:val="28"/>
          <w:szCs w:val="28"/>
          <w:rtl/>
        </w:rPr>
      </w:pPr>
      <w:r w:rsidRPr="00EF5FA0">
        <w:rPr>
          <w:rFonts w:cs="David" w:hint="cs"/>
          <w:b/>
          <w:bCs/>
          <w:sz w:val="28"/>
          <w:szCs w:val="28"/>
          <w:rtl/>
        </w:rPr>
        <w:t>מבחינה חוקית, דרעי יכול להתמנות לשר</w:t>
      </w:r>
      <w:r>
        <w:rPr>
          <w:rFonts w:cs="David" w:hint="cs"/>
          <w:sz w:val="28"/>
          <w:szCs w:val="28"/>
          <w:rtl/>
        </w:rPr>
        <w:t xml:space="preserve"> </w:t>
      </w:r>
      <w:r>
        <w:rPr>
          <w:rFonts w:cs="David"/>
          <w:sz w:val="28"/>
          <w:szCs w:val="28"/>
          <w:rtl/>
        </w:rPr>
        <w:t>–</w:t>
      </w:r>
      <w:r>
        <w:rPr>
          <w:rFonts w:cs="David" w:hint="cs"/>
          <w:sz w:val="28"/>
          <w:szCs w:val="28"/>
          <w:rtl/>
        </w:rPr>
        <w:t xml:space="preserve"> שכן עברו שבע שנים מאז ריצה את עונשו. </w:t>
      </w:r>
      <w:r w:rsidRPr="00EF5FA0">
        <w:rPr>
          <w:rFonts w:cs="David" w:hint="cs"/>
          <w:b/>
          <w:bCs/>
          <w:sz w:val="28"/>
          <w:szCs w:val="28"/>
          <w:rtl/>
        </w:rPr>
        <w:t>השאלה היא האם המינוי סביר</w:t>
      </w:r>
      <w:r>
        <w:rPr>
          <w:rFonts w:cs="David" w:hint="cs"/>
          <w:sz w:val="28"/>
          <w:szCs w:val="28"/>
          <w:rtl/>
        </w:rPr>
        <w:t xml:space="preserve">. בתגובה לעתירה, כתב היועץ המשפטי לממשלה חוות דעת. </w:t>
      </w:r>
      <w:proofErr w:type="spellStart"/>
      <w:r>
        <w:rPr>
          <w:rFonts w:cs="David" w:hint="cs"/>
          <w:sz w:val="28"/>
          <w:szCs w:val="28"/>
          <w:rtl/>
        </w:rPr>
        <w:t>בחוו"ד</w:t>
      </w:r>
      <w:proofErr w:type="spellEnd"/>
      <w:r>
        <w:rPr>
          <w:rFonts w:cs="David" w:hint="cs"/>
          <w:sz w:val="28"/>
          <w:szCs w:val="28"/>
          <w:rtl/>
        </w:rPr>
        <w:t xml:space="preserve"> יש פירוט מלא המציג את התנהלותו של דרעי בעבר - ולמה המינוי לא סביר. בסיכום, כתב היועץ שאמנם יתקשה להגן על המינוי </w:t>
      </w:r>
      <w:r>
        <w:rPr>
          <w:rFonts w:cs="David"/>
          <w:sz w:val="28"/>
          <w:szCs w:val="28"/>
          <w:rtl/>
        </w:rPr>
        <w:t>–</w:t>
      </w:r>
      <w:r>
        <w:rPr>
          <w:rFonts w:cs="David" w:hint="cs"/>
          <w:sz w:val="28"/>
          <w:szCs w:val="28"/>
          <w:rtl/>
        </w:rPr>
        <w:t xml:space="preserve"> אבל הוא יעשה זאת. </w:t>
      </w:r>
    </w:p>
    <w:p w:rsidR="0086113A" w:rsidRDefault="0086113A" w:rsidP="00A928CA">
      <w:pPr>
        <w:spacing w:line="360" w:lineRule="auto"/>
        <w:rPr>
          <w:rFonts w:cs="David" w:hint="cs"/>
          <w:sz w:val="28"/>
          <w:szCs w:val="28"/>
          <w:rtl/>
        </w:rPr>
      </w:pPr>
      <w:r w:rsidRPr="0086113A">
        <w:rPr>
          <w:rFonts w:cs="David" w:hint="cs"/>
          <w:sz w:val="28"/>
          <w:szCs w:val="28"/>
          <w:u w:val="single"/>
          <w:rtl/>
        </w:rPr>
        <w:t>עתירה נוספת שאולי תוגש</w:t>
      </w:r>
      <w:r>
        <w:rPr>
          <w:rFonts w:cs="David" w:hint="cs"/>
          <w:sz w:val="28"/>
          <w:szCs w:val="28"/>
          <w:rtl/>
        </w:rPr>
        <w:t xml:space="preserve"> </w:t>
      </w:r>
      <w:r>
        <w:rPr>
          <w:rFonts w:cs="David"/>
          <w:sz w:val="28"/>
          <w:szCs w:val="28"/>
          <w:rtl/>
        </w:rPr>
        <w:t>–</w:t>
      </w:r>
      <w:r>
        <w:rPr>
          <w:rFonts w:cs="David" w:hint="cs"/>
          <w:sz w:val="28"/>
          <w:szCs w:val="28"/>
          <w:rtl/>
        </w:rPr>
        <w:t xml:space="preserve"> נגד החזקת ראש הממשלה במשרדים רבים. הכלל אומר שראש ממשלה זו משרה מלאה, ונראה שיתכן שבית המשפט יקבע שלמרות התקדים של ראש ממשלה ושר ביטחון, במקרה הנוכחי יש הגזמה. </w:t>
      </w:r>
    </w:p>
    <w:p w:rsidR="00EF5FA0" w:rsidRDefault="00EF5FA0" w:rsidP="00A928CA">
      <w:pPr>
        <w:spacing w:line="360" w:lineRule="auto"/>
        <w:rPr>
          <w:rFonts w:cs="David" w:hint="cs"/>
          <w:sz w:val="28"/>
          <w:szCs w:val="28"/>
          <w:rtl/>
        </w:rPr>
      </w:pPr>
      <w:r>
        <w:rPr>
          <w:rFonts w:cs="David" w:hint="cs"/>
          <w:sz w:val="28"/>
          <w:szCs w:val="28"/>
          <w:rtl/>
        </w:rPr>
        <w:t xml:space="preserve">לעיתים יועצים משפטיים נדרשים לקבל החלטות משנות היסטוריה </w:t>
      </w:r>
      <w:r>
        <w:rPr>
          <w:rFonts w:cs="David"/>
          <w:sz w:val="28"/>
          <w:szCs w:val="28"/>
          <w:rtl/>
        </w:rPr>
        <w:t>–</w:t>
      </w:r>
      <w:r>
        <w:rPr>
          <w:rFonts w:cs="David" w:hint="cs"/>
          <w:sz w:val="28"/>
          <w:szCs w:val="28"/>
          <w:rtl/>
        </w:rPr>
        <w:t xml:space="preserve"> כך אהרון ברק בנושא חשבון הדולרים של לאה רבין, וכך יוסף חריש בתיק דרעי הראשון (כאשר רבין ביקש למנותו לשר). במקרה הנוכחי, היועץ לא מקבל החלטה כזו </w:t>
      </w:r>
      <w:r>
        <w:rPr>
          <w:rFonts w:cs="David"/>
          <w:sz w:val="28"/>
          <w:szCs w:val="28"/>
          <w:rtl/>
        </w:rPr>
        <w:t>–</w:t>
      </w:r>
      <w:r>
        <w:rPr>
          <w:rFonts w:cs="David" w:hint="cs"/>
          <w:sz w:val="28"/>
          <w:szCs w:val="28"/>
          <w:rtl/>
        </w:rPr>
        <w:t xml:space="preserve"> ולכן הנושא מגיע לבג"ץ. </w:t>
      </w:r>
    </w:p>
    <w:p w:rsidR="00EF5FA0" w:rsidRPr="00954851" w:rsidRDefault="00EF5FA0" w:rsidP="00A928CA">
      <w:pPr>
        <w:spacing w:line="360" w:lineRule="auto"/>
        <w:rPr>
          <w:rFonts w:cs="David"/>
          <w:sz w:val="28"/>
          <w:szCs w:val="28"/>
        </w:rPr>
      </w:pPr>
      <w:r>
        <w:rPr>
          <w:rFonts w:cs="David" w:hint="cs"/>
          <w:sz w:val="28"/>
          <w:szCs w:val="28"/>
          <w:rtl/>
        </w:rPr>
        <w:t xml:space="preserve">התערבות בג"ץ, במקרה כזה, משמעה כנראה הפלה של הממשלה </w:t>
      </w:r>
      <w:r>
        <w:rPr>
          <w:rFonts w:cs="David"/>
          <w:sz w:val="28"/>
          <w:szCs w:val="28"/>
          <w:rtl/>
        </w:rPr>
        <w:t>–</w:t>
      </w:r>
      <w:r>
        <w:rPr>
          <w:rFonts w:cs="David" w:hint="cs"/>
          <w:sz w:val="28"/>
          <w:szCs w:val="28"/>
          <w:rtl/>
        </w:rPr>
        <w:t xml:space="preserve"> ולכן לא ברור אם בג"ץ </w:t>
      </w:r>
      <w:proofErr w:type="spellStart"/>
      <w:r>
        <w:rPr>
          <w:rFonts w:cs="David" w:hint="cs"/>
          <w:sz w:val="28"/>
          <w:szCs w:val="28"/>
          <w:rtl/>
        </w:rPr>
        <w:t>יבחור</w:t>
      </w:r>
      <w:proofErr w:type="spellEnd"/>
      <w:r>
        <w:rPr>
          <w:rFonts w:cs="David" w:hint="cs"/>
          <w:sz w:val="28"/>
          <w:szCs w:val="28"/>
          <w:rtl/>
        </w:rPr>
        <w:t xml:space="preserve"> להתערב בהחלטה הפוליטית במקרה הזה. אי התערבות משמעה תקדים קשה </w:t>
      </w:r>
      <w:r>
        <w:rPr>
          <w:rFonts w:cs="David"/>
          <w:sz w:val="28"/>
          <w:szCs w:val="28"/>
          <w:rtl/>
        </w:rPr>
        <w:t>–</w:t>
      </w:r>
      <w:r>
        <w:rPr>
          <w:rFonts w:cs="David" w:hint="cs"/>
          <w:sz w:val="28"/>
          <w:szCs w:val="28"/>
          <w:rtl/>
        </w:rPr>
        <w:t xml:space="preserve"> מתן כרטיס כניסה לתפקידים שלטוניים לכל עבריין לאחר שריצה את עונשו. </w:t>
      </w:r>
    </w:p>
    <w:sectPr w:rsidR="00EF5FA0" w:rsidRPr="00954851" w:rsidSect="00C23C1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3F" w:rsidRDefault="00E47F3F" w:rsidP="00D21330">
      <w:pPr>
        <w:spacing w:after="0" w:line="240" w:lineRule="auto"/>
      </w:pPr>
      <w:r>
        <w:separator/>
      </w:r>
    </w:p>
  </w:endnote>
  <w:endnote w:type="continuationSeparator" w:id="0">
    <w:p w:rsidR="00E47F3F" w:rsidRDefault="00E47F3F" w:rsidP="00D21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3F" w:rsidRDefault="00E47F3F" w:rsidP="00D21330">
      <w:pPr>
        <w:spacing w:after="0" w:line="240" w:lineRule="auto"/>
      </w:pPr>
      <w:r>
        <w:separator/>
      </w:r>
    </w:p>
  </w:footnote>
  <w:footnote w:type="continuationSeparator" w:id="0">
    <w:p w:rsidR="00E47F3F" w:rsidRDefault="00E47F3F" w:rsidP="00D21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30" w:rsidRPr="00065D48" w:rsidRDefault="00D21330" w:rsidP="00D21330">
    <w:pPr>
      <w:jc w:val="center"/>
      <w:rPr>
        <w:rFonts w:cs="David"/>
        <w:sz w:val="28"/>
        <w:szCs w:val="28"/>
        <w:rtl/>
      </w:rPr>
    </w:pPr>
    <w:r w:rsidRPr="00065D48">
      <w:rPr>
        <w:rFonts w:cs="David" w:hint="cs"/>
        <w:sz w:val="28"/>
        <w:szCs w:val="28"/>
        <w:rtl/>
      </w:rPr>
      <w:t xml:space="preserve">סוגיות במשפט ציבורי </w:t>
    </w:r>
    <w:r w:rsidRPr="00065D48">
      <w:rPr>
        <w:rFonts w:cs="David"/>
        <w:sz w:val="28"/>
        <w:szCs w:val="28"/>
        <w:rtl/>
      </w:rPr>
      <w:t>–</w:t>
    </w:r>
    <w:r w:rsidRPr="00065D48">
      <w:rPr>
        <w:rFonts w:cs="David" w:hint="cs"/>
        <w:sz w:val="28"/>
        <w:szCs w:val="28"/>
        <w:rtl/>
      </w:rPr>
      <w:t xml:space="preserve"> שיעור 13 - </w:t>
    </w:r>
    <w:proofErr w:type="spellStart"/>
    <w:r w:rsidRPr="00065D48">
      <w:rPr>
        <w:rFonts w:cs="David" w:hint="cs"/>
        <w:sz w:val="28"/>
        <w:szCs w:val="28"/>
        <w:rtl/>
      </w:rPr>
      <w:t>פרופ</w:t>
    </w:r>
    <w:proofErr w:type="spellEnd"/>
    <w:r w:rsidRPr="00065D48">
      <w:rPr>
        <w:rFonts w:cs="David" w:hint="cs"/>
        <w:sz w:val="28"/>
        <w:szCs w:val="28"/>
        <w:rtl/>
      </w:rPr>
      <w:t>' סוזי נבות, 10.6.13</w:t>
    </w:r>
  </w:p>
  <w:p w:rsidR="00D21330" w:rsidRDefault="00D213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13F74"/>
    <w:multiLevelType w:val="hybridMultilevel"/>
    <w:tmpl w:val="0AAA88A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1330"/>
    <w:rsid w:val="00043C75"/>
    <w:rsid w:val="00065D48"/>
    <w:rsid w:val="00071CBE"/>
    <w:rsid w:val="000867B8"/>
    <w:rsid w:val="000F5CDF"/>
    <w:rsid w:val="00152AF8"/>
    <w:rsid w:val="003E6F35"/>
    <w:rsid w:val="005856A4"/>
    <w:rsid w:val="007342CD"/>
    <w:rsid w:val="00761D47"/>
    <w:rsid w:val="0080244C"/>
    <w:rsid w:val="00853F5B"/>
    <w:rsid w:val="0086113A"/>
    <w:rsid w:val="00954851"/>
    <w:rsid w:val="009B512F"/>
    <w:rsid w:val="00A50C8B"/>
    <w:rsid w:val="00A63C3C"/>
    <w:rsid w:val="00A928CA"/>
    <w:rsid w:val="00AA6098"/>
    <w:rsid w:val="00B22592"/>
    <w:rsid w:val="00B55410"/>
    <w:rsid w:val="00C11608"/>
    <w:rsid w:val="00C23C1F"/>
    <w:rsid w:val="00D21330"/>
    <w:rsid w:val="00E27F81"/>
    <w:rsid w:val="00E47F3F"/>
    <w:rsid w:val="00E7585F"/>
    <w:rsid w:val="00EB7570"/>
    <w:rsid w:val="00EF5FA0"/>
    <w:rsid w:val="00F14591"/>
    <w:rsid w:val="00FA5FD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B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1330"/>
    <w:pPr>
      <w:tabs>
        <w:tab w:val="center" w:pos="4153"/>
        <w:tab w:val="right" w:pos="8306"/>
      </w:tabs>
      <w:spacing w:after="0" w:line="240" w:lineRule="auto"/>
    </w:pPr>
  </w:style>
  <w:style w:type="character" w:customStyle="1" w:styleId="a4">
    <w:name w:val="כותרת עליונה תו"/>
    <w:basedOn w:val="a0"/>
    <w:link w:val="a3"/>
    <w:uiPriority w:val="99"/>
    <w:semiHidden/>
    <w:rsid w:val="00D21330"/>
  </w:style>
  <w:style w:type="paragraph" w:styleId="a5">
    <w:name w:val="footer"/>
    <w:basedOn w:val="a"/>
    <w:link w:val="a6"/>
    <w:uiPriority w:val="99"/>
    <w:semiHidden/>
    <w:unhideWhenUsed/>
    <w:rsid w:val="00D21330"/>
    <w:pPr>
      <w:tabs>
        <w:tab w:val="center" w:pos="4153"/>
        <w:tab w:val="right" w:pos="8306"/>
      </w:tabs>
      <w:spacing w:after="0" w:line="240" w:lineRule="auto"/>
    </w:pPr>
  </w:style>
  <w:style w:type="character" w:customStyle="1" w:styleId="a6">
    <w:name w:val="כותרת תחתונה תו"/>
    <w:basedOn w:val="a0"/>
    <w:link w:val="a5"/>
    <w:uiPriority w:val="99"/>
    <w:semiHidden/>
    <w:rsid w:val="00D21330"/>
  </w:style>
  <w:style w:type="character" w:styleId="Hyperlink">
    <w:name w:val="Hyperlink"/>
    <w:basedOn w:val="a0"/>
    <w:uiPriority w:val="99"/>
    <w:unhideWhenUsed/>
    <w:rsid w:val="0080244C"/>
    <w:rPr>
      <w:color w:val="0000FF" w:themeColor="hyperlink"/>
      <w:u w:val="single"/>
    </w:rPr>
  </w:style>
  <w:style w:type="paragraph" w:styleId="a7">
    <w:name w:val="List Paragraph"/>
    <w:basedOn w:val="a"/>
    <w:uiPriority w:val="34"/>
    <w:qFormat/>
    <w:rsid w:val="00FA5F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l.org.il/index.php?option=com_content&amp;view=article&amp;id=235&amp;catid=115&amp;Itemid=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1872</Words>
  <Characters>9363</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 חגי</dc:creator>
  <cp:keywords/>
  <dc:description/>
  <cp:lastModifiedBy>גל חגי</cp:lastModifiedBy>
  <cp:revision>16</cp:revision>
  <dcterms:created xsi:type="dcterms:W3CDTF">2015-06-10T05:33:00Z</dcterms:created>
  <dcterms:modified xsi:type="dcterms:W3CDTF">2015-06-10T09:02:00Z</dcterms:modified>
</cp:coreProperties>
</file>