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3E" w:rsidRPr="001A243E" w:rsidRDefault="001A243E" w:rsidP="001A243E">
      <w:pPr>
        <w:spacing w:after="0" w:line="240" w:lineRule="auto"/>
        <w:ind w:left="-341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1A243E">
        <w:rPr>
          <w:rFonts w:cs="David" w:hint="cs"/>
          <w:b/>
          <w:bCs/>
          <w:sz w:val="24"/>
          <w:szCs w:val="24"/>
          <w:u w:val="single"/>
          <w:rtl/>
        </w:rPr>
        <w:t>לוח תפוצה</w:t>
      </w:r>
    </w:p>
    <w:p w:rsidR="001A243E" w:rsidRPr="001A243E" w:rsidRDefault="001A243E" w:rsidP="001A243E">
      <w:pPr>
        <w:spacing w:after="0" w:line="240" w:lineRule="auto"/>
        <w:rPr>
          <w:rFonts w:cs="David"/>
          <w:b/>
          <w:bCs/>
          <w:u w:val="single"/>
          <w:rtl/>
        </w:rPr>
      </w:pPr>
    </w:p>
    <w:p w:rsidR="001A243E" w:rsidRDefault="00441965" w:rsidP="001A243E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663EB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Pr="009663EB">
        <w:rPr>
          <w:rFonts w:cs="David" w:hint="cs"/>
          <w:b/>
          <w:bCs/>
          <w:sz w:val="28"/>
          <w:szCs w:val="28"/>
          <w:u w:val="single"/>
          <w:rtl/>
        </w:rPr>
        <w:t xml:space="preserve">מטלת סיכום בקורס </w:t>
      </w:r>
      <w:r w:rsidR="001A243E">
        <w:rPr>
          <w:rFonts w:cs="David" w:hint="cs"/>
          <w:b/>
          <w:bCs/>
          <w:sz w:val="28"/>
          <w:szCs w:val="28"/>
          <w:u w:val="single"/>
          <w:rtl/>
        </w:rPr>
        <w:t>"אסטרטגיה בין תיאוריה לפרקטיקה:</w:t>
      </w:r>
    </w:p>
    <w:p w:rsidR="009663EB" w:rsidRPr="009663EB" w:rsidRDefault="00441965" w:rsidP="001A243E">
      <w:pPr>
        <w:spacing w:after="0" w:line="360" w:lineRule="auto"/>
        <w:jc w:val="center"/>
        <w:rPr>
          <w:rFonts w:cs="David"/>
          <w:sz w:val="28"/>
          <w:szCs w:val="28"/>
          <w:rtl/>
        </w:rPr>
      </w:pPr>
      <w:r w:rsidRPr="009663EB">
        <w:rPr>
          <w:rFonts w:cs="David" w:hint="cs"/>
          <w:b/>
          <w:bCs/>
          <w:sz w:val="28"/>
          <w:szCs w:val="28"/>
          <w:u w:val="single"/>
          <w:rtl/>
        </w:rPr>
        <w:t>מחשבה אסטרטגית וחשיבה אסטרטגית</w:t>
      </w:r>
      <w:r w:rsidRPr="001A243E">
        <w:rPr>
          <w:rFonts w:cs="David" w:hint="cs"/>
          <w:b/>
          <w:bCs/>
          <w:sz w:val="28"/>
          <w:szCs w:val="28"/>
          <w:rtl/>
        </w:rPr>
        <w:t>"</w:t>
      </w:r>
    </w:p>
    <w:p w:rsidR="00441965" w:rsidRPr="009663EB" w:rsidRDefault="00441965" w:rsidP="001A243E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עם תום שמיעת הקורס, בהוראת </w:t>
      </w:r>
      <w:r w:rsidR="007A62D1">
        <w:rPr>
          <w:rFonts w:cs="David" w:hint="cs"/>
          <w:sz w:val="28"/>
          <w:szCs w:val="28"/>
          <w:rtl/>
        </w:rPr>
        <w:t>פרופסור דימה אדמסקי ו</w:t>
      </w:r>
      <w:r w:rsidR="009F09DC">
        <w:rPr>
          <w:rFonts w:cs="David" w:hint="cs"/>
          <w:sz w:val="28"/>
          <w:szCs w:val="28"/>
          <w:rtl/>
        </w:rPr>
        <w:t xml:space="preserve">לפני תחילת הקורס בהובלת </w:t>
      </w:r>
      <w:r w:rsidR="007A62D1">
        <w:rPr>
          <w:rFonts w:cs="David" w:hint="cs"/>
          <w:sz w:val="28"/>
          <w:szCs w:val="28"/>
          <w:rtl/>
        </w:rPr>
        <w:t>אלוף אמיר ברעם.</w:t>
      </w:r>
      <w:r w:rsidR="00ED143B">
        <w:rPr>
          <w:rFonts w:cs="David" w:hint="cs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מועברת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אליכם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בזאת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מטלת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הסיום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של</w:t>
      </w:r>
      <w:r w:rsidR="00ED143B" w:rsidRPr="00ED143B">
        <w:rPr>
          <w:rFonts w:cs="David"/>
          <w:sz w:val="28"/>
          <w:szCs w:val="28"/>
          <w:rtl/>
        </w:rPr>
        <w:t xml:space="preserve"> </w:t>
      </w:r>
      <w:r w:rsidR="00ED143B" w:rsidRPr="00ED143B">
        <w:rPr>
          <w:rFonts w:cs="David" w:hint="cs"/>
          <w:sz w:val="28"/>
          <w:szCs w:val="28"/>
          <w:rtl/>
        </w:rPr>
        <w:t>הקורס</w:t>
      </w:r>
      <w:r w:rsidR="00ED143B" w:rsidRPr="00ED143B">
        <w:rPr>
          <w:rFonts w:cs="David"/>
          <w:sz w:val="28"/>
          <w:szCs w:val="28"/>
          <w:rtl/>
        </w:rPr>
        <w:t>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במסגרת זו, אתם מתבקשים לתאר סיטואציה אחת שבה מתקיימת אינטראקציה אסטרטגית בין שני שחקנים או יותר. הסיטואציה יכולה להיות </w:t>
      </w:r>
      <w:r w:rsidR="007656F7">
        <w:rPr>
          <w:rFonts w:cs="David" w:hint="cs"/>
          <w:sz w:val="28"/>
          <w:szCs w:val="28"/>
          <w:rtl/>
        </w:rPr>
        <w:t>כזו שהתרחשה במציאות</w:t>
      </w:r>
      <w:r w:rsidRPr="009663EB">
        <w:rPr>
          <w:rFonts w:cs="David" w:hint="cs"/>
          <w:sz w:val="28"/>
          <w:szCs w:val="28"/>
          <w:rtl/>
        </w:rPr>
        <w:t xml:space="preserve"> או </w:t>
      </w:r>
      <w:r w:rsidR="007656F7">
        <w:rPr>
          <w:rFonts w:cs="David" w:hint="cs"/>
          <w:sz w:val="28"/>
          <w:szCs w:val="28"/>
          <w:rtl/>
        </w:rPr>
        <w:t>יצירת ה</w:t>
      </w:r>
      <w:r w:rsidRPr="009663EB">
        <w:rPr>
          <w:rFonts w:cs="David" w:hint="cs"/>
          <w:sz w:val="28"/>
          <w:szCs w:val="28"/>
          <w:rtl/>
        </w:rPr>
        <w:t>דמיו</w:t>
      </w:r>
      <w:r w:rsidR="007656F7">
        <w:rPr>
          <w:rFonts w:cs="David" w:hint="cs"/>
          <w:sz w:val="28"/>
          <w:szCs w:val="28"/>
          <w:rtl/>
        </w:rPr>
        <w:t>ן</w:t>
      </w:r>
      <w:r w:rsidRPr="009663EB">
        <w:rPr>
          <w:rFonts w:cs="David" w:hint="cs"/>
          <w:sz w:val="28"/>
          <w:szCs w:val="28"/>
          <w:rtl/>
        </w:rPr>
        <w:t xml:space="preserve">; פרי ניסיונכם האישי או ניסיונו של מישהו אחר; סיטואציה מהעבר או סיטואציה שאתם צופים שתתרחש בעתיד </w:t>
      </w:r>
      <w:r w:rsidR="001A243E">
        <w:rPr>
          <w:rFonts w:cs="David" w:hint="cs"/>
          <w:sz w:val="28"/>
          <w:szCs w:val="28"/>
          <w:rtl/>
        </w:rPr>
        <w:t>-</w:t>
      </w:r>
      <w:r w:rsidRPr="009663EB">
        <w:rPr>
          <w:rFonts w:cs="David" w:hint="cs"/>
          <w:sz w:val="28"/>
          <w:szCs w:val="28"/>
          <w:rtl/>
        </w:rPr>
        <w:t xml:space="preserve"> כול</w:t>
      </w:r>
      <w:r w:rsidR="007656F7">
        <w:rPr>
          <w:rFonts w:cs="David" w:hint="cs"/>
          <w:sz w:val="28"/>
          <w:szCs w:val="28"/>
          <w:rtl/>
        </w:rPr>
        <w:t xml:space="preserve"> אחד מאלה,</w:t>
      </w:r>
      <w:r w:rsidRPr="009663EB">
        <w:rPr>
          <w:rFonts w:cs="David" w:hint="cs"/>
          <w:sz w:val="28"/>
          <w:szCs w:val="28"/>
          <w:rtl/>
        </w:rPr>
        <w:t xml:space="preserve"> ובלבד, שהיא תתאר, כאמור, אינטראקציה אסטרטגית בין שני שחקנים או יותר. 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את הסיטואציה שתבחרו לתאר עליכם לנתח באופן ביקורתי, תוך שימוש במושגים שנלמדו במהלך הקורס. בנספח שלהלן תמצאו רשימה של עשרים מושגים שנלמדו בקורס. עשרה מתוכם נלמדו בשיעוריו של </w:t>
      </w:r>
      <w:r w:rsidR="007A62D1">
        <w:rPr>
          <w:rFonts w:cs="David" w:hint="cs"/>
          <w:sz w:val="28"/>
          <w:szCs w:val="28"/>
          <w:rtl/>
        </w:rPr>
        <w:t>פרופסור</w:t>
      </w:r>
      <w:r w:rsidRPr="009663EB">
        <w:rPr>
          <w:rFonts w:cs="David" w:hint="cs"/>
          <w:sz w:val="28"/>
          <w:szCs w:val="28"/>
          <w:rtl/>
        </w:rPr>
        <w:t xml:space="preserve"> אדמסקי ועוד עשרה נלמדו בשיעוריו של האלוף. במסמך שתגישו אתם נדרשים לעשות שימוש ב</w:t>
      </w:r>
      <w:r w:rsidRPr="009663EB">
        <w:rPr>
          <w:rFonts w:cs="David" w:hint="cs"/>
          <w:b/>
          <w:bCs/>
          <w:sz w:val="28"/>
          <w:szCs w:val="28"/>
          <w:rtl/>
        </w:rPr>
        <w:t>עשרה מושגים לפחות</w:t>
      </w:r>
      <w:r w:rsidRPr="009663EB">
        <w:rPr>
          <w:rFonts w:cs="David" w:hint="cs"/>
          <w:sz w:val="28"/>
          <w:szCs w:val="28"/>
          <w:rtl/>
        </w:rPr>
        <w:t xml:space="preserve"> מתוך הרשימה. מספר המושגים משיעוריו של </w:t>
      </w:r>
      <w:r w:rsidR="007A62D1">
        <w:rPr>
          <w:rFonts w:cs="David" w:hint="cs"/>
          <w:sz w:val="28"/>
          <w:szCs w:val="28"/>
          <w:rtl/>
        </w:rPr>
        <w:t>פרופסור</w:t>
      </w:r>
      <w:r w:rsidRPr="009663EB">
        <w:rPr>
          <w:rFonts w:cs="David" w:hint="cs"/>
          <w:sz w:val="28"/>
          <w:szCs w:val="28"/>
          <w:rtl/>
        </w:rPr>
        <w:t xml:space="preserve"> אדמסקי בהם תשתמשו </w:t>
      </w:r>
      <w:r w:rsidRPr="009663EB">
        <w:rPr>
          <w:rFonts w:cs="David" w:hint="cs"/>
          <w:b/>
          <w:bCs/>
          <w:sz w:val="28"/>
          <w:szCs w:val="28"/>
          <w:rtl/>
        </w:rPr>
        <w:t>לא יפחת משלושה</w:t>
      </w:r>
      <w:r w:rsidRPr="009663EB">
        <w:rPr>
          <w:rFonts w:cs="David" w:hint="cs"/>
          <w:sz w:val="28"/>
          <w:szCs w:val="28"/>
          <w:rtl/>
        </w:rPr>
        <w:t>. אותו כלל חל על המושגים משיעוריו של האלוף.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אורך המסמך שתגישו </w:t>
      </w:r>
      <w:r w:rsidRPr="009663EB">
        <w:rPr>
          <w:rFonts w:cs="David" w:hint="cs"/>
          <w:b/>
          <w:bCs/>
          <w:sz w:val="28"/>
          <w:szCs w:val="28"/>
          <w:rtl/>
        </w:rPr>
        <w:t>לא יפחת משלושה עמודים ולא יעלה על שבעה עמודים</w:t>
      </w:r>
      <w:r w:rsidRPr="009663EB">
        <w:rPr>
          <w:rFonts w:cs="David" w:hint="cs"/>
          <w:sz w:val="28"/>
          <w:szCs w:val="28"/>
          <w:rtl/>
        </w:rPr>
        <w:t xml:space="preserve">. אנא השתמשו בגופן </w:t>
      </w:r>
      <w:r w:rsidRPr="009663EB">
        <w:rPr>
          <w:rFonts w:cs="David"/>
          <w:sz w:val="28"/>
          <w:szCs w:val="28"/>
        </w:rPr>
        <w:t>David</w:t>
      </w:r>
      <w:r w:rsidRPr="009663EB">
        <w:rPr>
          <w:rFonts w:cs="David" w:hint="cs"/>
          <w:sz w:val="28"/>
          <w:szCs w:val="28"/>
          <w:rtl/>
        </w:rPr>
        <w:t>, גודל גופן 14, מרווח של שורה וחצי ושוליים לפי ברירת המחדל של ה-</w:t>
      </w:r>
      <w:r w:rsidRPr="009663EB">
        <w:rPr>
          <w:rFonts w:cs="David"/>
          <w:sz w:val="28"/>
          <w:szCs w:val="28"/>
        </w:rPr>
        <w:t>Word</w:t>
      </w:r>
      <w:r w:rsidRPr="009663EB">
        <w:rPr>
          <w:rFonts w:cs="David" w:hint="cs"/>
          <w:sz w:val="28"/>
          <w:szCs w:val="28"/>
          <w:rtl/>
        </w:rPr>
        <w:t xml:space="preserve">. </w:t>
      </w:r>
      <w:r w:rsidR="00E35F9B">
        <w:rPr>
          <w:rFonts w:cs="David" w:hint="cs"/>
          <w:sz w:val="28"/>
          <w:szCs w:val="28"/>
          <w:rtl/>
        </w:rPr>
        <w:t>את העבודה יבדוק פרופסור אדמסקי.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>המועד האחרון להגשת העבודה הוא</w:t>
      </w:r>
      <w:r w:rsidR="007A62D1">
        <w:rPr>
          <w:rFonts w:cs="David" w:hint="cs"/>
          <w:sz w:val="28"/>
          <w:szCs w:val="28"/>
          <w:rtl/>
        </w:rPr>
        <w:t>ֹ</w:t>
      </w:r>
      <w:r w:rsidR="001A243E">
        <w:rPr>
          <w:rFonts w:cs="David" w:hint="cs"/>
          <w:sz w:val="28"/>
          <w:szCs w:val="28"/>
          <w:rtl/>
        </w:rPr>
        <w:t xml:space="preserve"> 20.01.19</w:t>
      </w:r>
      <w:r w:rsidRPr="009663EB">
        <w:rPr>
          <w:rFonts w:cs="David" w:hint="cs"/>
          <w:sz w:val="28"/>
          <w:szCs w:val="28"/>
          <w:rtl/>
        </w:rPr>
        <w:t xml:space="preserve"> את העבודות יש לשלוח </w:t>
      </w:r>
      <w:r w:rsidR="007A62D1">
        <w:rPr>
          <w:rFonts w:cs="David" w:hint="cs"/>
          <w:sz w:val="28"/>
          <w:szCs w:val="28"/>
          <w:rtl/>
        </w:rPr>
        <w:t>למתן</w:t>
      </w:r>
      <w:r w:rsidR="001A243E">
        <w:rPr>
          <w:rFonts w:cs="David" w:hint="cs"/>
          <w:sz w:val="28"/>
          <w:szCs w:val="28"/>
          <w:rtl/>
        </w:rPr>
        <w:t>.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663EB">
        <w:rPr>
          <w:rFonts w:cs="David" w:hint="cs"/>
          <w:sz w:val="28"/>
          <w:szCs w:val="28"/>
          <w:rtl/>
        </w:rPr>
        <w:t xml:space="preserve">מאחל לכם הצלחה </w:t>
      </w:r>
      <w:r w:rsidR="007A62D1">
        <w:rPr>
          <w:rFonts w:cs="David" w:hint="cs"/>
          <w:sz w:val="28"/>
          <w:szCs w:val="28"/>
          <w:rtl/>
        </w:rPr>
        <w:t>ולמידה משמעותית</w:t>
      </w:r>
    </w:p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9663EB" w:rsidRPr="009663EB" w:rsidRDefault="009663EB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7A62D1" w:rsidP="001A243E">
      <w:pPr>
        <w:spacing w:after="0" w:line="36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יהודה יוחננוף,</w:t>
      </w:r>
      <w:r w:rsidR="00441965" w:rsidRPr="009663EB">
        <w:rPr>
          <w:rFonts w:cs="David" w:hint="cs"/>
          <w:sz w:val="28"/>
          <w:szCs w:val="28"/>
          <w:rtl/>
        </w:rPr>
        <w:t xml:space="preserve"> מדריך צוות מס' </w:t>
      </w:r>
      <w:r>
        <w:rPr>
          <w:rFonts w:cs="David" w:hint="cs"/>
          <w:sz w:val="28"/>
          <w:szCs w:val="28"/>
          <w:rtl/>
        </w:rPr>
        <w:t>3</w:t>
      </w:r>
    </w:p>
    <w:p w:rsidR="00441965" w:rsidRPr="009663EB" w:rsidRDefault="00441965" w:rsidP="001A243E">
      <w:pPr>
        <w:bidi w:val="0"/>
        <w:spacing w:after="0" w:line="360" w:lineRule="auto"/>
        <w:rPr>
          <w:rFonts w:cs="David"/>
          <w:sz w:val="28"/>
          <w:szCs w:val="28"/>
          <w:rtl/>
        </w:rPr>
      </w:pPr>
      <w:r w:rsidRPr="009663EB">
        <w:rPr>
          <w:rFonts w:cs="David"/>
          <w:sz w:val="28"/>
          <w:szCs w:val="28"/>
          <w:rtl/>
        </w:rPr>
        <w:br w:type="page"/>
      </w:r>
    </w:p>
    <w:p w:rsidR="00441965" w:rsidRPr="009663EB" w:rsidRDefault="001A243E" w:rsidP="001A243E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>נספח -</w:t>
      </w:r>
      <w:r w:rsidR="00441965" w:rsidRPr="009663EB">
        <w:rPr>
          <w:rFonts w:cs="David" w:hint="cs"/>
          <w:b/>
          <w:bCs/>
          <w:sz w:val="28"/>
          <w:szCs w:val="28"/>
          <w:u w:val="single"/>
          <w:rtl/>
        </w:rPr>
        <w:t xml:space="preserve"> רשימת המושגים </w:t>
      </w:r>
      <w:r w:rsidR="009663EB">
        <w:rPr>
          <w:rFonts w:cs="David" w:hint="cs"/>
          <w:b/>
          <w:bCs/>
          <w:sz w:val="28"/>
          <w:szCs w:val="28"/>
          <w:u w:val="single"/>
          <w:rtl/>
        </w:rPr>
        <w:t>לשימוש</w:t>
      </w:r>
    </w:p>
    <w:p w:rsidR="00441965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A54BBE" w:rsidRPr="009663EB" w:rsidRDefault="00A54BBE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737"/>
        <w:gridCol w:w="3738"/>
      </w:tblGrid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מס"ד</w:t>
            </w:r>
          </w:p>
        </w:tc>
        <w:tc>
          <w:tcPr>
            <w:tcW w:w="3737" w:type="dxa"/>
          </w:tcPr>
          <w:p w:rsidR="001A243E" w:rsidRDefault="001A243E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קורס התפתחות המחשבה האסטרטגית-הצבאית</w:t>
            </w:r>
          </w:p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(</w:t>
            </w:r>
            <w:r w:rsidR="007A62D1">
              <w:rPr>
                <w:rFonts w:cs="David" w:hint="cs"/>
                <w:b/>
                <w:bCs/>
                <w:sz w:val="28"/>
                <w:szCs w:val="28"/>
                <w:rtl/>
              </w:rPr>
              <w:t>פרופסור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אדמסקי)</w:t>
            </w:r>
          </w:p>
        </w:tc>
        <w:tc>
          <w:tcPr>
            <w:tcW w:w="3738" w:type="dxa"/>
          </w:tcPr>
          <w:p w:rsidR="001A243E" w:rsidRDefault="001A243E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קורס חשיבה אסטרטגית</w:t>
            </w:r>
          </w:p>
          <w:p w:rsidR="00441965" w:rsidRPr="009663EB" w:rsidRDefault="00A54BBE" w:rsidP="001A243E">
            <w:pPr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(</w:t>
            </w:r>
            <w:r w:rsidR="00441965"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אלוף</w:t>
            </w:r>
            <w:r w:rsidR="007A62D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אמיר ברעם</w:t>
            </w:r>
            <w:r w:rsidR="00441965"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הרתעה על שתי צורותיה </w:t>
            </w:r>
            <w:r w:rsidR="001A243E">
              <w:rPr>
                <w:rFonts w:cs="David" w:hint="cs"/>
                <w:sz w:val="28"/>
                <w:szCs w:val="28"/>
                <w:rtl/>
              </w:rPr>
              <w:t>-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באמצעות שלילת הישגים 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או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באמצעות ענישה (</w:t>
            </w:r>
            <w:r w:rsidRPr="009663EB">
              <w:rPr>
                <w:rFonts w:cs="David"/>
                <w:sz w:val="28"/>
                <w:szCs w:val="28"/>
              </w:rPr>
              <w:t>Deterrence and its two forms: by Denial or by Punishment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חשיבה מערכתית, חשיבה ביקורתית 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חדשנות צבאית על שתי צורותיה </w:t>
            </w:r>
            <w:r w:rsidR="001A243E">
              <w:rPr>
                <w:rFonts w:cs="David" w:hint="cs"/>
                <w:sz w:val="28"/>
                <w:szCs w:val="28"/>
                <w:rtl/>
              </w:rPr>
              <w:t>-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ציפייה 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או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הסתגלות (</w:t>
            </w:r>
            <w:r w:rsidRPr="009663EB">
              <w:rPr>
                <w:rFonts w:cs="David"/>
                <w:sz w:val="28"/>
                <w:szCs w:val="28"/>
              </w:rPr>
              <w:t>Two types of Military Innovation – Anticipation or Adaptation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מחשבה מייחלת (</w:t>
            </w:r>
            <w:r>
              <w:rPr>
                <w:rFonts w:cs="David"/>
                <w:sz w:val="28"/>
                <w:szCs w:val="28"/>
              </w:rPr>
              <w:t>wishful thinking)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יכולות מכה ראשונה ושנייה (</w:t>
            </w:r>
            <w:r w:rsidRPr="009663EB">
              <w:rPr>
                <w:rFonts w:cs="David"/>
                <w:sz w:val="28"/>
                <w:szCs w:val="28"/>
              </w:rPr>
              <w:t>First and Second Strike Capability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גישה אידיאליסטית </w:t>
            </w:r>
            <w:r w:rsidRPr="009663EB">
              <w:rPr>
                <w:rFonts w:cs="David" w:hint="cs"/>
                <w:b/>
                <w:bCs/>
                <w:sz w:val="28"/>
                <w:szCs w:val="28"/>
                <w:rtl/>
              </w:rPr>
              <w:t>או</w:t>
            </w:r>
            <w:r w:rsidRPr="009663EB">
              <w:rPr>
                <w:rFonts w:cs="David" w:hint="cs"/>
                <w:sz w:val="28"/>
                <w:szCs w:val="28"/>
                <w:rtl/>
              </w:rPr>
              <w:t xml:space="preserve"> גישה ריאליסטית (לחשיבה אסטרטגית)</w:t>
            </w:r>
          </w:p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  <w:r w:rsidRPr="009663EB">
              <w:rPr>
                <w:rFonts w:cs="David" w:hint="cs"/>
                <w:sz w:val="28"/>
                <w:szCs w:val="28"/>
              </w:rPr>
              <w:t>Idealistic Approach</w:t>
            </w:r>
            <w:r w:rsidRPr="009663EB">
              <w:rPr>
                <w:rFonts w:cs="David"/>
                <w:sz w:val="28"/>
                <w:szCs w:val="28"/>
              </w:rPr>
              <w:t xml:space="preserve"> </w:t>
            </w:r>
            <w:r w:rsidRPr="009663EB">
              <w:rPr>
                <w:rFonts w:cs="David"/>
                <w:b/>
                <w:bCs/>
                <w:sz w:val="28"/>
                <w:szCs w:val="28"/>
              </w:rPr>
              <w:t>or</w:t>
            </w:r>
            <w:r w:rsidRPr="009663EB">
              <w:rPr>
                <w:rFonts w:cs="David"/>
                <w:sz w:val="28"/>
                <w:szCs w:val="28"/>
              </w:rPr>
              <w:t xml:space="preserve"> </w:t>
            </w:r>
            <w:r w:rsidRPr="009663EB">
              <w:rPr>
                <w:rFonts w:cs="David" w:hint="cs"/>
                <w:sz w:val="28"/>
                <w:szCs w:val="28"/>
              </w:rPr>
              <w:t>Realistic Approach</w:t>
            </w:r>
            <w:r w:rsidRPr="009663EB">
              <w:rPr>
                <w:rFonts w:cs="David"/>
                <w:sz w:val="28"/>
                <w:szCs w:val="28"/>
              </w:rPr>
              <w:t xml:space="preserve"> (to </w:t>
            </w:r>
            <w:r w:rsidRPr="009663EB">
              <w:rPr>
                <w:rFonts w:cs="David" w:hint="cs"/>
                <w:sz w:val="28"/>
                <w:szCs w:val="28"/>
              </w:rPr>
              <w:t>Strategic Thinking</w:t>
            </w:r>
            <w:r w:rsidRPr="009663EB">
              <w:rPr>
                <w:rFonts w:cs="David"/>
                <w:sz w:val="28"/>
                <w:szCs w:val="28"/>
              </w:rPr>
              <w:t>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תרבות אסטרטגית (</w:t>
            </w:r>
            <w:r w:rsidRPr="009663EB">
              <w:rPr>
                <w:rFonts w:cs="David"/>
                <w:sz w:val="28"/>
                <w:szCs w:val="28"/>
              </w:rPr>
              <w:t>Strategic Culture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אמצוע מתחים (</w:t>
            </w:r>
            <w:r w:rsidRPr="009663EB">
              <w:rPr>
                <w:rFonts w:cs="David" w:hint="cs"/>
                <w:sz w:val="28"/>
                <w:szCs w:val="28"/>
              </w:rPr>
              <w:t>Mediation of Tensions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הערכה נטו (</w:t>
            </w:r>
            <w:r w:rsidRPr="009663EB">
              <w:rPr>
                <w:rFonts w:cs="David"/>
                <w:sz w:val="28"/>
                <w:szCs w:val="28"/>
              </w:rPr>
              <w:t>Net Assessment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רמה מערכתית (</w:t>
            </w:r>
            <w:r w:rsidRPr="009663EB">
              <w:rPr>
                <w:rFonts w:cs="David"/>
                <w:sz w:val="28"/>
                <w:szCs w:val="28"/>
              </w:rPr>
              <w:t>Operational Level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  <w:r w:rsidR="00DA05D2">
              <w:rPr>
                <w:rFonts w:cs="David" w:hint="cs"/>
                <w:sz w:val="28"/>
                <w:szCs w:val="28"/>
                <w:rtl/>
              </w:rPr>
              <w:t xml:space="preserve"> ומערכה (</w:t>
            </w:r>
            <w:r w:rsidR="00DA05D2">
              <w:rPr>
                <w:rFonts w:cs="David"/>
                <w:sz w:val="28"/>
                <w:szCs w:val="28"/>
              </w:rPr>
              <w:t xml:space="preserve">operation </w:t>
            </w:r>
            <w:r w:rsidR="00DA05D2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מעגל המודיעין (</w:t>
            </w:r>
            <w:r w:rsidRPr="009663EB">
              <w:rPr>
                <w:rFonts w:cs="David"/>
                <w:sz w:val="28"/>
                <w:szCs w:val="28"/>
              </w:rPr>
              <w:t>Intelligence Cycle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חזון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הפתעת מודיעין (</w:t>
            </w:r>
            <w:r w:rsidRPr="009663EB">
              <w:rPr>
                <w:rFonts w:cs="David"/>
                <w:sz w:val="28"/>
                <w:szCs w:val="28"/>
              </w:rPr>
              <w:t>Intelligence Surprise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עיצוב , תכנון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טעויות מחקר (</w:t>
            </w:r>
            <w:r w:rsidRPr="009663EB">
              <w:rPr>
                <w:rFonts w:cs="David"/>
                <w:sz w:val="28"/>
                <w:szCs w:val="28"/>
              </w:rPr>
              <w:t>Analytical Biases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גבולות המערכת (</w:t>
            </w:r>
            <w:r w:rsidRPr="009663EB">
              <w:rPr>
                <w:rFonts w:cs="David" w:hint="cs"/>
                <w:sz w:val="28"/>
                <w:szCs w:val="28"/>
              </w:rPr>
              <w:t>the Boundaries of the System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  <w:r w:rsidR="00DA05D2">
              <w:rPr>
                <w:rFonts w:cs="David" w:hint="cs"/>
                <w:sz w:val="28"/>
                <w:szCs w:val="28"/>
                <w:rtl/>
              </w:rPr>
              <w:t xml:space="preserve"> או גבולות המערכה.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 xml:space="preserve">החדשנות הצבאית של האחר - </w:t>
            </w:r>
            <w:r w:rsidRPr="009663EB">
              <w:rPr>
                <w:rFonts w:cs="David"/>
                <w:sz w:val="28"/>
                <w:szCs w:val="28"/>
              </w:rPr>
              <w:t>ORMA (The RMA of the Other Side)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הנגדה , הקשייה</w:t>
            </w:r>
          </w:p>
        </w:tc>
      </w:tr>
      <w:tr w:rsidR="00441965" w:rsidRPr="009663EB" w:rsidTr="00441965">
        <w:tc>
          <w:tcPr>
            <w:tcW w:w="821" w:type="dxa"/>
          </w:tcPr>
          <w:p w:rsidR="00441965" w:rsidRPr="009663EB" w:rsidRDefault="00441965" w:rsidP="001A243E">
            <w:pPr>
              <w:pStyle w:val="a8"/>
              <w:numPr>
                <w:ilvl w:val="0"/>
                <w:numId w:val="2"/>
              </w:num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737" w:type="dxa"/>
          </w:tcPr>
          <w:p w:rsidR="00441965" w:rsidRPr="009663EB" w:rsidRDefault="00441965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</w:rPr>
            </w:pPr>
            <w:r w:rsidRPr="009663EB">
              <w:rPr>
                <w:rFonts w:cs="David" w:hint="cs"/>
                <w:sz w:val="28"/>
                <w:szCs w:val="28"/>
                <w:rtl/>
              </w:rPr>
              <w:t>מדיניות ביטחון לאומי (</w:t>
            </w:r>
            <w:r w:rsidRPr="009663EB">
              <w:rPr>
                <w:rFonts w:cs="David"/>
                <w:sz w:val="28"/>
                <w:szCs w:val="28"/>
              </w:rPr>
              <w:t>National Security Policy</w:t>
            </w:r>
            <w:r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  <w:tc>
          <w:tcPr>
            <w:tcW w:w="3738" w:type="dxa"/>
          </w:tcPr>
          <w:p w:rsidR="00441965" w:rsidRPr="009663EB" w:rsidRDefault="00DA05D2" w:rsidP="001A243E">
            <w:pPr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פער הרלבנטיות / </w:t>
            </w:r>
            <w:r w:rsidR="00441965" w:rsidRPr="009663EB">
              <w:rPr>
                <w:rFonts w:cs="David" w:hint="cs"/>
                <w:sz w:val="28"/>
                <w:szCs w:val="28"/>
                <w:rtl/>
              </w:rPr>
              <w:t xml:space="preserve">היסט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אסטרטגי </w:t>
            </w:r>
            <w:r w:rsidR="00441965" w:rsidRPr="009663EB">
              <w:rPr>
                <w:rFonts w:cs="David" w:hint="cs"/>
                <w:sz w:val="28"/>
                <w:szCs w:val="28"/>
                <w:rtl/>
              </w:rPr>
              <w:t>(</w:t>
            </w:r>
            <w:r w:rsidR="00441965" w:rsidRPr="009663EB">
              <w:rPr>
                <w:rFonts w:cs="David" w:hint="cs"/>
                <w:sz w:val="28"/>
                <w:szCs w:val="28"/>
              </w:rPr>
              <w:t>Offset</w:t>
            </w:r>
            <w:r w:rsidR="00441965" w:rsidRPr="009663EB">
              <w:rPr>
                <w:rFonts w:cs="David" w:hint="cs"/>
                <w:sz w:val="28"/>
                <w:szCs w:val="28"/>
                <w:rtl/>
              </w:rPr>
              <w:t>)</w:t>
            </w:r>
          </w:p>
        </w:tc>
      </w:tr>
    </w:tbl>
    <w:p w:rsidR="00441965" w:rsidRPr="009663EB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sectPr w:rsidR="00441965" w:rsidRPr="009663EB" w:rsidSect="001A243E">
      <w:headerReference w:type="default" r:id="rId7"/>
      <w:footerReference w:type="default" r:id="rId8"/>
      <w:pgSz w:w="11906" w:h="16838"/>
      <w:pgMar w:top="215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9C" w:rsidRDefault="002A6F9C" w:rsidP="00441965">
      <w:pPr>
        <w:spacing w:after="0" w:line="240" w:lineRule="auto"/>
      </w:pPr>
      <w:r>
        <w:separator/>
      </w:r>
    </w:p>
  </w:endnote>
  <w:endnote w:type="continuationSeparator" w:id="0">
    <w:p w:rsidR="002A6F9C" w:rsidRDefault="002A6F9C" w:rsidP="0044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13504593"/>
      <w:docPartObj>
        <w:docPartGallery w:val="Page Numbers (Bottom of Page)"/>
        <w:docPartUnique/>
      </w:docPartObj>
    </w:sdtPr>
    <w:sdtEndPr/>
    <w:sdtContent>
      <w:p w:rsidR="00441965" w:rsidRDefault="00441965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A34E1" w:rsidRPr="00DA34E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441965" w:rsidRDefault="00441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9C" w:rsidRDefault="002A6F9C" w:rsidP="00441965">
      <w:pPr>
        <w:spacing w:after="0" w:line="240" w:lineRule="auto"/>
      </w:pPr>
      <w:r>
        <w:separator/>
      </w:r>
    </w:p>
  </w:footnote>
  <w:footnote w:type="continuationSeparator" w:id="0">
    <w:p w:rsidR="002A6F9C" w:rsidRDefault="002A6F9C" w:rsidP="0044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3E" w:rsidRDefault="001A243E" w:rsidP="001A243E">
    <w:pPr>
      <w:pStyle w:val="a4"/>
      <w:ind w:left="-483"/>
      <w:rPr>
        <w:rFonts w:cs="David"/>
        <w:rtl/>
      </w:rPr>
    </w:pPr>
    <w:r w:rsidRPr="001A243E">
      <w:rPr>
        <w:rFonts w:cs="David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6D29EB5E" wp14:editId="7C37646A">
          <wp:simplePos x="0" y="0"/>
          <wp:positionH relativeFrom="column">
            <wp:posOffset>4933315</wp:posOffset>
          </wp:positionH>
          <wp:positionV relativeFrom="paragraph">
            <wp:posOffset>7620</wp:posOffset>
          </wp:positionV>
          <wp:extent cx="523875" cy="662305"/>
          <wp:effectExtent l="0" t="0" r="9525" b="4445"/>
          <wp:wrapThrough wrapText="bothSides">
            <wp:wrapPolygon edited="0">
              <wp:start x="0" y="0"/>
              <wp:lineTo x="0" y="20502"/>
              <wp:lineTo x="3927" y="21124"/>
              <wp:lineTo x="8640" y="21124"/>
              <wp:lineTo x="12567" y="21124"/>
              <wp:lineTo x="18851" y="21124"/>
              <wp:lineTo x="21207" y="20502"/>
              <wp:lineTo x="21207" y="0"/>
              <wp:lineTo x="0" y="0"/>
            </wp:wrapPolygon>
          </wp:wrapThrough>
          <wp:docPr id="12" name="תמונה 12" descr="C:\Users\u45351\Downloads\מבל צבע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5351\Downloads\מבל צבע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David" w:hint="cs"/>
        <w:rtl/>
      </w:rPr>
      <w:t xml:space="preserve">                                                                    </w:t>
    </w:r>
    <w:r w:rsidRPr="001A243E">
      <w:rPr>
        <w:rFonts w:cs="David" w:hint="cs"/>
        <w:rtl/>
      </w:rPr>
      <w:t>בלמ"ס</w:t>
    </w:r>
    <w:r>
      <w:rPr>
        <w:rFonts w:cs="David" w:hint="cs"/>
        <w:rtl/>
      </w:rPr>
      <w:t xml:space="preserve">       </w:t>
    </w:r>
  </w:p>
  <w:p w:rsidR="001A243E" w:rsidRPr="001A243E" w:rsidRDefault="001A243E" w:rsidP="001A243E">
    <w:pPr>
      <w:pStyle w:val="a4"/>
      <w:ind w:left="-483"/>
      <w:rPr>
        <w:rFonts w:cs="David"/>
        <w:rtl/>
      </w:rPr>
    </w:pPr>
    <w:r>
      <w:rPr>
        <w:rFonts w:cs="David" w:hint="cs"/>
        <w:rtl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31"/>
    <w:multiLevelType w:val="hybridMultilevel"/>
    <w:tmpl w:val="1CCAE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E319C"/>
    <w:multiLevelType w:val="hybridMultilevel"/>
    <w:tmpl w:val="EAC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65"/>
    <w:rsid w:val="00001416"/>
    <w:rsid w:val="000762DC"/>
    <w:rsid w:val="000A6D9D"/>
    <w:rsid w:val="000B274A"/>
    <w:rsid w:val="000E79C9"/>
    <w:rsid w:val="001065E2"/>
    <w:rsid w:val="00112824"/>
    <w:rsid w:val="001729A4"/>
    <w:rsid w:val="00185786"/>
    <w:rsid w:val="001A243E"/>
    <w:rsid w:val="001D6D99"/>
    <w:rsid w:val="002A6F9C"/>
    <w:rsid w:val="002B3976"/>
    <w:rsid w:val="002C6FBD"/>
    <w:rsid w:val="002F0E7C"/>
    <w:rsid w:val="002F2858"/>
    <w:rsid w:val="002F7919"/>
    <w:rsid w:val="003175DC"/>
    <w:rsid w:val="003E17CA"/>
    <w:rsid w:val="00400459"/>
    <w:rsid w:val="00407F56"/>
    <w:rsid w:val="00441965"/>
    <w:rsid w:val="00491131"/>
    <w:rsid w:val="004933AA"/>
    <w:rsid w:val="00511EA0"/>
    <w:rsid w:val="005637DF"/>
    <w:rsid w:val="00586FF5"/>
    <w:rsid w:val="00587FE9"/>
    <w:rsid w:val="00595D64"/>
    <w:rsid w:val="005C45CF"/>
    <w:rsid w:val="00604D6F"/>
    <w:rsid w:val="006144BA"/>
    <w:rsid w:val="00623C1E"/>
    <w:rsid w:val="0065454E"/>
    <w:rsid w:val="00663B5D"/>
    <w:rsid w:val="00724C72"/>
    <w:rsid w:val="0074623E"/>
    <w:rsid w:val="007656F7"/>
    <w:rsid w:val="00783F3A"/>
    <w:rsid w:val="007A62D1"/>
    <w:rsid w:val="007B1450"/>
    <w:rsid w:val="007F2B9D"/>
    <w:rsid w:val="00806B57"/>
    <w:rsid w:val="008120AF"/>
    <w:rsid w:val="008310D3"/>
    <w:rsid w:val="0086287A"/>
    <w:rsid w:val="00872D8A"/>
    <w:rsid w:val="00884B81"/>
    <w:rsid w:val="0089411E"/>
    <w:rsid w:val="008C3A1A"/>
    <w:rsid w:val="008C5DDC"/>
    <w:rsid w:val="008E7EA6"/>
    <w:rsid w:val="00921FB8"/>
    <w:rsid w:val="00936813"/>
    <w:rsid w:val="009663EB"/>
    <w:rsid w:val="00982E4D"/>
    <w:rsid w:val="00994199"/>
    <w:rsid w:val="00994BD3"/>
    <w:rsid w:val="009B2D59"/>
    <w:rsid w:val="009B3C55"/>
    <w:rsid w:val="009F09DC"/>
    <w:rsid w:val="00A05A71"/>
    <w:rsid w:val="00A20D57"/>
    <w:rsid w:val="00A54BBE"/>
    <w:rsid w:val="00A709B0"/>
    <w:rsid w:val="00A8513C"/>
    <w:rsid w:val="00AD0114"/>
    <w:rsid w:val="00B6400E"/>
    <w:rsid w:val="00B66D7D"/>
    <w:rsid w:val="00BA2939"/>
    <w:rsid w:val="00BB4B9A"/>
    <w:rsid w:val="00C05399"/>
    <w:rsid w:val="00C45035"/>
    <w:rsid w:val="00C507B1"/>
    <w:rsid w:val="00C85862"/>
    <w:rsid w:val="00CA1C64"/>
    <w:rsid w:val="00CE0A2B"/>
    <w:rsid w:val="00CE31A5"/>
    <w:rsid w:val="00CF2CAF"/>
    <w:rsid w:val="00D34B74"/>
    <w:rsid w:val="00D80A22"/>
    <w:rsid w:val="00DA05D2"/>
    <w:rsid w:val="00DA1277"/>
    <w:rsid w:val="00DA34E1"/>
    <w:rsid w:val="00DC6FFA"/>
    <w:rsid w:val="00E35F9B"/>
    <w:rsid w:val="00E6693F"/>
    <w:rsid w:val="00E701B6"/>
    <w:rsid w:val="00E964B6"/>
    <w:rsid w:val="00ED143B"/>
    <w:rsid w:val="00F2680D"/>
    <w:rsid w:val="00F724DB"/>
    <w:rsid w:val="00F775B0"/>
    <w:rsid w:val="00F77695"/>
    <w:rsid w:val="00FA491E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C7026-2FD2-462C-B5D7-812530CB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1965"/>
  </w:style>
  <w:style w:type="paragraph" w:styleId="a6">
    <w:name w:val="footer"/>
    <w:basedOn w:val="a"/>
    <w:link w:val="a7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1965"/>
  </w:style>
  <w:style w:type="paragraph" w:styleId="a8">
    <w:name w:val="List Paragraph"/>
    <w:basedOn w:val="a"/>
    <w:uiPriority w:val="34"/>
    <w:qFormat/>
    <w:rsid w:val="0044196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4419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4B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54BB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u23920</cp:lastModifiedBy>
  <cp:revision>2</cp:revision>
  <cp:lastPrinted>2018-11-04T05:38:00Z</cp:lastPrinted>
  <dcterms:created xsi:type="dcterms:W3CDTF">2018-11-04T05:39:00Z</dcterms:created>
  <dcterms:modified xsi:type="dcterms:W3CDTF">2018-11-04T05:39:00Z</dcterms:modified>
</cp:coreProperties>
</file>