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96B" w:rsidRPr="00F81A31" w:rsidRDefault="005521AA" w:rsidP="00803E3C">
      <w:pPr>
        <w:spacing w:after="0" w:line="360" w:lineRule="auto"/>
        <w:jc w:val="both"/>
        <w:rPr>
          <w:rFonts w:ascii="David" w:hAnsi="David" w:cs="David"/>
          <w:bCs/>
          <w:sz w:val="40"/>
          <w:szCs w:val="40"/>
        </w:rPr>
      </w:pPr>
      <w:r>
        <w:rPr>
          <w:rFonts w:ascii="David" w:hAnsi="David" w:cs="David"/>
          <w:noProof/>
        </w:rPr>
        <mc:AlternateContent>
          <mc:Choice Requires="wpg">
            <w:drawing>
              <wp:anchor distT="0" distB="0" distL="114300" distR="114300" simplePos="0" relativeHeight="251654144" behindDoc="0" locked="0" layoutInCell="1" allowOverlap="1">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B6DAB"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F81A31">
        <w:rPr>
          <w:rFonts w:ascii="David" w:hAnsi="David" w:cs="David"/>
          <w:bCs/>
          <w:sz w:val="40"/>
          <w:szCs w:val="40"/>
        </w:rPr>
        <w:t xml:space="preserve"> </w:t>
      </w:r>
    </w:p>
    <w:p w:rsidR="00227DB1"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המכללה לביטחון</w:t>
      </w:r>
      <w:r w:rsidR="0060486A" w:rsidRPr="00F81A31">
        <w:rPr>
          <w:rFonts w:ascii="David" w:hAnsi="David" w:cs="David"/>
          <w:bCs/>
          <w:sz w:val="40"/>
          <w:szCs w:val="40"/>
          <w:rtl/>
        </w:rPr>
        <w:t xml:space="preserve"> </w:t>
      </w:r>
      <w:r w:rsidRPr="00F81A31">
        <w:rPr>
          <w:rFonts w:ascii="David" w:hAnsi="David" w:cs="David"/>
          <w:bCs/>
          <w:sz w:val="40"/>
          <w:szCs w:val="40"/>
          <w:rtl/>
        </w:rPr>
        <w:t xml:space="preserve">לאומי </w:t>
      </w:r>
    </w:p>
    <w:p w:rsidR="009523CF"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 xml:space="preserve">מחזור </w:t>
      </w:r>
      <w:r w:rsidR="00227DB1" w:rsidRPr="00F81A31">
        <w:rPr>
          <w:rFonts w:ascii="David" w:hAnsi="David" w:cs="David"/>
          <w:bCs/>
          <w:sz w:val="40"/>
          <w:szCs w:val="40"/>
          <w:rtl/>
        </w:rPr>
        <w:t xml:space="preserve"> </w:t>
      </w:r>
      <w:r w:rsidRPr="00F81A31">
        <w:rPr>
          <w:rFonts w:ascii="David" w:hAnsi="David" w:cs="David"/>
          <w:bCs/>
          <w:sz w:val="40"/>
          <w:szCs w:val="40"/>
          <w:rtl/>
        </w:rPr>
        <w:t>מ"</w:t>
      </w:r>
      <w:r w:rsidR="00866EFB">
        <w:rPr>
          <w:rFonts w:ascii="David" w:hAnsi="David" w:cs="David" w:hint="cs"/>
          <w:bCs/>
          <w:sz w:val="40"/>
          <w:szCs w:val="40"/>
          <w:rtl/>
        </w:rPr>
        <w:t>ז</w:t>
      </w:r>
      <w:r w:rsidRPr="00F81A31">
        <w:rPr>
          <w:rFonts w:ascii="David" w:hAnsi="David" w:cs="David"/>
          <w:bCs/>
          <w:sz w:val="40"/>
          <w:szCs w:val="40"/>
          <w:rtl/>
        </w:rPr>
        <w:t>,</w:t>
      </w:r>
      <w:r w:rsidR="0060486A" w:rsidRPr="00F81A31">
        <w:rPr>
          <w:rFonts w:ascii="David" w:hAnsi="David" w:cs="David"/>
          <w:bCs/>
          <w:sz w:val="40"/>
          <w:szCs w:val="40"/>
          <w:rtl/>
        </w:rPr>
        <w:t xml:space="preserve"> </w:t>
      </w:r>
      <w:r w:rsidR="006513CA" w:rsidRPr="00F81A31">
        <w:rPr>
          <w:rFonts w:ascii="David" w:hAnsi="David" w:cs="David"/>
          <w:bCs/>
          <w:sz w:val="40"/>
          <w:szCs w:val="40"/>
          <w:rtl/>
        </w:rPr>
        <w:t xml:space="preserve"> </w:t>
      </w:r>
      <w:r w:rsidRPr="00F81A31">
        <w:rPr>
          <w:rFonts w:ascii="David" w:hAnsi="David" w:cs="David"/>
          <w:bCs/>
          <w:sz w:val="40"/>
          <w:szCs w:val="40"/>
          <w:rtl/>
        </w:rPr>
        <w:t xml:space="preserve"> 201</w:t>
      </w:r>
      <w:r w:rsidR="003E6BAA" w:rsidRPr="00F81A31">
        <w:rPr>
          <w:rFonts w:ascii="David" w:hAnsi="David" w:cs="David"/>
          <w:bCs/>
          <w:sz w:val="40"/>
          <w:szCs w:val="40"/>
          <w:rtl/>
        </w:rPr>
        <w:t>9</w:t>
      </w:r>
      <w:r w:rsidRPr="00F81A31">
        <w:rPr>
          <w:rFonts w:ascii="David" w:hAnsi="David" w:cs="David"/>
          <w:bCs/>
          <w:sz w:val="40"/>
          <w:szCs w:val="40"/>
          <w:rtl/>
        </w:rPr>
        <w:t>-20</w:t>
      </w:r>
      <w:r w:rsidR="00866EFB">
        <w:rPr>
          <w:rFonts w:ascii="David" w:hAnsi="David" w:cs="David" w:hint="cs"/>
          <w:bCs/>
          <w:sz w:val="40"/>
          <w:szCs w:val="40"/>
          <w:rtl/>
        </w:rPr>
        <w:t>20</w:t>
      </w:r>
    </w:p>
    <w:p w:rsidR="00803E3C" w:rsidRPr="00F81A31" w:rsidRDefault="00803E3C" w:rsidP="00227DB1">
      <w:pPr>
        <w:spacing w:after="0" w:line="360" w:lineRule="auto"/>
        <w:rPr>
          <w:rFonts w:ascii="David" w:hAnsi="David" w:cs="David"/>
          <w:bCs/>
          <w:sz w:val="40"/>
          <w:szCs w:val="40"/>
          <w:rtl/>
        </w:rPr>
      </w:pPr>
    </w:p>
    <w:p w:rsidR="00803E3C" w:rsidRPr="00F81A31" w:rsidRDefault="00803E3C" w:rsidP="00803E3C">
      <w:pPr>
        <w:spacing w:after="0" w:line="360" w:lineRule="auto"/>
        <w:jc w:val="both"/>
        <w:rPr>
          <w:rFonts w:ascii="David" w:hAnsi="David" w:cs="David"/>
          <w:bCs/>
          <w:sz w:val="40"/>
          <w:szCs w:val="40"/>
          <w:rtl/>
        </w:rPr>
      </w:pPr>
    </w:p>
    <w:p w:rsidR="009523CF" w:rsidRPr="00F81A31" w:rsidRDefault="009523CF" w:rsidP="009523CF">
      <w:pPr>
        <w:spacing w:after="0" w:line="360" w:lineRule="auto"/>
        <w:ind w:right="45"/>
        <w:jc w:val="both"/>
        <w:rPr>
          <w:rFonts w:ascii="David" w:hAnsi="David" w:cs="David"/>
          <w:b/>
          <w:color w:val="000000"/>
          <w:sz w:val="44"/>
          <w:szCs w:val="44"/>
        </w:rPr>
      </w:pPr>
    </w:p>
    <w:p w:rsidR="00803E3C" w:rsidRPr="00F81A31" w:rsidRDefault="00803E3C" w:rsidP="00803E3C">
      <w:pPr>
        <w:spacing w:after="0" w:line="360" w:lineRule="auto"/>
        <w:jc w:val="center"/>
        <w:rPr>
          <w:rFonts w:ascii="David" w:hAnsi="David" w:cs="David"/>
          <w:bCs/>
          <w:color w:val="000000"/>
          <w:sz w:val="48"/>
          <w:szCs w:val="48"/>
        </w:rPr>
      </w:pPr>
    </w:p>
    <w:p w:rsidR="00866EFB" w:rsidRPr="00866EFB" w:rsidRDefault="00866EFB" w:rsidP="00866EFB">
      <w:pPr>
        <w:bidi/>
        <w:spacing w:line="360" w:lineRule="auto"/>
        <w:jc w:val="center"/>
        <w:rPr>
          <w:rFonts w:ascii="David" w:eastAsia="Calibri" w:hAnsi="David" w:cs="David"/>
          <w:b/>
          <w:bCs/>
          <w:sz w:val="52"/>
          <w:szCs w:val="52"/>
          <w:rtl/>
        </w:rPr>
      </w:pPr>
      <w:bookmarkStart w:id="0" w:name="_Hlk26452919"/>
      <w:r w:rsidRPr="00866EFB">
        <w:rPr>
          <w:rFonts w:ascii="David" w:eastAsia="Calibri" w:hAnsi="David" w:cs="David"/>
          <w:b/>
          <w:bCs/>
          <w:sz w:val="52"/>
          <w:szCs w:val="52"/>
          <w:rtl/>
        </w:rPr>
        <w:t xml:space="preserve">גישות ואסכולות במדע המדינה – </w:t>
      </w:r>
      <w:r w:rsidRPr="00866EFB">
        <w:rPr>
          <w:rFonts w:ascii="David" w:eastAsia="Calibri" w:hAnsi="David" w:cs="David" w:hint="cs"/>
          <w:b/>
          <w:bCs/>
          <w:sz w:val="52"/>
          <w:szCs w:val="52"/>
          <w:rtl/>
        </w:rPr>
        <w:t>מטלת סיכום</w:t>
      </w:r>
    </w:p>
    <w:bookmarkEnd w:id="0"/>
    <w:p w:rsidR="00BF6683" w:rsidRPr="00F13BB3" w:rsidRDefault="00BF6683" w:rsidP="00803E3C">
      <w:pPr>
        <w:spacing w:after="0" w:line="360" w:lineRule="auto"/>
        <w:jc w:val="right"/>
        <w:rPr>
          <w:rFonts w:cs="David"/>
          <w:bCs/>
          <w:color w:val="000000"/>
          <w:sz w:val="48"/>
          <w:szCs w:val="48"/>
        </w:rPr>
      </w:pPr>
    </w:p>
    <w:p w:rsidR="002B5FCD" w:rsidRPr="00F81A31" w:rsidRDefault="002B5FCD" w:rsidP="00803E3C">
      <w:pPr>
        <w:spacing w:after="0" w:line="360" w:lineRule="auto"/>
        <w:jc w:val="right"/>
        <w:rPr>
          <w:rFonts w:ascii="David" w:hAnsi="David" w:cs="David"/>
          <w:bCs/>
          <w:color w:val="000000"/>
          <w:sz w:val="48"/>
          <w:szCs w:val="48"/>
        </w:rPr>
      </w:pPr>
    </w:p>
    <w:p w:rsidR="00803E3C" w:rsidRDefault="00803E3C" w:rsidP="00227DB1">
      <w:pPr>
        <w:spacing w:after="0" w:line="360" w:lineRule="auto"/>
        <w:jc w:val="right"/>
        <w:rPr>
          <w:rFonts w:ascii="David" w:hAnsi="David" w:cs="David"/>
          <w:bCs/>
          <w:color w:val="000000"/>
          <w:sz w:val="44"/>
          <w:szCs w:val="44"/>
          <w:rtl/>
        </w:rPr>
      </w:pPr>
      <w:r w:rsidRPr="00F81A31">
        <w:rPr>
          <w:rFonts w:ascii="David" w:hAnsi="David" w:cs="David"/>
          <w:bCs/>
          <w:color w:val="000000"/>
          <w:sz w:val="44"/>
          <w:szCs w:val="44"/>
          <w:rtl/>
        </w:rPr>
        <w:t xml:space="preserve">מגיש: </w:t>
      </w:r>
      <w:r w:rsidR="00866EFB">
        <w:rPr>
          <w:rFonts w:ascii="David" w:hAnsi="David" w:cs="David" w:hint="cs"/>
          <w:bCs/>
          <w:color w:val="000000"/>
          <w:sz w:val="44"/>
          <w:szCs w:val="44"/>
          <w:rtl/>
        </w:rPr>
        <w:t>שחר בץ</w:t>
      </w:r>
    </w:p>
    <w:p w:rsidR="00F811E6" w:rsidRPr="00F81A31" w:rsidRDefault="00F811E6" w:rsidP="00227DB1">
      <w:pPr>
        <w:spacing w:after="0" w:line="360" w:lineRule="auto"/>
        <w:jc w:val="right"/>
        <w:rPr>
          <w:rFonts w:ascii="David" w:hAnsi="David" w:cs="David"/>
          <w:bCs/>
          <w:color w:val="000000"/>
          <w:sz w:val="44"/>
          <w:szCs w:val="44"/>
          <w:rtl/>
        </w:rPr>
      </w:pPr>
      <w:r>
        <w:rPr>
          <w:rFonts w:ascii="David" w:hAnsi="David" w:cs="David" w:hint="cs"/>
          <w:bCs/>
          <w:color w:val="000000"/>
          <w:sz w:val="44"/>
          <w:szCs w:val="44"/>
          <w:rtl/>
        </w:rPr>
        <w:t>מ</w:t>
      </w:r>
      <w:r w:rsidR="006B005C">
        <w:rPr>
          <w:rFonts w:ascii="David" w:hAnsi="David" w:cs="David" w:hint="cs"/>
          <w:bCs/>
          <w:color w:val="000000"/>
          <w:sz w:val="44"/>
          <w:szCs w:val="44"/>
          <w:rtl/>
        </w:rPr>
        <w:t>רצה: דר' דורון נבות</w:t>
      </w:r>
    </w:p>
    <w:p w:rsidR="00C77C0C" w:rsidRPr="005521AA" w:rsidRDefault="00C77C0C" w:rsidP="0005122F">
      <w:pPr>
        <w:spacing w:after="0" w:line="360" w:lineRule="auto"/>
        <w:jc w:val="right"/>
        <w:rPr>
          <w:rFonts w:cs="David"/>
          <w:bCs/>
          <w:color w:val="000000"/>
          <w:sz w:val="44"/>
          <w:szCs w:val="44"/>
          <w:rtl/>
        </w:rPr>
      </w:pPr>
    </w:p>
    <w:p w:rsidR="00C77C0C" w:rsidRDefault="00C77C0C" w:rsidP="0005122F">
      <w:pPr>
        <w:spacing w:after="0" w:line="360" w:lineRule="auto"/>
        <w:jc w:val="right"/>
        <w:rPr>
          <w:rFonts w:ascii="David" w:hAnsi="David" w:cs="David"/>
          <w:b/>
          <w:color w:val="000000"/>
          <w:sz w:val="36"/>
          <w:szCs w:val="36"/>
        </w:rPr>
      </w:pPr>
    </w:p>
    <w:p w:rsidR="009910F5" w:rsidRDefault="009910F5" w:rsidP="0005122F">
      <w:pPr>
        <w:spacing w:after="0" w:line="360" w:lineRule="auto"/>
        <w:jc w:val="right"/>
        <w:rPr>
          <w:rFonts w:ascii="David" w:hAnsi="David" w:cs="David"/>
          <w:b/>
          <w:color w:val="000000"/>
          <w:sz w:val="36"/>
          <w:szCs w:val="36"/>
        </w:rPr>
      </w:pPr>
    </w:p>
    <w:p w:rsidR="009910F5" w:rsidRDefault="009910F5" w:rsidP="0005122F">
      <w:pPr>
        <w:spacing w:after="0" w:line="360" w:lineRule="auto"/>
        <w:jc w:val="right"/>
        <w:rPr>
          <w:rFonts w:ascii="David" w:hAnsi="David" w:cs="David"/>
          <w:b/>
          <w:color w:val="000000"/>
          <w:sz w:val="36"/>
          <w:szCs w:val="36"/>
        </w:rPr>
      </w:pPr>
    </w:p>
    <w:p w:rsidR="009910F5" w:rsidRDefault="009910F5" w:rsidP="0005122F">
      <w:pPr>
        <w:spacing w:after="0" w:line="360" w:lineRule="auto"/>
        <w:jc w:val="right"/>
        <w:rPr>
          <w:rFonts w:ascii="David" w:hAnsi="David" w:cs="David"/>
          <w:b/>
          <w:color w:val="000000"/>
          <w:sz w:val="36"/>
          <w:szCs w:val="36"/>
        </w:rPr>
      </w:pPr>
    </w:p>
    <w:p w:rsidR="009910F5" w:rsidRPr="00F13BB3" w:rsidRDefault="009910F5" w:rsidP="00F13BB3">
      <w:pPr>
        <w:spacing w:after="0" w:line="360" w:lineRule="auto"/>
        <w:jc w:val="center"/>
        <w:rPr>
          <w:rFonts w:cs="David"/>
          <w:b/>
          <w:color w:val="000000"/>
          <w:sz w:val="36"/>
          <w:szCs w:val="36"/>
        </w:rPr>
      </w:pPr>
    </w:p>
    <w:p w:rsidR="006F4353" w:rsidRPr="00866EFB" w:rsidRDefault="005521AA" w:rsidP="00866EFB">
      <w:pPr>
        <w:spacing w:after="0" w:line="360" w:lineRule="auto"/>
        <w:rPr>
          <w:rFonts w:ascii="David" w:hAnsi="David" w:cs="David"/>
          <w:b/>
          <w:bCs/>
          <w:sz w:val="48"/>
          <w:szCs w:val="48"/>
          <w:rtl/>
        </w:rPr>
      </w:pPr>
      <w:r w:rsidRPr="00866EFB">
        <w:rPr>
          <w:rFonts w:ascii="David" w:hAnsi="David" w:cs="David"/>
          <w:b/>
          <w:bCs/>
          <w:noProof/>
          <w:sz w:val="40"/>
          <w:szCs w:val="40"/>
        </w:rPr>
        <mc:AlternateContent>
          <mc:Choice Requires="wpg">
            <w:drawing>
              <wp:anchor distT="0" distB="0" distL="114300" distR="114300" simplePos="0" relativeHeight="251664384" behindDoc="0" locked="0" layoutInCell="1" allowOverlap="1">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A9A234"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866EFB" w:rsidRPr="00866EFB">
        <w:rPr>
          <w:rFonts w:ascii="David" w:hAnsi="David" w:cs="David" w:hint="cs"/>
          <w:b/>
          <w:bCs/>
          <w:noProof/>
          <w:sz w:val="40"/>
          <w:szCs w:val="40"/>
          <w:rtl/>
        </w:rPr>
        <w:t>דצמבר 201</w:t>
      </w:r>
      <w:r w:rsidR="00F811E6">
        <w:rPr>
          <w:rFonts w:ascii="David" w:hAnsi="David" w:cs="David" w:hint="cs"/>
          <w:b/>
          <w:bCs/>
          <w:noProof/>
          <w:sz w:val="40"/>
          <w:szCs w:val="40"/>
          <w:rtl/>
        </w:rPr>
        <w:t>9</w:t>
      </w:r>
    </w:p>
    <w:p w:rsidR="00F360E9" w:rsidRDefault="00F360E9" w:rsidP="00A66599">
      <w:pPr>
        <w:bidi/>
        <w:spacing w:line="360" w:lineRule="auto"/>
        <w:jc w:val="both"/>
        <w:rPr>
          <w:rFonts w:ascii="David" w:hAnsi="David" w:cs="David"/>
          <w:b/>
          <w:bCs/>
          <w:sz w:val="28"/>
          <w:szCs w:val="28"/>
          <w:rtl/>
        </w:rPr>
      </w:pPr>
    </w:p>
    <w:p w:rsidR="00866EFB" w:rsidRDefault="00866EFB" w:rsidP="00866EFB">
      <w:pPr>
        <w:bidi/>
        <w:spacing w:line="360" w:lineRule="auto"/>
        <w:jc w:val="both"/>
        <w:rPr>
          <w:rFonts w:ascii="David" w:hAnsi="David" w:cs="David"/>
          <w:b/>
          <w:bCs/>
          <w:sz w:val="28"/>
          <w:szCs w:val="28"/>
          <w:rtl/>
        </w:rPr>
      </w:pPr>
    </w:p>
    <w:p w:rsidR="00866EFB" w:rsidRDefault="00866EFB" w:rsidP="00866EFB">
      <w:pPr>
        <w:bidi/>
        <w:spacing w:line="360" w:lineRule="auto"/>
        <w:jc w:val="both"/>
        <w:rPr>
          <w:rFonts w:ascii="David" w:hAnsi="David" w:cs="David"/>
          <w:b/>
          <w:bCs/>
          <w:sz w:val="28"/>
          <w:szCs w:val="28"/>
          <w:rtl/>
        </w:rPr>
      </w:pPr>
    </w:p>
    <w:p w:rsidR="00866EFB" w:rsidRDefault="00866EFB" w:rsidP="00866EFB">
      <w:pPr>
        <w:bidi/>
        <w:spacing w:line="360" w:lineRule="auto"/>
        <w:jc w:val="both"/>
        <w:rPr>
          <w:rFonts w:ascii="David" w:hAnsi="David" w:cs="David"/>
          <w:b/>
          <w:bCs/>
          <w:sz w:val="28"/>
          <w:szCs w:val="28"/>
          <w:rtl/>
        </w:rPr>
      </w:pPr>
    </w:p>
    <w:p w:rsidR="00866EFB" w:rsidRPr="00866EFB" w:rsidRDefault="00866EFB" w:rsidP="00866EFB">
      <w:pPr>
        <w:bidi/>
        <w:spacing w:line="360" w:lineRule="auto"/>
        <w:jc w:val="both"/>
        <w:rPr>
          <w:rFonts w:ascii="David" w:eastAsia="Calibri" w:hAnsi="David" w:cs="David"/>
          <w:b/>
          <w:bCs/>
          <w:sz w:val="24"/>
          <w:szCs w:val="24"/>
          <w:rtl/>
        </w:rPr>
      </w:pPr>
      <w:r w:rsidRPr="00866EFB">
        <w:rPr>
          <w:rFonts w:ascii="David" w:eastAsia="Calibri" w:hAnsi="David" w:cs="David" w:hint="cs"/>
          <w:b/>
          <w:bCs/>
          <w:sz w:val="24"/>
          <w:szCs w:val="24"/>
          <w:rtl/>
        </w:rPr>
        <w:t>רקע כללי:</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 xml:space="preserve">את עבודת הסיום של הקורס אבצע </w:t>
      </w:r>
      <w:r w:rsidR="004019EA">
        <w:rPr>
          <w:rFonts w:ascii="David" w:eastAsia="Calibri" w:hAnsi="David" w:cs="David" w:hint="cs"/>
          <w:sz w:val="24"/>
          <w:szCs w:val="24"/>
          <w:rtl/>
        </w:rPr>
        <w:t>ב</w:t>
      </w:r>
      <w:r w:rsidRPr="00866EFB">
        <w:rPr>
          <w:rFonts w:ascii="David" w:eastAsia="Calibri" w:hAnsi="David" w:cs="David" w:hint="cs"/>
          <w:sz w:val="24"/>
          <w:szCs w:val="24"/>
          <w:rtl/>
        </w:rPr>
        <w:t>נושא של תופעת הנזירות בארץ ישראל. פרק הזמן שיוצג הינו  המעבר בין התקופה הביזנטית למוסלמית הדומה. קרי, המחצית השנייה של המאה השביעית ועד למאה התשיעית לספירה. בכ</w:t>
      </w:r>
      <w:r w:rsidR="004019EA">
        <w:rPr>
          <w:rFonts w:ascii="David" w:eastAsia="Calibri" w:hAnsi="David" w:cs="David" w:hint="cs"/>
          <w:sz w:val="24"/>
          <w:szCs w:val="24"/>
          <w:rtl/>
        </w:rPr>
        <w:t>ד</w:t>
      </w:r>
      <w:r w:rsidRPr="00866EFB">
        <w:rPr>
          <w:rFonts w:ascii="David" w:eastAsia="Calibri" w:hAnsi="David" w:cs="David" w:hint="cs"/>
          <w:sz w:val="24"/>
          <w:szCs w:val="24"/>
          <w:rtl/>
        </w:rPr>
        <w:t xml:space="preserve">י ל"הכין את הקרקע" לדיון זה אתן רקע היסטורי קצר על התקופה הרלוונטית. לאחר מכן אציג את נושא הגלובליזציה וכן הגישות השונות הנהוגות במחקר ואילו </w:t>
      </w:r>
      <w:r w:rsidR="004019EA">
        <w:rPr>
          <w:rFonts w:ascii="David" w:eastAsia="Calibri" w:hAnsi="David" w:cs="David" w:hint="cs"/>
          <w:sz w:val="24"/>
          <w:szCs w:val="24"/>
          <w:rtl/>
        </w:rPr>
        <w:t>ה</w:t>
      </w:r>
      <w:r w:rsidRPr="00866EFB">
        <w:rPr>
          <w:rFonts w:ascii="David" w:eastAsia="Calibri" w:hAnsi="David" w:cs="David" w:hint="cs"/>
          <w:sz w:val="24"/>
          <w:szCs w:val="24"/>
          <w:rtl/>
        </w:rPr>
        <w:t>מוצגות בספר המרכזי אותו אציג. המאות המדוברות הינן לאחר הספירה אלא אם יצוין אחרת.</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יש לציין כי זהו ניסיון מעט שונה לקשור את גישת האסכולות והגלובליזציה לתהליכים שהתרחשו לפני מאות שנים, אבל ניסיון מעניין.</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רקע היסטורי</w:t>
      </w:r>
    </w:p>
    <w:p w:rsidR="00866EFB" w:rsidRPr="00866EFB" w:rsidRDefault="00866EFB" w:rsidP="00900452">
      <w:pPr>
        <w:bidi/>
        <w:spacing w:line="360" w:lineRule="auto"/>
        <w:jc w:val="both"/>
        <w:rPr>
          <w:rFonts w:ascii="David" w:eastAsia="Calibri" w:hAnsi="David" w:cs="David"/>
          <w:sz w:val="24"/>
          <w:szCs w:val="24"/>
          <w:rtl/>
        </w:rPr>
      </w:pPr>
      <w:r w:rsidRPr="00866EFB">
        <w:rPr>
          <w:rFonts w:ascii="David" w:eastAsia="Calibri" w:hAnsi="David" w:cs="David"/>
          <w:sz w:val="24"/>
          <w:szCs w:val="24"/>
          <w:rtl/>
        </w:rPr>
        <w:t>ראשית המאה השביעית הייתה תקופה של שינוי מוסדי מכונן בתוך הלבנט בדגש על סוריה, ארץ ישראל ועבר הירדן. ארץ ישראל ידעה שתי תהפוכות פוליטיות צבאיות מרכזיות בתקופה זו. האזור חווה חוסר יציבות פוליטית וצבאית בתקופת שלטונו של פוקאס (602-610) ובתקופת הרקליוס בשנת 610. זה הרקע לסדרת מערכות צבאיות של הסאסנים שנערכו בין 612 ל- 619 והביאו לאובדן השליטה הביזנטית בלבנט. ההצלחות המאוחרות יותר של הצבאות הערבים בשנות ה30 של המאה השביעית הביאה לכיבוש מחודש של ארץ ישראל וה</w:t>
      </w:r>
      <w:r w:rsidR="00900452">
        <w:rPr>
          <w:rFonts w:ascii="David" w:eastAsia="Calibri" w:hAnsi="David" w:cs="David"/>
          <w:sz w:val="24"/>
          <w:szCs w:val="24"/>
          <w:rtl/>
        </w:rPr>
        <w:t>לבנט</w:t>
      </w:r>
      <w:r w:rsidRPr="00866EFB">
        <w:rPr>
          <w:rFonts w:ascii="David" w:eastAsia="Calibri" w:hAnsi="David" w:cs="David"/>
          <w:sz w:val="24"/>
          <w:szCs w:val="24"/>
          <w:rtl/>
        </w:rPr>
        <w:t xml:space="preserve"> מידי הביזנטים. הכובשים הערבים הביסו את צבאות הביזנטיים</w:t>
      </w:r>
      <w:r w:rsidRPr="00866EFB">
        <w:rPr>
          <w:rFonts w:ascii="David" w:eastAsia="Calibri" w:hAnsi="David" w:cs="David" w:hint="cs"/>
          <w:sz w:val="24"/>
          <w:szCs w:val="24"/>
          <w:rtl/>
        </w:rPr>
        <w:t xml:space="preserve">. </w:t>
      </w:r>
      <w:r w:rsidRPr="00866EFB">
        <w:rPr>
          <w:rFonts w:ascii="David" w:eastAsia="Calibri" w:hAnsi="David" w:cs="David"/>
          <w:sz w:val="24"/>
          <w:szCs w:val="24"/>
          <w:rtl/>
        </w:rPr>
        <w:t>המפלה בקרב ירמוך, בשנת 636, הביאה לכיבושה המלא של ארץ ישראל. תהליך שהגיע לכדי סיום עם כיבוש קיסריה על ידי עומאר אבן אל-ח'טאב בשנת  638 (</w:t>
      </w:r>
      <w:r w:rsidRPr="00866EFB">
        <w:rPr>
          <w:rFonts w:ascii="David" w:eastAsia="Calibri" w:hAnsi="David" w:cs="David"/>
          <w:sz w:val="24"/>
          <w:szCs w:val="24"/>
        </w:rPr>
        <w:t>Reynolds 2013: 105 – 207; schick 1995: 9 -83</w:t>
      </w:r>
      <w:r w:rsidRPr="00866EFB">
        <w:rPr>
          <w:rFonts w:ascii="David" w:eastAsia="Calibri" w:hAnsi="David" w:cs="David"/>
          <w:sz w:val="24"/>
          <w:szCs w:val="24"/>
          <w:rtl/>
        </w:rPr>
        <w:t>). כיבוש זה סיים את השלטון הביזנטי בארץ ישראל ואתו הסתיימה ההגמוניה הנוצרית בארץ ישראל, עד לשלטון הצלבנים, במא</w:t>
      </w:r>
      <w:r w:rsidRPr="00866EFB">
        <w:rPr>
          <w:rFonts w:ascii="David" w:eastAsia="Calibri" w:hAnsi="David" w:cs="David" w:hint="cs"/>
          <w:sz w:val="24"/>
          <w:szCs w:val="24"/>
          <w:rtl/>
        </w:rPr>
        <w:t>ה האחת עשרה</w:t>
      </w:r>
      <w:r w:rsidRPr="00866EFB">
        <w:rPr>
          <w:rFonts w:ascii="David" w:eastAsia="Calibri" w:hAnsi="David" w:cs="David"/>
          <w:sz w:val="24"/>
          <w:szCs w:val="24"/>
          <w:rtl/>
        </w:rPr>
        <w:t xml:space="preserve">. החלוקה המנהלית של </w:t>
      </w:r>
      <w:r w:rsidR="00900452">
        <w:rPr>
          <w:rFonts w:ascii="David" w:eastAsia="Calibri" w:hAnsi="David" w:cs="David" w:hint="cs"/>
          <w:sz w:val="24"/>
          <w:szCs w:val="24"/>
          <w:rtl/>
        </w:rPr>
        <w:t>ארץ ישראל</w:t>
      </w:r>
      <w:r w:rsidRPr="00866EFB">
        <w:rPr>
          <w:rFonts w:ascii="David" w:eastAsia="Calibri" w:hAnsi="David" w:cs="David"/>
          <w:sz w:val="24"/>
          <w:szCs w:val="24"/>
          <w:rtl/>
        </w:rPr>
        <w:t xml:space="preserve"> המשיכה את זו של התקופה הביזנטית</w:t>
      </w:r>
      <w:r w:rsidR="00900452">
        <w:rPr>
          <w:rFonts w:ascii="David" w:eastAsia="Calibri" w:hAnsi="David" w:cs="David" w:hint="cs"/>
          <w:sz w:val="24"/>
          <w:szCs w:val="24"/>
          <w:rtl/>
        </w:rPr>
        <w:t>.</w:t>
      </w:r>
      <w:r w:rsidRPr="00866EFB">
        <w:rPr>
          <w:rFonts w:ascii="David" w:eastAsia="Calibri" w:hAnsi="David" w:cs="David"/>
          <w:sz w:val="24"/>
          <w:szCs w:val="24"/>
          <w:rtl/>
        </w:rPr>
        <w:t xml:space="preserve"> אזור החוף יהודה והשומרון הי</w:t>
      </w:r>
      <w:r w:rsidR="00900452">
        <w:rPr>
          <w:rFonts w:ascii="David" w:eastAsia="Calibri" w:hAnsi="David" w:cs="David" w:hint="cs"/>
          <w:sz w:val="24"/>
          <w:szCs w:val="24"/>
          <w:rtl/>
        </w:rPr>
        <w:t>ו</w:t>
      </w:r>
      <w:r w:rsidRPr="00866EFB">
        <w:rPr>
          <w:rFonts w:ascii="David" w:eastAsia="Calibri" w:hAnsi="David" w:cs="David"/>
          <w:sz w:val="24"/>
          <w:szCs w:val="24"/>
          <w:rtl/>
        </w:rPr>
        <w:t xml:space="preserve"> תחת גֻ'נד פלסטין שבירתה תחילה הייתה קיסריה, ולאחר</w:t>
      </w:r>
      <w:r w:rsidR="00900452">
        <w:rPr>
          <w:rFonts w:ascii="David" w:eastAsia="Calibri" w:hAnsi="David" w:cs="David" w:hint="cs"/>
          <w:sz w:val="24"/>
          <w:szCs w:val="24"/>
          <w:rtl/>
        </w:rPr>
        <w:t xml:space="preserve"> מכן </w:t>
      </w:r>
      <w:r w:rsidRPr="00866EFB">
        <w:rPr>
          <w:rFonts w:ascii="David" w:eastAsia="Calibri" w:hAnsi="David" w:cs="David"/>
          <w:sz w:val="24"/>
          <w:szCs w:val="24"/>
          <w:rtl/>
        </w:rPr>
        <w:t xml:space="preserve">משנת 715 </w:t>
      </w:r>
      <w:r w:rsidR="00900452">
        <w:rPr>
          <w:rFonts w:ascii="David" w:eastAsia="Calibri" w:hAnsi="David" w:cs="David" w:hint="cs"/>
          <w:sz w:val="24"/>
          <w:szCs w:val="24"/>
          <w:rtl/>
        </w:rPr>
        <w:t xml:space="preserve">שימשה </w:t>
      </w:r>
      <w:r w:rsidRPr="00866EFB">
        <w:rPr>
          <w:rFonts w:ascii="David" w:eastAsia="Calibri" w:hAnsi="David" w:cs="David"/>
          <w:sz w:val="24"/>
          <w:szCs w:val="24"/>
          <w:rtl/>
        </w:rPr>
        <w:t xml:space="preserve">רמלה </w:t>
      </w:r>
      <w:bookmarkStart w:id="1" w:name="_GoBack"/>
      <w:bookmarkEnd w:id="1"/>
      <w:r w:rsidRPr="00866EFB">
        <w:rPr>
          <w:rFonts w:ascii="David" w:eastAsia="Calibri" w:hAnsi="David" w:cs="David"/>
          <w:sz w:val="24"/>
          <w:szCs w:val="24"/>
          <w:rtl/>
        </w:rPr>
        <w:t>(</w:t>
      </w:r>
      <w:r w:rsidRPr="00866EFB">
        <w:rPr>
          <w:rFonts w:ascii="David" w:eastAsia="Calibri" w:hAnsi="David" w:cs="David"/>
          <w:sz w:val="24"/>
          <w:szCs w:val="24"/>
        </w:rPr>
        <w:t>Magness 2011:98</w:t>
      </w:r>
      <w:r w:rsidRPr="00866EFB">
        <w:rPr>
          <w:rFonts w:ascii="David" w:eastAsia="Calibri" w:hAnsi="David" w:cs="David"/>
          <w:sz w:val="24"/>
          <w:szCs w:val="24"/>
          <w:rtl/>
        </w:rPr>
        <w:t>; ברס 1982: 316-323).</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sz w:val="24"/>
          <w:szCs w:val="24"/>
          <w:rtl/>
        </w:rPr>
        <w:t xml:space="preserve">לגבי מהות הכיבוש הערבי ישנן שתי אסכולות מרכזיות: האסכולה הראשונה המסורתית, הסבורה שהכיבוש הפרסי ואחריו, ההשתלטות המוסלמית, היו מהירים ונבעו מהיחלשותן של המעצמות (גיל, 1983: 22-17 ,50-27). האסכולה השנייה, כפי שאציג בהמשך, רואה זאת כתהליך איטי  שנמשך שנים רבות. תהליך זה הגיע לשיאו במאה השמינית. כך או אחרת, לכיבוש הערבי הייתה השפעה מכרעת על עיצובה של ארץ ישראל.  </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לכיבוש המוסלמי היו</w:t>
      </w:r>
      <w:r w:rsidRPr="00866EFB">
        <w:rPr>
          <w:rFonts w:ascii="David" w:eastAsia="Calibri" w:hAnsi="David" w:cs="David"/>
          <w:sz w:val="24"/>
          <w:szCs w:val="24"/>
          <w:rtl/>
        </w:rPr>
        <w:t xml:space="preserve"> ההשפעות ארוכות טווח על אוכלוסיית ארץ ישראל ועבר הירדן. </w:t>
      </w:r>
      <w:r w:rsidRPr="00866EFB">
        <w:rPr>
          <w:rFonts w:ascii="David" w:eastAsia="Calibri" w:hAnsi="David" w:cs="David" w:hint="cs"/>
          <w:sz w:val="24"/>
          <w:szCs w:val="24"/>
          <w:rtl/>
        </w:rPr>
        <w:t xml:space="preserve">רוברט </w:t>
      </w:r>
      <w:r w:rsidRPr="00866EFB">
        <w:rPr>
          <w:rFonts w:ascii="David" w:eastAsia="Calibri" w:hAnsi="David" w:cs="David"/>
          <w:sz w:val="24"/>
          <w:szCs w:val="24"/>
          <w:rtl/>
        </w:rPr>
        <w:t xml:space="preserve">שיק מציין בספרו כי על סמך העדות הארכיאולוגית לא ניכרים סימני הרס או כיבוש אלים ברחבי ארץ ישראל. לא זו בלבד שאין ממצא התומך בהרס יש כאמור המשכיות ובנייה, שיק מציין את הכנסיות בריחב בעבר הירדן </w:t>
      </w:r>
      <w:r w:rsidRPr="00866EFB">
        <w:rPr>
          <w:rFonts w:ascii="David" w:eastAsia="Calibri" w:hAnsi="David" w:cs="David" w:hint="cs"/>
          <w:sz w:val="24"/>
          <w:szCs w:val="24"/>
          <w:rtl/>
        </w:rPr>
        <w:t>ככאלו</w:t>
      </w:r>
      <w:r w:rsidRPr="00866EFB">
        <w:rPr>
          <w:rFonts w:ascii="David" w:eastAsia="Calibri" w:hAnsi="David" w:cs="David"/>
          <w:sz w:val="24"/>
          <w:szCs w:val="24"/>
          <w:rtl/>
        </w:rPr>
        <w:t xml:space="preserve"> שהוקמו במהלך הכיבוש (</w:t>
      </w:r>
      <w:bookmarkStart w:id="2" w:name="_Hlk26610955"/>
      <w:r w:rsidRPr="00866EFB">
        <w:rPr>
          <w:rFonts w:ascii="David" w:eastAsia="Calibri" w:hAnsi="David" w:cs="David"/>
          <w:sz w:val="24"/>
          <w:szCs w:val="24"/>
        </w:rPr>
        <w:t>Schick 1995</w:t>
      </w:r>
      <w:bookmarkEnd w:id="2"/>
      <w:r w:rsidRPr="00866EFB">
        <w:rPr>
          <w:rFonts w:ascii="David" w:eastAsia="Calibri" w:hAnsi="David" w:cs="David"/>
          <w:sz w:val="24"/>
          <w:szCs w:val="24"/>
        </w:rPr>
        <w:t>:78-80</w:t>
      </w:r>
      <w:r w:rsidRPr="00866EFB">
        <w:rPr>
          <w:rFonts w:ascii="David" w:eastAsia="Calibri" w:hAnsi="David" w:cs="David"/>
          <w:sz w:val="24"/>
          <w:szCs w:val="24"/>
          <w:rtl/>
        </w:rPr>
        <w:t xml:space="preserve">). חדירת האסלם </w:t>
      </w:r>
      <w:r w:rsidR="00AE36B0">
        <w:rPr>
          <w:rFonts w:ascii="David" w:eastAsia="Calibri" w:hAnsi="David" w:cs="David" w:hint="cs"/>
          <w:sz w:val="24"/>
          <w:szCs w:val="24"/>
          <w:rtl/>
        </w:rPr>
        <w:t>התקיימה</w:t>
      </w:r>
      <w:r w:rsidRPr="00866EFB">
        <w:rPr>
          <w:rFonts w:ascii="David" w:eastAsia="Calibri" w:hAnsi="David" w:cs="David"/>
          <w:sz w:val="24"/>
          <w:szCs w:val="24"/>
          <w:rtl/>
        </w:rPr>
        <w:t xml:space="preserve"> בד בבד עם המשך הפולחן הנוצרי ביישובים הגדולים. כפי הנראה רק במחצית השנייה של המאה השמינית ובמהלך המאה התשיעית החלו בבניית המסגדים השונים. </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sz w:val="24"/>
          <w:szCs w:val="24"/>
          <w:rtl/>
        </w:rPr>
        <w:t xml:space="preserve">עם עליית בית עבאס לשלטון, בשנת 750 לערך, ירדה ארץ ישראל ממעמדה והפכה לאזור שולי בממלכת בית עבאס, שמרכזה היה באזור עיראק (לעיון במחקרי התקופה ראה </w:t>
      </w:r>
      <w:r w:rsidRPr="00866EFB">
        <w:rPr>
          <w:rFonts w:ascii="David" w:eastAsia="Calibri" w:hAnsi="David" w:cs="David" w:hint="cs"/>
          <w:sz w:val="24"/>
          <w:szCs w:val="24"/>
          <w:rtl/>
        </w:rPr>
        <w:t>(</w:t>
      </w:r>
      <w:r w:rsidRPr="00866EFB">
        <w:rPr>
          <w:rFonts w:ascii="David" w:eastAsia="Calibri" w:hAnsi="David" w:cs="David"/>
          <w:sz w:val="24"/>
          <w:szCs w:val="24"/>
        </w:rPr>
        <w:t>Reynolds 2013;Schick 1995: 90-94</w:t>
      </w:r>
      <w:r w:rsidRPr="00866EFB">
        <w:rPr>
          <w:rFonts w:ascii="David" w:eastAsia="Calibri" w:hAnsi="David" w:cs="David" w:hint="cs"/>
          <w:sz w:val="24"/>
          <w:szCs w:val="24"/>
          <w:rtl/>
        </w:rPr>
        <w:t xml:space="preserve">). </w:t>
      </w:r>
      <w:r w:rsidRPr="00866EFB">
        <w:rPr>
          <w:rFonts w:ascii="David" w:eastAsia="Calibri" w:hAnsi="David" w:cs="David"/>
          <w:sz w:val="24"/>
          <w:szCs w:val="24"/>
          <w:rtl/>
        </w:rPr>
        <w:lastRenderedPageBreak/>
        <w:t>ירידה זו במעמדה של ארץ ישראל באה לידי ביטוי בנטישה של יישובים אשר היו מאוכלסים בתקופה הביזנטית עד למאה תשיעית (;</w:t>
      </w:r>
      <w:r w:rsidRPr="00866EFB">
        <w:rPr>
          <w:rFonts w:ascii="David" w:eastAsia="Calibri" w:hAnsi="David" w:cs="David"/>
          <w:sz w:val="24"/>
          <w:szCs w:val="24"/>
        </w:rPr>
        <w:t>Reynolds 2013: 212-315</w:t>
      </w:r>
      <w:r w:rsidRPr="00866EFB">
        <w:rPr>
          <w:rFonts w:ascii="David" w:eastAsia="Calibri" w:hAnsi="David" w:cs="David"/>
          <w:sz w:val="24"/>
          <w:szCs w:val="24"/>
          <w:rtl/>
        </w:rPr>
        <w:t xml:space="preserve">). </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תופעת הנזירות</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הנזירות בארץ ישראל החלה במדבר יהודה ובמהלך המאה החמישית התחילה להכות שורש באזורים הכפריים של ארץ ישראל. במדבר יהודה ידועים שלושה גלי נזירות מרכזיים: חריטון מייסד הנזירות במאה הרביעית. אבטימיוס , בשלב השני, שעיצב את הנזירות הארצית במאה החמישית. השלב השלישי שייך לסבא ומתוארך למן המאה השישית ועד למאה השמינית (הירשפלד 1987).</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הנזירות באזור הכפרי הייתה מעט שונה ממנזרי מדבר יהודה, אך הושפעה ממעמד</w:t>
      </w:r>
      <w:r w:rsidRPr="00866EFB">
        <w:rPr>
          <w:rFonts w:ascii="David" w:eastAsia="Calibri" w:hAnsi="David" w:cs="David" w:hint="eastAsia"/>
          <w:sz w:val="24"/>
          <w:szCs w:val="24"/>
          <w:rtl/>
        </w:rPr>
        <w:t>ם</w:t>
      </w:r>
      <w:r w:rsidRPr="00866EFB">
        <w:rPr>
          <w:rFonts w:ascii="David" w:eastAsia="Calibri" w:hAnsi="David" w:cs="David" w:hint="cs"/>
          <w:sz w:val="24"/>
          <w:szCs w:val="24"/>
          <w:rtl/>
        </w:rPr>
        <w:t>. המנזרים באזורים הכפריים של ארץ ישראל היו מנזרים הקשורים לקהילות הכפרים שסביבם. מנזרים אילו היו מחוברים לקהילות ונתנו שרותי דת שונים. חשוב לציין כי החל מהמאה החמישית לספירה השלטונות עודדו הקמת מנזרים בעיקר באזורי הספר.</w:t>
      </w:r>
    </w:p>
    <w:p w:rsidR="00866EFB" w:rsidRPr="00866EFB" w:rsidRDefault="00866EFB" w:rsidP="00866EFB">
      <w:pPr>
        <w:bidi/>
        <w:spacing w:line="360" w:lineRule="auto"/>
        <w:jc w:val="both"/>
        <w:rPr>
          <w:rFonts w:ascii="David" w:eastAsia="Calibri" w:hAnsi="David" w:cs="David"/>
          <w:b/>
          <w:bCs/>
          <w:sz w:val="24"/>
          <w:szCs w:val="24"/>
          <w:rtl/>
        </w:rPr>
      </w:pPr>
    </w:p>
    <w:p w:rsidR="00866EFB" w:rsidRPr="00866EFB" w:rsidRDefault="00866EFB" w:rsidP="00866EFB">
      <w:pPr>
        <w:bidi/>
        <w:spacing w:line="360" w:lineRule="auto"/>
        <w:jc w:val="both"/>
        <w:rPr>
          <w:rFonts w:ascii="David" w:eastAsia="Calibri" w:hAnsi="David" w:cs="David"/>
          <w:b/>
          <w:bCs/>
          <w:sz w:val="24"/>
          <w:szCs w:val="24"/>
          <w:rtl/>
        </w:rPr>
      </w:pPr>
      <w:r w:rsidRPr="00866EFB">
        <w:rPr>
          <w:rFonts w:ascii="David" w:eastAsia="Calibri" w:hAnsi="David" w:cs="David" w:hint="cs"/>
          <w:b/>
          <w:bCs/>
          <w:sz w:val="24"/>
          <w:szCs w:val="24"/>
          <w:rtl/>
        </w:rPr>
        <w:t>דיון בנושא "הגלובליזציה":</w:t>
      </w:r>
    </w:p>
    <w:p w:rsidR="00866EFB" w:rsidRPr="00866EFB" w:rsidRDefault="00AE36B0" w:rsidP="00866EFB">
      <w:pPr>
        <w:bidi/>
        <w:spacing w:line="360" w:lineRule="auto"/>
        <w:jc w:val="both"/>
        <w:rPr>
          <w:rFonts w:ascii="David" w:eastAsia="Calibri" w:hAnsi="David" w:cs="David"/>
          <w:sz w:val="24"/>
          <w:szCs w:val="24"/>
          <w:rtl/>
        </w:rPr>
      </w:pPr>
      <w:r>
        <w:rPr>
          <w:rFonts w:ascii="David" w:eastAsia="Calibri" w:hAnsi="David" w:cs="David" w:hint="cs"/>
          <w:color w:val="2D2D2D"/>
          <w:sz w:val="24"/>
          <w:szCs w:val="24"/>
          <w:shd w:val="clear" w:color="auto" w:fill="FFFFFF"/>
          <w:rtl/>
        </w:rPr>
        <w:t xml:space="preserve">" </w:t>
      </w:r>
      <w:r w:rsidR="00866EFB" w:rsidRPr="00866EFB">
        <w:rPr>
          <w:rFonts w:ascii="David" w:eastAsia="Calibri" w:hAnsi="David" w:cs="David"/>
          <w:color w:val="2D2D2D"/>
          <w:sz w:val="24"/>
          <w:szCs w:val="24"/>
          <w:shd w:val="clear" w:color="auto" w:fill="FFFFFF"/>
          <w:rtl/>
        </w:rPr>
        <w:t xml:space="preserve">עבור רבים, </w:t>
      </w:r>
      <w:r>
        <w:rPr>
          <w:rFonts w:ascii="David" w:eastAsia="Calibri" w:hAnsi="David" w:cs="David" w:hint="cs"/>
          <w:color w:val="2D2D2D"/>
          <w:sz w:val="24"/>
          <w:szCs w:val="24"/>
          <w:shd w:val="clear" w:color="auto" w:fill="FFFFFF"/>
          <w:rtl/>
        </w:rPr>
        <w:t>'</w:t>
      </w:r>
      <w:r w:rsidR="00866EFB" w:rsidRPr="00866EFB">
        <w:rPr>
          <w:rFonts w:ascii="David" w:eastAsia="Calibri" w:hAnsi="David" w:cs="David"/>
          <w:color w:val="2D2D2D"/>
          <w:sz w:val="24"/>
          <w:szCs w:val="24"/>
          <w:shd w:val="clear" w:color="auto" w:fill="FFFFFF"/>
          <w:rtl/>
        </w:rPr>
        <w:t>גלובליזציה</w:t>
      </w:r>
      <w:r>
        <w:rPr>
          <w:rFonts w:ascii="David" w:eastAsia="Calibri" w:hAnsi="David" w:cs="David" w:hint="cs"/>
          <w:color w:val="2D2D2D"/>
          <w:sz w:val="24"/>
          <w:szCs w:val="24"/>
          <w:shd w:val="clear" w:color="auto" w:fill="FFFFFF"/>
          <w:rtl/>
        </w:rPr>
        <w:t>'</w:t>
      </w:r>
      <w:r w:rsidR="006A0630">
        <w:rPr>
          <w:rFonts w:ascii="David" w:eastAsia="Calibri" w:hAnsi="David" w:cs="David" w:hint="cs"/>
          <w:color w:val="2D2D2D"/>
          <w:sz w:val="24"/>
          <w:szCs w:val="24"/>
          <w:shd w:val="clear" w:color="auto" w:fill="FFFFFF"/>
          <w:rtl/>
        </w:rPr>
        <w:t xml:space="preserve"> </w:t>
      </w:r>
      <w:r w:rsidR="00866EFB" w:rsidRPr="00866EFB">
        <w:rPr>
          <w:rFonts w:ascii="David" w:eastAsia="Calibri" w:hAnsi="David" w:cs="David"/>
          <w:color w:val="2D2D2D"/>
          <w:sz w:val="24"/>
          <w:szCs w:val="24"/>
          <w:shd w:val="clear" w:color="auto" w:fill="FFFFFF"/>
          <w:rtl/>
        </w:rPr>
        <w:t>היא שם נרדף לסחר העולמי; אולם גלובליזציה היא הרבה יותר מזה. היא כוללת תרבות, שפה, שיתוף פעולה כלכלי, מערכת פיננסית וזרימת כספים, שיטור, מעבר של מרכז הכובד של הכוח בעולם, בריתות צבאיות וכמובן, סחר – הן במוצרים והן בשירותים</w:t>
      </w:r>
      <w:r w:rsidR="00866EFB" w:rsidRPr="00866EFB">
        <w:rPr>
          <w:rFonts w:ascii="David" w:eastAsia="Calibri" w:hAnsi="David" w:cs="David" w:hint="cs"/>
          <w:sz w:val="24"/>
          <w:szCs w:val="24"/>
          <w:rtl/>
        </w:rPr>
        <w:t xml:space="preserve"> </w:t>
      </w:r>
      <w:r>
        <w:rPr>
          <w:rFonts w:ascii="David" w:eastAsia="Calibri" w:hAnsi="David" w:cs="David" w:hint="cs"/>
          <w:sz w:val="24"/>
          <w:szCs w:val="24"/>
          <w:rtl/>
        </w:rPr>
        <w:t xml:space="preserve">" </w:t>
      </w:r>
      <w:r w:rsidR="00866EFB" w:rsidRPr="00866EFB">
        <w:rPr>
          <w:rFonts w:ascii="David" w:eastAsia="Calibri" w:hAnsi="David" w:cs="David" w:hint="cs"/>
          <w:sz w:val="24"/>
          <w:szCs w:val="24"/>
          <w:rtl/>
        </w:rPr>
        <w:t>(מאור 2018).</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ציטוט זה מביא את עיקרי הנושאים אותם מקיפה הגלובליזציה. למעשה הפרוש של המונח 'גלובליזציה' הינם תהליכים כלל עולמיים ,מלשון המילה גלובוס, הקשורים בתרבות האנושית. כפי שמופיע בקטע המצוטט מדובר העמקת הקשרים התרבותיים, הכלכליים, בריתות והסכמים חוצי יבשות וחוצי גבולות.</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בהתאם להגדרת הגלובליזציה ניתן לומר כי אין זו תופעה חדשה עבור המין האנושי. האימפריה ההלני</w:t>
      </w:r>
      <w:r w:rsidR="00AE36B0">
        <w:rPr>
          <w:rFonts w:ascii="David" w:eastAsia="Calibri" w:hAnsi="David" w:cs="David" w:hint="cs"/>
          <w:sz w:val="24"/>
          <w:szCs w:val="24"/>
          <w:rtl/>
        </w:rPr>
        <w:t>ס</w:t>
      </w:r>
      <w:r w:rsidRPr="00866EFB">
        <w:rPr>
          <w:rFonts w:ascii="David" w:eastAsia="Calibri" w:hAnsi="David" w:cs="David" w:hint="cs"/>
          <w:sz w:val="24"/>
          <w:szCs w:val="24"/>
          <w:rtl/>
        </w:rPr>
        <w:t>טית שייסד אלכסנדר מוקדון שלטה בחלקים ניכרים של אירופה והמזרח. אימפריה זו , שנת 3</w:t>
      </w:r>
      <w:r w:rsidR="006A0630">
        <w:rPr>
          <w:rFonts w:ascii="David" w:eastAsia="Calibri" w:hAnsi="David" w:cs="David" w:hint="cs"/>
          <w:sz w:val="24"/>
          <w:szCs w:val="24"/>
          <w:rtl/>
        </w:rPr>
        <w:t>3</w:t>
      </w:r>
      <w:r w:rsidRPr="00866EFB">
        <w:rPr>
          <w:rFonts w:ascii="David" w:eastAsia="Calibri" w:hAnsi="David" w:cs="David" w:hint="cs"/>
          <w:sz w:val="24"/>
          <w:szCs w:val="24"/>
          <w:rtl/>
        </w:rPr>
        <w:t xml:space="preserve">0 ועד ל63 לפני הספירה, קיימה שיתוף פעולה </w:t>
      </w:r>
      <w:r w:rsidR="00AE36B0" w:rsidRPr="00866EFB">
        <w:rPr>
          <w:rFonts w:ascii="David" w:eastAsia="Calibri" w:hAnsi="David" w:cs="David" w:hint="cs"/>
          <w:sz w:val="24"/>
          <w:szCs w:val="24"/>
          <w:rtl/>
        </w:rPr>
        <w:t>תרבותי</w:t>
      </w:r>
      <w:r w:rsidRPr="00866EFB">
        <w:rPr>
          <w:rFonts w:ascii="David" w:eastAsia="Calibri" w:hAnsi="David" w:cs="David" w:hint="cs"/>
          <w:sz w:val="24"/>
          <w:szCs w:val="24"/>
          <w:rtl/>
        </w:rPr>
        <w:t xml:space="preserve"> והנחילה את התרבות ההלניסטית ברחבי האימפריה. כמו כן המסחר נעשה כולו דרך המטבעות ובשליטה של האימפריה. כך שנושא צבא, כלכלה ותרבות היו משותפים לכל חלקי האימפריה תוך מחיקת הריבונות והזהות של עמים אחרים (ארן 2006). באימפריה הרומית , 49 לפני הספירה ועד לשנת 324 לספירה, הייתה תופעה זהה אך בייתר שאת. הזהות התרבותית ובעיקר הכלכלית הייתה דומה לתהליך הגלובליזצי</w:t>
      </w:r>
      <w:r w:rsidRPr="00866EFB">
        <w:rPr>
          <w:rFonts w:ascii="David" w:eastAsia="Calibri" w:hAnsi="David" w:cs="David" w:hint="eastAsia"/>
          <w:sz w:val="24"/>
          <w:szCs w:val="24"/>
          <w:rtl/>
        </w:rPr>
        <w:t>ה</w:t>
      </w:r>
      <w:r w:rsidRPr="00866EFB">
        <w:rPr>
          <w:rFonts w:ascii="David" w:eastAsia="Calibri" w:hAnsi="David" w:cs="David" w:hint="cs"/>
          <w:sz w:val="24"/>
          <w:szCs w:val="24"/>
          <w:rtl/>
        </w:rPr>
        <w:t xml:space="preserve"> המוכר כיום אך בהיקפים נמוכים היות והאימפריה שלטה בים התיכון ועד להו</w:t>
      </w:r>
      <w:r w:rsidR="00AE36B0">
        <w:rPr>
          <w:rFonts w:ascii="David" w:eastAsia="Calibri" w:hAnsi="David" w:cs="David" w:hint="cs"/>
          <w:sz w:val="24"/>
          <w:szCs w:val="24"/>
          <w:rtl/>
        </w:rPr>
        <w:t>דו</w:t>
      </w:r>
      <w:r w:rsidRPr="00866EFB">
        <w:rPr>
          <w:rFonts w:ascii="David" w:eastAsia="Calibri" w:hAnsi="David" w:cs="David" w:hint="cs"/>
          <w:sz w:val="24"/>
          <w:szCs w:val="24"/>
          <w:rtl/>
        </w:rPr>
        <w:t xml:space="preserve"> </w:t>
      </w:r>
      <w:r w:rsidRPr="00866EFB">
        <w:rPr>
          <w:rFonts w:ascii="David" w:eastAsia="Calibri" w:hAnsi="David" w:cs="David"/>
          <w:sz w:val="24"/>
          <w:szCs w:val="24"/>
        </w:rPr>
        <w:t>(Bryce 2016)</w:t>
      </w:r>
      <w:r w:rsidRPr="00866EFB">
        <w:rPr>
          <w:rFonts w:ascii="David" w:eastAsia="Calibri" w:hAnsi="David" w:cs="David" w:hint="cs"/>
          <w:sz w:val="24"/>
          <w:szCs w:val="24"/>
          <w:rtl/>
        </w:rPr>
        <w:t>. אולם הדפוס היה דפוס של גלובליזציה על כל ההגדרות. כפי שהצגתי כאן, באופן מצומצם, תופעת הגלובליזצי</w:t>
      </w:r>
      <w:r w:rsidRPr="00866EFB">
        <w:rPr>
          <w:rFonts w:ascii="David" w:eastAsia="Calibri" w:hAnsi="David" w:cs="David" w:hint="eastAsia"/>
          <w:sz w:val="24"/>
          <w:szCs w:val="24"/>
          <w:rtl/>
        </w:rPr>
        <w:t>ה</w:t>
      </w:r>
      <w:r w:rsidRPr="00866EFB">
        <w:rPr>
          <w:rFonts w:ascii="David" w:eastAsia="Calibri" w:hAnsi="David" w:cs="David" w:hint="cs"/>
          <w:sz w:val="24"/>
          <w:szCs w:val="24"/>
          <w:rtl/>
        </w:rPr>
        <w:t xml:space="preserve"> אינה זרה לאנושות אולם כעת היא בשיאה עקב טכנולוגיות ויכולות משופרות שהן מנת חלקו של העולם במאה ה21.</w:t>
      </w:r>
    </w:p>
    <w:p w:rsidR="00866EFB" w:rsidRDefault="00866EFB" w:rsidP="00866EFB">
      <w:pPr>
        <w:bidi/>
        <w:spacing w:line="360" w:lineRule="auto"/>
        <w:jc w:val="both"/>
        <w:rPr>
          <w:rFonts w:ascii="David" w:eastAsia="Calibri" w:hAnsi="David" w:cs="David"/>
          <w:b/>
          <w:bCs/>
          <w:sz w:val="24"/>
          <w:szCs w:val="24"/>
          <w:rtl/>
        </w:rPr>
      </w:pPr>
    </w:p>
    <w:p w:rsidR="0048779B" w:rsidRDefault="0048779B" w:rsidP="0048779B">
      <w:pPr>
        <w:bidi/>
        <w:spacing w:line="360" w:lineRule="auto"/>
        <w:jc w:val="both"/>
        <w:rPr>
          <w:rFonts w:ascii="David" w:eastAsia="Calibri" w:hAnsi="David" w:cs="David"/>
          <w:b/>
          <w:bCs/>
          <w:sz w:val="24"/>
          <w:szCs w:val="24"/>
          <w:rtl/>
        </w:rPr>
      </w:pPr>
    </w:p>
    <w:p w:rsidR="0048779B" w:rsidRDefault="0048779B" w:rsidP="0048779B">
      <w:pPr>
        <w:bidi/>
        <w:spacing w:line="360" w:lineRule="auto"/>
        <w:jc w:val="both"/>
        <w:rPr>
          <w:rFonts w:ascii="David" w:eastAsia="Calibri" w:hAnsi="David" w:cs="David"/>
          <w:b/>
          <w:bCs/>
          <w:sz w:val="24"/>
          <w:szCs w:val="24"/>
          <w:rtl/>
        </w:rPr>
      </w:pPr>
    </w:p>
    <w:p w:rsidR="0048779B" w:rsidRPr="00866EFB" w:rsidRDefault="0048779B" w:rsidP="0048779B">
      <w:pPr>
        <w:bidi/>
        <w:spacing w:line="360" w:lineRule="auto"/>
        <w:jc w:val="both"/>
        <w:rPr>
          <w:rFonts w:ascii="David" w:eastAsia="Calibri" w:hAnsi="David" w:cs="David"/>
          <w:b/>
          <w:bCs/>
          <w:sz w:val="24"/>
          <w:szCs w:val="24"/>
          <w:rtl/>
        </w:rPr>
      </w:pP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b/>
          <w:bCs/>
          <w:sz w:val="24"/>
          <w:szCs w:val="24"/>
          <w:rtl/>
        </w:rPr>
        <w:lastRenderedPageBreak/>
        <w:t>ניתוח הספר</w:t>
      </w:r>
      <w:r w:rsidRPr="00866EFB">
        <w:rPr>
          <w:rFonts w:ascii="David" w:eastAsia="Calibri" w:hAnsi="David" w:cs="David" w:hint="cs"/>
          <w:sz w:val="24"/>
          <w:szCs w:val="24"/>
          <w:rtl/>
        </w:rPr>
        <w:t>:</w:t>
      </w:r>
    </w:p>
    <w:p w:rsidR="00866EFB" w:rsidRPr="00866EFB" w:rsidRDefault="00866EFB" w:rsidP="00866EFB">
      <w:pPr>
        <w:spacing w:line="360" w:lineRule="auto"/>
        <w:jc w:val="both"/>
        <w:rPr>
          <w:rFonts w:ascii="David" w:eastAsia="Calibri" w:hAnsi="David" w:cs="David"/>
          <w:sz w:val="24"/>
          <w:szCs w:val="24"/>
          <w:rtl/>
        </w:rPr>
      </w:pPr>
      <w:r w:rsidRPr="00866EFB">
        <w:rPr>
          <w:rFonts w:ascii="David" w:eastAsia="Calibri" w:hAnsi="David" w:cs="David" w:hint="cs"/>
          <w:sz w:val="24"/>
          <w:szCs w:val="24"/>
          <w:rtl/>
        </w:rPr>
        <w:t xml:space="preserve"> </w:t>
      </w:r>
      <w:r w:rsidRPr="00866EFB">
        <w:rPr>
          <w:rFonts w:ascii="David" w:eastAsia="Calibri" w:hAnsi="David" w:cs="David"/>
          <w:sz w:val="24"/>
          <w:szCs w:val="24"/>
        </w:rPr>
        <w:t xml:space="preserve">MONASTICISM AND CHRISTIAN PILGRIMAGE IN EARLY ISLAMIC PALESTINE </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בחרת</w:t>
      </w:r>
      <w:r w:rsidR="0048779B">
        <w:rPr>
          <w:rFonts w:ascii="David" w:eastAsia="Calibri" w:hAnsi="David" w:cs="David" w:hint="cs"/>
          <w:sz w:val="24"/>
          <w:szCs w:val="24"/>
          <w:rtl/>
        </w:rPr>
        <w:t>י</w:t>
      </w:r>
      <w:r w:rsidRPr="00866EFB">
        <w:rPr>
          <w:rFonts w:ascii="David" w:eastAsia="Calibri" w:hAnsi="David" w:cs="David" w:hint="cs"/>
          <w:sz w:val="24"/>
          <w:szCs w:val="24"/>
          <w:rtl/>
        </w:rPr>
        <w:t xml:space="preserve"> בספרו של דניאל ריינולדס משנת 2013 </w:t>
      </w:r>
      <w:r w:rsidRPr="00866EFB">
        <w:rPr>
          <w:rFonts w:ascii="David" w:eastAsia="Calibri" w:hAnsi="David" w:cs="David"/>
          <w:sz w:val="24"/>
          <w:szCs w:val="24"/>
        </w:rPr>
        <w:t>Reynolds</w:t>
      </w:r>
      <w:r w:rsidR="0048779B">
        <w:rPr>
          <w:rFonts w:ascii="David" w:eastAsia="Calibri" w:hAnsi="David" w:cs="David"/>
          <w:sz w:val="24"/>
          <w:szCs w:val="24"/>
        </w:rPr>
        <w:t xml:space="preserve"> </w:t>
      </w:r>
      <w:r w:rsidRPr="00866EFB">
        <w:rPr>
          <w:rFonts w:ascii="David" w:eastAsia="Calibri" w:hAnsi="David" w:cs="David"/>
          <w:sz w:val="24"/>
          <w:szCs w:val="24"/>
        </w:rPr>
        <w:t>2013)</w:t>
      </w:r>
      <w:r w:rsidRPr="00866EFB">
        <w:rPr>
          <w:rFonts w:ascii="David" w:eastAsia="Calibri" w:hAnsi="David" w:cs="David" w:hint="cs"/>
          <w:sz w:val="24"/>
          <w:szCs w:val="24"/>
          <w:rtl/>
        </w:rPr>
        <w:t>). בספר זה מתאר ריינולדס את תופעת הנזירות באימפריה הביזנטית ואת המעבר לתקופה המוסלמית הקדומה. יש כאן שני משתנים חשובים לבחינה. האם תופעת הנזירות ניתנת להגדרה כחלק מהגלובליזצי</w:t>
      </w:r>
      <w:r w:rsidRPr="00866EFB">
        <w:rPr>
          <w:rFonts w:ascii="David" w:eastAsia="Calibri" w:hAnsi="David" w:cs="David" w:hint="eastAsia"/>
          <w:sz w:val="24"/>
          <w:szCs w:val="24"/>
          <w:rtl/>
        </w:rPr>
        <w:t>ה</w:t>
      </w:r>
      <w:r w:rsidRPr="00866EFB">
        <w:rPr>
          <w:rFonts w:ascii="David" w:eastAsia="Calibri" w:hAnsi="David" w:cs="David" w:hint="cs"/>
          <w:sz w:val="24"/>
          <w:szCs w:val="24"/>
          <w:rtl/>
        </w:rPr>
        <w:t>? ובאיזו גישה מנתח המחבר את התופעה ביחס לניתוחים היסטוריים ארכיאולוגים אחרים?</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לעניות דעתי, ועל פי המופיע בניתוח של ריינולדס ואחרים תנועת הנזירות יכולה להתאים להגדרת הגלובליזציה. תנועה זו קמה במצריים במאה השלישית לפני הפיכת הנצרות לדת מדינה במאה הרביעית. התנועה מקיימת קשרי דת, תרבות, כלכלה ומסחר בין שלושה מרכזים: קונסטנטינופול בירת האימפריה הביזנטית, ארץ ישראל ומצריים. מלבד שלושת המרכזים הללו ישנה רשת עולמית ורשת מקומית. הרשת העולמית כוללת את כל רחבי האימפריה הביזנטית חלק ממנה בעידוד מלא של השלטונות וחלקה מיוזמה מקומית. הרשת המקומית מקשרת בין המנזרים השונים באר ישראל בקשרי מסחר ותרבות בין המנזרים השונים ובין המנזרים לבין הקהילות שסביבן.</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קיסרי האימפריה מינפו את הפוטנציאל של תנועת הנזירות בשני אופנים, ראשית כדי להפיץ את הדת הנוצרית ברחבי האימפריה. שנית ליישב מנזרים באזורי חייץ וספר ולהוות מגן אנושי נאמן לאימפרי</w:t>
      </w:r>
      <w:r w:rsidRPr="00866EFB">
        <w:rPr>
          <w:rFonts w:ascii="David" w:eastAsia="Calibri" w:hAnsi="David" w:cs="David" w:hint="eastAsia"/>
          <w:sz w:val="24"/>
          <w:szCs w:val="24"/>
          <w:rtl/>
        </w:rPr>
        <w:t>ה</w:t>
      </w:r>
      <w:r w:rsidRPr="00866EFB">
        <w:rPr>
          <w:rFonts w:ascii="David" w:eastAsia="Calibri" w:hAnsi="David" w:cs="David" w:hint="cs"/>
          <w:sz w:val="24"/>
          <w:szCs w:val="24"/>
          <w:rtl/>
        </w:rPr>
        <w:t xml:space="preserve"> הביזנטית באזורים נידחים. בחינת המשתנים ש</w:t>
      </w:r>
      <w:r w:rsidR="0048779B">
        <w:rPr>
          <w:rFonts w:ascii="David" w:eastAsia="Calibri" w:hAnsi="David" w:cs="David" w:hint="cs"/>
          <w:sz w:val="24"/>
          <w:szCs w:val="24"/>
          <w:rtl/>
        </w:rPr>
        <w:t>א</w:t>
      </w:r>
      <w:r w:rsidRPr="00866EFB">
        <w:rPr>
          <w:rFonts w:ascii="David" w:eastAsia="Calibri" w:hAnsi="David" w:cs="David" w:hint="cs"/>
          <w:sz w:val="24"/>
          <w:szCs w:val="24"/>
          <w:rtl/>
        </w:rPr>
        <w:t>ותם הצגתי מעידה כי על פי הגדרת הגלובליזציה ניתן לומר כי תנועת הנזירות</w:t>
      </w:r>
      <w:r w:rsidR="0048779B">
        <w:rPr>
          <w:rFonts w:ascii="David" w:eastAsia="Calibri" w:hAnsi="David" w:cs="David" w:hint="cs"/>
          <w:sz w:val="24"/>
          <w:szCs w:val="24"/>
          <w:rtl/>
        </w:rPr>
        <w:t xml:space="preserve"> </w:t>
      </w:r>
      <w:r w:rsidRPr="00866EFB">
        <w:rPr>
          <w:rFonts w:ascii="David" w:eastAsia="Calibri" w:hAnsi="David" w:cs="David" w:hint="cs"/>
          <w:sz w:val="24"/>
          <w:szCs w:val="24"/>
          <w:rtl/>
        </w:rPr>
        <w:t>הינה חלק מהגלובליזצי</w:t>
      </w:r>
      <w:r w:rsidRPr="00866EFB">
        <w:rPr>
          <w:rFonts w:ascii="David" w:eastAsia="Calibri" w:hAnsi="David" w:cs="David" w:hint="eastAsia"/>
          <w:sz w:val="24"/>
          <w:szCs w:val="24"/>
          <w:rtl/>
        </w:rPr>
        <w:t>ה</w:t>
      </w:r>
      <w:r w:rsidRPr="00866EFB">
        <w:rPr>
          <w:rFonts w:ascii="David" w:eastAsia="Calibri" w:hAnsi="David" w:cs="David" w:hint="cs"/>
          <w:sz w:val="24"/>
          <w:szCs w:val="24"/>
          <w:rtl/>
        </w:rPr>
        <w:t xml:space="preserve"> שהתקיימה בתקופה הביזנטית והמוסלמית הקדומה</w:t>
      </w:r>
      <w:r w:rsidR="0048779B">
        <w:rPr>
          <w:rFonts w:ascii="David" w:eastAsia="Calibri" w:hAnsi="David" w:cs="David" w:hint="cs"/>
          <w:sz w:val="24"/>
          <w:szCs w:val="24"/>
          <w:rtl/>
        </w:rPr>
        <w:t xml:space="preserve"> בלבנט.</w:t>
      </w:r>
    </w:p>
    <w:p w:rsidR="00866EFB" w:rsidRPr="00866EFB" w:rsidRDefault="00866EFB" w:rsidP="0048779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עד לתחילת המאה ה21 הדעה הרווחת בקרב חוקרי הנזירות הייתה כי מדובר בתנועה שעיקרה הפצת הדת הנוצרית באופן מקומי</w:t>
      </w:r>
      <w:r w:rsidR="0048779B">
        <w:rPr>
          <w:rFonts w:ascii="David" w:eastAsia="Calibri" w:hAnsi="David" w:cs="David" w:hint="cs"/>
          <w:sz w:val="24"/>
          <w:szCs w:val="24"/>
          <w:rtl/>
        </w:rPr>
        <w:t xml:space="preserve"> תוך קיום קשרי דת עם מרכזים אחרים</w:t>
      </w:r>
      <w:r w:rsidRPr="00866EFB">
        <w:rPr>
          <w:rFonts w:ascii="David" w:eastAsia="Calibri" w:hAnsi="David" w:cs="David" w:hint="cs"/>
          <w:sz w:val="24"/>
          <w:szCs w:val="24"/>
          <w:rtl/>
        </w:rPr>
        <w:t xml:space="preserve">. המחקרים בשלושת העשורים האחרונים מציגים את התופעה כתופעה גלובלית החוצה מדינות ועמים ובעלת רשת מסחר וקשרים תרבותיים ענפה ברבדים שונים </w:t>
      </w:r>
      <w:r w:rsidRPr="00866EFB">
        <w:rPr>
          <w:rFonts w:ascii="David" w:eastAsia="Calibri" w:hAnsi="David" w:cs="David"/>
          <w:sz w:val="24"/>
          <w:szCs w:val="24"/>
        </w:rPr>
        <w:t>; Patrich 1998; Schick 1995)</w:t>
      </w:r>
      <w:r w:rsidRPr="00866EFB">
        <w:rPr>
          <w:rFonts w:ascii="David" w:eastAsia="Calibri" w:hAnsi="David" w:cs="David" w:hint="cs"/>
          <w:sz w:val="24"/>
          <w:szCs w:val="24"/>
          <w:rtl/>
        </w:rPr>
        <w:t xml:space="preserve">2014 </w:t>
      </w:r>
      <w:r w:rsidRPr="00866EFB">
        <w:rPr>
          <w:rFonts w:ascii="David" w:eastAsia="Calibri" w:hAnsi="David" w:cs="David"/>
          <w:sz w:val="24"/>
          <w:szCs w:val="24"/>
        </w:rPr>
        <w:t>(Avni</w:t>
      </w:r>
      <w:r w:rsidRPr="00866EFB">
        <w:rPr>
          <w:rFonts w:ascii="David" w:eastAsia="Calibri" w:hAnsi="David" w:cs="David" w:hint="cs"/>
          <w:sz w:val="24"/>
          <w:szCs w:val="24"/>
          <w:rtl/>
        </w:rPr>
        <w:t xml:space="preserve">. נקודת המחלוקת העיקרית בין אסכולות החוקרים השונות נסבה על הכיבוש המוסלמי במאה השביעית. בעוד שחוקרי המאה ה20 טענו כי כיבוש זה חיסל את תופעת הנזירות מציגים החוקרים </w:t>
      </w:r>
      <w:r w:rsidR="0048779B">
        <w:rPr>
          <w:rFonts w:ascii="David" w:eastAsia="Calibri" w:hAnsi="David" w:cs="David" w:hint="cs"/>
          <w:sz w:val="24"/>
          <w:szCs w:val="24"/>
          <w:rtl/>
        </w:rPr>
        <w:t>בשנים האחרונות</w:t>
      </w:r>
      <w:r w:rsidRPr="00866EFB">
        <w:rPr>
          <w:rFonts w:ascii="David" w:eastAsia="Calibri" w:hAnsi="David" w:cs="David" w:hint="cs"/>
          <w:sz w:val="24"/>
          <w:szCs w:val="24"/>
          <w:rtl/>
        </w:rPr>
        <w:t xml:space="preserve"> תהליך הפוך. נושא הדגל בהצגת השינוי בתפיסה ההיסטורית </w:t>
      </w:r>
      <w:r w:rsidR="0048779B">
        <w:rPr>
          <w:rFonts w:ascii="David" w:eastAsia="Calibri" w:hAnsi="David" w:cs="David" w:hint="cs"/>
          <w:sz w:val="24"/>
          <w:szCs w:val="24"/>
          <w:rtl/>
        </w:rPr>
        <w:t xml:space="preserve">זו </w:t>
      </w:r>
      <w:r w:rsidRPr="00866EFB">
        <w:rPr>
          <w:rFonts w:ascii="David" w:eastAsia="Calibri" w:hAnsi="David" w:cs="David" w:hint="cs"/>
          <w:sz w:val="24"/>
          <w:szCs w:val="24"/>
          <w:rtl/>
        </w:rPr>
        <w:t>הינו ריינולדס. זו הסיבה שבחרתי להציג את ספרו.</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השוני בגישה מקורו, לעניות דעתי, בשוני בתפיסות העולם של החוקרים. האסכולה הישנה סברה כי לאחר הכיבוש המוסלמי נהרסו מנזרים וכנסיות ברחבי ארץ ישראל ועבר הירדן. כתוצאה מכך חדלו המנזרים לתפקד או שתפקדו באופן חלקי בעיקר ברחבי ארץ ישראל שחוותה את הכיבוש</w:t>
      </w:r>
      <w:r w:rsidR="00846ED1">
        <w:rPr>
          <w:rFonts w:ascii="David" w:eastAsia="Calibri" w:hAnsi="David" w:cs="David" w:hint="cs"/>
          <w:sz w:val="24"/>
          <w:szCs w:val="24"/>
          <w:rtl/>
        </w:rPr>
        <w:t xml:space="preserve"> </w:t>
      </w:r>
      <w:r w:rsidRPr="00866EFB">
        <w:rPr>
          <w:rFonts w:ascii="David" w:eastAsia="Calibri" w:hAnsi="David" w:cs="David" w:hint="cs"/>
          <w:sz w:val="24"/>
          <w:szCs w:val="24"/>
          <w:rtl/>
        </w:rPr>
        <w:t xml:space="preserve">(ברס 1982; גיל 1983; חסון 1984). הנחה זו נשענה הן על כרוניקות כנסייתיות מגמתיות המתארות את הכובש המוסלמי </w:t>
      </w:r>
      <w:r w:rsidR="00846ED1">
        <w:rPr>
          <w:rFonts w:ascii="David" w:eastAsia="Calibri" w:hAnsi="David" w:cs="David" w:hint="cs"/>
          <w:sz w:val="24"/>
          <w:szCs w:val="24"/>
          <w:rtl/>
        </w:rPr>
        <w:t>כ</w:t>
      </w:r>
      <w:r w:rsidRPr="00866EFB">
        <w:rPr>
          <w:rFonts w:ascii="David" w:eastAsia="Calibri" w:hAnsi="David" w:cs="David" w:hint="cs"/>
          <w:sz w:val="24"/>
          <w:szCs w:val="24"/>
          <w:rtl/>
        </w:rPr>
        <w:t>אכזר וברברי. הסיבה השנייה ל</w:t>
      </w:r>
      <w:r w:rsidR="00846ED1">
        <w:rPr>
          <w:rFonts w:ascii="David" w:eastAsia="Calibri" w:hAnsi="David" w:cs="David" w:hint="cs"/>
          <w:sz w:val="24"/>
          <w:szCs w:val="24"/>
          <w:rtl/>
        </w:rPr>
        <w:t>ניתוח</w:t>
      </w:r>
      <w:r w:rsidRPr="00866EFB">
        <w:rPr>
          <w:rFonts w:ascii="David" w:eastAsia="Calibri" w:hAnsi="David" w:cs="David" w:hint="cs"/>
          <w:sz w:val="24"/>
          <w:szCs w:val="24"/>
          <w:rtl/>
        </w:rPr>
        <w:t xml:space="preserve"> ההיסטורי של אסכולה זו מקורה לדעתי בגישה האליטיסטי</w:t>
      </w:r>
      <w:r w:rsidRPr="00866EFB">
        <w:rPr>
          <w:rFonts w:ascii="David" w:eastAsia="Calibri" w:hAnsi="David" w:cs="David" w:hint="eastAsia"/>
          <w:sz w:val="24"/>
          <w:szCs w:val="24"/>
          <w:rtl/>
        </w:rPr>
        <w:t>ת</w:t>
      </w:r>
      <w:r w:rsidRPr="00866EFB">
        <w:rPr>
          <w:rFonts w:ascii="David" w:eastAsia="Calibri" w:hAnsi="David" w:cs="David" w:hint="cs"/>
          <w:sz w:val="24"/>
          <w:szCs w:val="24"/>
          <w:rtl/>
        </w:rPr>
        <w:t xml:space="preserve"> בה החזיקו חבריה. אחד מהעקרונות של הגישה </w:t>
      </w:r>
      <w:r w:rsidR="00846ED1" w:rsidRPr="00866EFB">
        <w:rPr>
          <w:rFonts w:ascii="David" w:eastAsia="Calibri" w:hAnsi="David" w:cs="David" w:hint="cs"/>
          <w:sz w:val="24"/>
          <w:szCs w:val="24"/>
          <w:rtl/>
        </w:rPr>
        <w:t>האליטיסטי</w:t>
      </w:r>
      <w:r w:rsidR="00846ED1" w:rsidRPr="00866EFB">
        <w:rPr>
          <w:rFonts w:ascii="David" w:eastAsia="Calibri" w:hAnsi="David" w:cs="David" w:hint="eastAsia"/>
          <w:sz w:val="24"/>
          <w:szCs w:val="24"/>
          <w:rtl/>
        </w:rPr>
        <w:t>ת</w:t>
      </w:r>
      <w:r w:rsidRPr="00866EFB">
        <w:rPr>
          <w:rFonts w:ascii="David" w:eastAsia="Calibri" w:hAnsi="David" w:cs="David" w:hint="cs"/>
          <w:sz w:val="24"/>
          <w:szCs w:val="24"/>
          <w:rtl/>
        </w:rPr>
        <w:t xml:space="preserve"> מדבר על כך ש</w:t>
      </w:r>
      <w:r w:rsidRPr="00866EFB">
        <w:rPr>
          <w:rFonts w:ascii="David" w:eastAsia="Calibri" w:hAnsi="David" w:cs="David"/>
          <w:sz w:val="24"/>
          <w:szCs w:val="24"/>
          <w:rtl/>
        </w:rPr>
        <w:t xml:space="preserve">הכוח נמצא בארגון. כוחה הראשון של האליטה זה הכוח הארגוני </w:t>
      </w:r>
      <w:r w:rsidR="00846ED1">
        <w:rPr>
          <w:rFonts w:ascii="David" w:eastAsia="Calibri" w:hAnsi="David" w:cs="David" w:hint="cs"/>
          <w:sz w:val="24"/>
          <w:szCs w:val="24"/>
          <w:rtl/>
        </w:rPr>
        <w:t>ויכולתה</w:t>
      </w:r>
      <w:r w:rsidRPr="00866EFB">
        <w:rPr>
          <w:rFonts w:ascii="David" w:eastAsia="Calibri" w:hAnsi="David" w:cs="David"/>
          <w:sz w:val="24"/>
          <w:szCs w:val="24"/>
          <w:rtl/>
        </w:rPr>
        <w:t xml:space="preserve"> להיות מלוכדת. עניין נוסף מאוד מרכזי בגישה הזו הוא לגיטימציה בקונוטציה שלילית. למעמד השליט יש עניין שהציבור לא יבין את המציאות ו</w:t>
      </w:r>
      <w:r w:rsidR="00846ED1">
        <w:rPr>
          <w:rFonts w:ascii="David" w:eastAsia="Calibri" w:hAnsi="David" w:cs="David" w:hint="cs"/>
          <w:sz w:val="24"/>
          <w:szCs w:val="24"/>
          <w:rtl/>
        </w:rPr>
        <w:t xml:space="preserve">בעלי אינטרס דואגים לכך </w:t>
      </w:r>
      <w:r w:rsidRPr="00866EFB">
        <w:rPr>
          <w:rFonts w:ascii="David" w:eastAsia="Calibri" w:hAnsi="David" w:cs="David"/>
          <w:sz w:val="24"/>
          <w:szCs w:val="24"/>
          <w:rtl/>
        </w:rPr>
        <w:t>שהציבור לא</w:t>
      </w:r>
      <w:r w:rsidR="00846ED1">
        <w:rPr>
          <w:rFonts w:ascii="David" w:eastAsia="Calibri" w:hAnsi="David" w:cs="David" w:hint="cs"/>
          <w:sz w:val="24"/>
          <w:szCs w:val="24"/>
          <w:rtl/>
        </w:rPr>
        <w:t xml:space="preserve"> יהיה חלק מהבנת התהליך או המצב.</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האליטות</w:t>
      </w:r>
      <w:r w:rsidR="00846ED1">
        <w:rPr>
          <w:rFonts w:ascii="David" w:eastAsia="Calibri" w:hAnsi="David" w:cs="David" w:hint="cs"/>
          <w:sz w:val="24"/>
          <w:szCs w:val="24"/>
          <w:rtl/>
        </w:rPr>
        <w:t>,</w:t>
      </w:r>
      <w:r w:rsidRPr="00866EFB">
        <w:rPr>
          <w:rFonts w:ascii="David" w:eastAsia="Calibri" w:hAnsi="David" w:cs="David" w:hint="cs"/>
          <w:sz w:val="24"/>
          <w:szCs w:val="24"/>
          <w:rtl/>
        </w:rPr>
        <w:t xml:space="preserve"> עליהן מדובר </w:t>
      </w:r>
      <w:r w:rsidR="00846ED1">
        <w:rPr>
          <w:rFonts w:ascii="David" w:eastAsia="Calibri" w:hAnsi="David" w:cs="David" w:hint="cs"/>
          <w:sz w:val="24"/>
          <w:szCs w:val="24"/>
          <w:rtl/>
        </w:rPr>
        <w:t xml:space="preserve">בתקופה דנן, </w:t>
      </w:r>
      <w:r w:rsidRPr="00866EFB">
        <w:rPr>
          <w:rFonts w:ascii="David" w:eastAsia="Calibri" w:hAnsi="David" w:cs="David" w:hint="cs"/>
          <w:sz w:val="24"/>
          <w:szCs w:val="24"/>
          <w:rtl/>
        </w:rPr>
        <w:t>היו ההגמוניה הכנסייתית של הבישופים והמבנה השלטון הכנסייתי בארץ ישראל ובאימפריה הביזנטית. הכרוניקות הנוצריות מציגות כיצד אליטה זו נהרגה או גורשה מארץ ישראל במהלך הכיבוש. חוקרי האסכולה הזו הניחו כי גירוש האליטה הכנסייתי</w:t>
      </w:r>
      <w:r w:rsidR="00846ED1">
        <w:rPr>
          <w:rFonts w:ascii="David" w:eastAsia="Calibri" w:hAnsi="David" w:cs="David" w:hint="cs"/>
          <w:sz w:val="24"/>
          <w:szCs w:val="24"/>
          <w:rtl/>
        </w:rPr>
        <w:t>ת</w:t>
      </w:r>
      <w:r w:rsidRPr="00866EFB">
        <w:rPr>
          <w:rFonts w:ascii="David" w:eastAsia="Calibri" w:hAnsi="David" w:cs="David" w:hint="cs"/>
          <w:sz w:val="24"/>
          <w:szCs w:val="24"/>
          <w:rtl/>
        </w:rPr>
        <w:t xml:space="preserve"> גרמה בהכרח לפגיעה </w:t>
      </w:r>
      <w:r w:rsidRPr="00866EFB">
        <w:rPr>
          <w:rFonts w:ascii="David" w:eastAsia="Calibri" w:hAnsi="David" w:cs="David" w:hint="cs"/>
          <w:sz w:val="24"/>
          <w:szCs w:val="24"/>
          <w:rtl/>
        </w:rPr>
        <w:lastRenderedPageBreak/>
        <w:t>ביכולת המאמינים להמשיך את קיום הפולחן הנוצרי. או לפחות לא לפתחו מעבר למה שנותר לאחר הכיבוש. גישה זו הייתה הגישה השלטת במחקר של המאה ה19 ובמאה ה20 (</w:t>
      </w:r>
      <w:r w:rsidRPr="00866EFB">
        <w:rPr>
          <w:rFonts w:ascii="David" w:eastAsia="Calibri" w:hAnsi="David" w:cs="David"/>
          <w:sz w:val="24"/>
          <w:szCs w:val="24"/>
          <w:lang w:val="en-GB"/>
        </w:rPr>
        <w:t>Robinson</w:t>
      </w:r>
      <w:r w:rsidRPr="00866EFB">
        <w:rPr>
          <w:rFonts w:ascii="David" w:eastAsia="Calibri" w:hAnsi="David" w:cs="David"/>
          <w:sz w:val="24"/>
          <w:szCs w:val="24"/>
        </w:rPr>
        <w:t xml:space="preserve"> and</w:t>
      </w:r>
      <w:r w:rsidRPr="00866EFB">
        <w:rPr>
          <w:rFonts w:ascii="David" w:eastAsia="Calibri" w:hAnsi="David" w:cs="David"/>
          <w:sz w:val="24"/>
          <w:szCs w:val="24"/>
          <w:lang w:val="en-GB"/>
        </w:rPr>
        <w:t xml:space="preserve"> Smith 1841</w:t>
      </w:r>
      <w:r w:rsidRPr="00866EFB">
        <w:rPr>
          <w:rFonts w:ascii="David" w:eastAsia="Calibri" w:hAnsi="David" w:cs="David" w:hint="cs"/>
          <w:sz w:val="24"/>
          <w:szCs w:val="24"/>
          <w:rtl/>
        </w:rPr>
        <w:t>). יש הטוענים כי שורשי הגישה הזו נעוצה בשכלול הרעיונות משלהי המאה ה 19 (ברס 1982).</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המחקר הארכיאולוגי מראשית המאה הנוכחית מציג תמונה ארכיאולוגית ש</w:t>
      </w:r>
      <w:r w:rsidR="00644E63">
        <w:rPr>
          <w:rFonts w:ascii="David" w:eastAsia="Calibri" w:hAnsi="David" w:cs="David" w:hint="cs"/>
          <w:sz w:val="24"/>
          <w:szCs w:val="24"/>
          <w:rtl/>
        </w:rPr>
        <w:t>ונ</w:t>
      </w:r>
      <w:r w:rsidRPr="00866EFB">
        <w:rPr>
          <w:rFonts w:ascii="David" w:eastAsia="Calibri" w:hAnsi="David" w:cs="David" w:hint="cs"/>
          <w:sz w:val="24"/>
          <w:szCs w:val="24"/>
          <w:rtl/>
        </w:rPr>
        <w:t>ה בתכלית. לא רק שלא נהרסו מנזרים וכנסיות</w:t>
      </w:r>
      <w:r w:rsidR="00846ED1">
        <w:rPr>
          <w:rFonts w:ascii="David" w:eastAsia="Calibri" w:hAnsi="David" w:cs="David" w:hint="cs"/>
          <w:sz w:val="24"/>
          <w:szCs w:val="24"/>
          <w:rtl/>
        </w:rPr>
        <w:t>, אלא שאנו</w:t>
      </w:r>
      <w:r w:rsidRPr="00866EFB">
        <w:rPr>
          <w:rFonts w:ascii="David" w:eastAsia="Calibri" w:hAnsi="David" w:cs="David" w:hint="cs"/>
          <w:sz w:val="24"/>
          <w:szCs w:val="24"/>
          <w:rtl/>
        </w:rPr>
        <w:t xml:space="preserve"> אנו עדים להתגברות ובניית כנסיות במהלך המאה השמינית בתוך התקופה המוסלמית. מנזרים לא נהרסו אלא ננטשו במהלך המאה התשיעית והעשירית. שינוי זה בממצא חייב הבנת התהליכים ואימוץ גישות שונות במחקר. חוקרי האסכולה החדשה ובראשם ריינולדס </w:t>
      </w:r>
      <w:r w:rsidR="00644E63">
        <w:rPr>
          <w:rFonts w:ascii="David" w:eastAsia="Calibri" w:hAnsi="David" w:cs="David" w:hint="cs"/>
          <w:sz w:val="24"/>
          <w:szCs w:val="24"/>
          <w:rtl/>
        </w:rPr>
        <w:t>אימצו את ה</w:t>
      </w:r>
      <w:r w:rsidRPr="00866EFB">
        <w:rPr>
          <w:rFonts w:ascii="David" w:eastAsia="Calibri" w:hAnsi="David" w:cs="David" w:hint="cs"/>
          <w:sz w:val="24"/>
          <w:szCs w:val="24"/>
          <w:rtl/>
        </w:rPr>
        <w:t xml:space="preserve">גישה הפלורליסטית </w:t>
      </w:r>
      <w:r w:rsidR="00644E63">
        <w:rPr>
          <w:rFonts w:ascii="David" w:eastAsia="Calibri" w:hAnsi="David" w:cs="David" w:hint="cs"/>
          <w:sz w:val="24"/>
          <w:szCs w:val="24"/>
          <w:rtl/>
        </w:rPr>
        <w:t>בניתוח</w:t>
      </w:r>
      <w:r w:rsidRPr="00866EFB">
        <w:rPr>
          <w:rFonts w:ascii="David" w:eastAsia="Calibri" w:hAnsi="David" w:cs="David" w:hint="cs"/>
          <w:sz w:val="24"/>
          <w:szCs w:val="24"/>
          <w:rtl/>
        </w:rPr>
        <w:t xml:space="preserve"> הסיב</w:t>
      </w:r>
      <w:r w:rsidR="00644E63">
        <w:rPr>
          <w:rFonts w:ascii="David" w:eastAsia="Calibri" w:hAnsi="David" w:cs="David" w:hint="cs"/>
          <w:sz w:val="24"/>
          <w:szCs w:val="24"/>
          <w:rtl/>
        </w:rPr>
        <w:t>ות</w:t>
      </w:r>
      <w:r w:rsidRPr="00866EFB">
        <w:rPr>
          <w:rFonts w:ascii="David" w:eastAsia="Calibri" w:hAnsi="David" w:cs="David" w:hint="cs"/>
          <w:sz w:val="24"/>
          <w:szCs w:val="24"/>
          <w:rtl/>
        </w:rPr>
        <w:t xml:space="preserve"> לנטישת המנזרים</w:t>
      </w:r>
      <w:r w:rsidR="00644E63">
        <w:rPr>
          <w:rFonts w:ascii="David" w:eastAsia="Calibri" w:hAnsi="David" w:cs="David" w:hint="cs"/>
          <w:sz w:val="24"/>
          <w:szCs w:val="24"/>
          <w:rtl/>
        </w:rPr>
        <w:t xml:space="preserve">. נטישה שנעשתה ללא </w:t>
      </w:r>
      <w:r w:rsidRPr="00866EFB">
        <w:rPr>
          <w:rFonts w:ascii="David" w:eastAsia="Calibri" w:hAnsi="David" w:cs="David" w:hint="cs"/>
          <w:sz w:val="24"/>
          <w:szCs w:val="24"/>
          <w:rtl/>
        </w:rPr>
        <w:t>קשר ישיר לכיבוש המוסלמי (</w:t>
      </w:r>
      <w:r w:rsidRPr="00866EFB">
        <w:rPr>
          <w:rFonts w:ascii="David" w:eastAsia="Calibri" w:hAnsi="David" w:cs="David"/>
          <w:sz w:val="24"/>
          <w:szCs w:val="24"/>
        </w:rPr>
        <w:t>Reynolds2013</w:t>
      </w:r>
      <w:r w:rsidRPr="00866EFB">
        <w:rPr>
          <w:rFonts w:ascii="David" w:eastAsia="Calibri" w:hAnsi="David" w:cs="David" w:hint="cs"/>
          <w:sz w:val="24"/>
          <w:szCs w:val="24"/>
          <w:rtl/>
        </w:rPr>
        <w:t xml:space="preserve">). </w:t>
      </w:r>
    </w:p>
    <w:p w:rsidR="00866EFB" w:rsidRPr="00866EFB" w:rsidRDefault="00866EFB" w:rsidP="00866EFB">
      <w:pPr>
        <w:bidi/>
        <w:spacing w:line="360" w:lineRule="auto"/>
        <w:contextualSpacing/>
        <w:jc w:val="both"/>
        <w:rPr>
          <w:rFonts w:ascii="David" w:eastAsia="Calibri" w:hAnsi="David" w:cs="David"/>
          <w:sz w:val="24"/>
          <w:szCs w:val="24"/>
          <w:rtl/>
        </w:rPr>
      </w:pPr>
      <w:r w:rsidRPr="00866EFB">
        <w:rPr>
          <w:rFonts w:ascii="David" w:eastAsia="Calibri" w:hAnsi="David" w:cs="David" w:hint="cs"/>
          <w:sz w:val="24"/>
          <w:szCs w:val="24"/>
          <w:rtl/>
        </w:rPr>
        <w:t xml:space="preserve">על פי עיקרי הגישה הפלורליסטית </w:t>
      </w:r>
      <w:r w:rsidRPr="00866EFB">
        <w:rPr>
          <w:rFonts w:ascii="David" w:eastAsia="Calibri" w:hAnsi="David" w:cs="David"/>
          <w:sz w:val="24"/>
          <w:szCs w:val="24"/>
          <w:rtl/>
        </w:rPr>
        <w:t>ל</w:t>
      </w:r>
      <w:r w:rsidRPr="00866EFB">
        <w:rPr>
          <w:rFonts w:ascii="David" w:eastAsia="Calibri" w:hAnsi="David" w:cs="David" w:hint="cs"/>
          <w:sz w:val="24"/>
          <w:szCs w:val="24"/>
          <w:rtl/>
        </w:rPr>
        <w:t>פרטים ולקבוצה</w:t>
      </w:r>
      <w:r w:rsidRPr="00866EFB">
        <w:rPr>
          <w:rFonts w:ascii="David" w:eastAsia="Calibri" w:hAnsi="David" w:cs="David"/>
          <w:sz w:val="24"/>
          <w:szCs w:val="24"/>
          <w:rtl/>
        </w:rPr>
        <w:t xml:space="preserve"> יש עוצמה. יש ריבוי</w:t>
      </w:r>
      <w:r w:rsidR="00644E63">
        <w:rPr>
          <w:rFonts w:ascii="David" w:eastAsia="Calibri" w:hAnsi="David" w:cs="David" w:hint="cs"/>
          <w:sz w:val="24"/>
          <w:szCs w:val="24"/>
          <w:rtl/>
        </w:rPr>
        <w:t xml:space="preserve"> כוחות</w:t>
      </w:r>
      <w:r w:rsidRPr="00866EFB">
        <w:rPr>
          <w:rFonts w:ascii="David" w:eastAsia="Calibri" w:hAnsi="David" w:cs="David"/>
          <w:sz w:val="24"/>
          <w:szCs w:val="24"/>
          <w:rtl/>
        </w:rPr>
        <w:t>, אין ריכוז כוחות. המציאות הפוליטית היא הרבה יותר מגוונת, יש קבוצות כוח, יש ריבוי מוקדים וזו הדרך ל</w:t>
      </w:r>
      <w:r w:rsidRPr="00866EFB">
        <w:rPr>
          <w:rFonts w:ascii="David" w:eastAsia="Calibri" w:hAnsi="David" w:cs="David" w:hint="cs"/>
          <w:sz w:val="24"/>
          <w:szCs w:val="24"/>
          <w:rtl/>
        </w:rPr>
        <w:t>ניתוח</w:t>
      </w:r>
      <w:r w:rsidRPr="00866EFB">
        <w:rPr>
          <w:rFonts w:ascii="David" w:eastAsia="Calibri" w:hAnsi="David" w:cs="David"/>
          <w:sz w:val="24"/>
          <w:szCs w:val="24"/>
          <w:rtl/>
        </w:rPr>
        <w:t xml:space="preserve"> המציאות. </w:t>
      </w:r>
      <w:r w:rsidRPr="00866EFB">
        <w:rPr>
          <w:rFonts w:ascii="David" w:eastAsia="Calibri" w:hAnsi="David" w:cs="David" w:hint="cs"/>
          <w:sz w:val="24"/>
          <w:szCs w:val="24"/>
          <w:rtl/>
        </w:rPr>
        <w:t xml:space="preserve">הפרטים מתאגדים לידי קהילות וקבוצות על סמך זהות ערכית וזהות של אינטרסים ולא רק על ידי מניע כלכלי. ייתרה מכך גישה זו לא רואה במוקד הכוח אצל האליטות. </w:t>
      </w:r>
      <w:r w:rsidRPr="00866EFB">
        <w:rPr>
          <w:rFonts w:ascii="David" w:eastAsia="Calibri" w:hAnsi="David" w:cs="David"/>
          <w:sz w:val="24"/>
          <w:szCs w:val="24"/>
          <w:rtl/>
        </w:rPr>
        <w:t xml:space="preserve">תפקיד החוקר </w:t>
      </w:r>
      <w:r w:rsidRPr="00866EFB">
        <w:rPr>
          <w:rFonts w:ascii="David" w:eastAsia="Calibri" w:hAnsi="David" w:cs="David" w:hint="cs"/>
          <w:sz w:val="24"/>
          <w:szCs w:val="24"/>
          <w:rtl/>
        </w:rPr>
        <w:t xml:space="preserve">בגישה זו </w:t>
      </w:r>
      <w:r w:rsidRPr="00866EFB">
        <w:rPr>
          <w:rFonts w:ascii="David" w:eastAsia="Calibri" w:hAnsi="David" w:cs="David"/>
          <w:sz w:val="24"/>
          <w:szCs w:val="24"/>
          <w:rtl/>
        </w:rPr>
        <w:t xml:space="preserve">הוא </w:t>
      </w:r>
      <w:r w:rsidRPr="00866EFB">
        <w:rPr>
          <w:rFonts w:ascii="David" w:eastAsia="Calibri" w:hAnsi="David" w:cs="David" w:hint="cs"/>
          <w:sz w:val="24"/>
          <w:szCs w:val="24"/>
          <w:rtl/>
        </w:rPr>
        <w:t xml:space="preserve">לנתח את </w:t>
      </w:r>
      <w:r w:rsidRPr="00866EFB">
        <w:rPr>
          <w:rFonts w:ascii="David" w:eastAsia="Calibri" w:hAnsi="David" w:cs="David"/>
          <w:sz w:val="24"/>
          <w:szCs w:val="24"/>
          <w:rtl/>
        </w:rPr>
        <w:t xml:space="preserve">ריבוי המוקדים, האינטרסים שלהם והדינמיקה ביניהם. </w:t>
      </w:r>
    </w:p>
    <w:p w:rsidR="00866EFB" w:rsidRPr="00866EFB" w:rsidRDefault="00866EFB" w:rsidP="00866EFB">
      <w:pPr>
        <w:bidi/>
        <w:spacing w:line="360" w:lineRule="auto"/>
        <w:contextualSpacing/>
        <w:jc w:val="both"/>
        <w:rPr>
          <w:rFonts w:ascii="David" w:eastAsia="Calibri" w:hAnsi="David" w:cs="David"/>
          <w:sz w:val="24"/>
          <w:szCs w:val="24"/>
          <w:rtl/>
        </w:rPr>
      </w:pPr>
    </w:p>
    <w:p w:rsidR="00866EFB" w:rsidRPr="00866EFB" w:rsidRDefault="00866EFB" w:rsidP="00866EFB">
      <w:pPr>
        <w:bidi/>
        <w:spacing w:line="360" w:lineRule="auto"/>
        <w:contextualSpacing/>
        <w:jc w:val="both"/>
        <w:rPr>
          <w:rFonts w:ascii="David" w:eastAsia="Calibri" w:hAnsi="David" w:cs="David"/>
          <w:sz w:val="24"/>
          <w:szCs w:val="24"/>
          <w:rtl/>
        </w:rPr>
      </w:pPr>
      <w:r w:rsidRPr="00866EFB">
        <w:rPr>
          <w:rFonts w:ascii="David" w:eastAsia="Calibri" w:hAnsi="David" w:cs="David" w:hint="cs"/>
          <w:sz w:val="24"/>
          <w:szCs w:val="24"/>
          <w:rtl/>
        </w:rPr>
        <w:t>ריינולדס מנתח בספרו את הסיבה לנטישת המנזרים. לטענתו, נטישת המנזרים כלל לא קשורה לגירוש האליטות הנוצריות- ביזנטיות מארץ ישראל לאחר הכיבוש המוסלמי. לראייה המנזרים ממשיכים לתפקד ואף מתפתחים ופורחים כמאה שנה לאחר הכיבוש. את הנטישה של המנזרים בשלהי המאה השמנית הוא תולה במספר גורמים (</w:t>
      </w:r>
      <w:r w:rsidRPr="00866EFB">
        <w:rPr>
          <w:rFonts w:ascii="David" w:eastAsia="Calibri" w:hAnsi="David" w:cs="David"/>
          <w:sz w:val="24"/>
          <w:szCs w:val="24"/>
        </w:rPr>
        <w:t>Reynolds2013:148-214</w:t>
      </w:r>
      <w:r w:rsidRPr="00866EFB">
        <w:rPr>
          <w:rFonts w:ascii="David" w:eastAsia="Calibri" w:hAnsi="David" w:cs="David" w:hint="cs"/>
          <w:sz w:val="24"/>
          <w:szCs w:val="24"/>
          <w:rtl/>
        </w:rPr>
        <w:t>). הסיבות הן מגוונות ונעוצות בעיקר במ</w:t>
      </w:r>
      <w:r w:rsidR="00644E63">
        <w:rPr>
          <w:rFonts w:ascii="David" w:eastAsia="Calibri" w:hAnsi="David" w:cs="David" w:hint="cs"/>
          <w:sz w:val="24"/>
          <w:szCs w:val="24"/>
          <w:rtl/>
        </w:rPr>
        <w:t>ב</w:t>
      </w:r>
      <w:r w:rsidRPr="00866EFB">
        <w:rPr>
          <w:rFonts w:ascii="David" w:eastAsia="Calibri" w:hAnsi="David" w:cs="David" w:hint="cs"/>
          <w:sz w:val="24"/>
          <w:szCs w:val="24"/>
          <w:rtl/>
        </w:rPr>
        <w:t xml:space="preserve">נה הקהילה וביכולותיה. קהילות שלא נמצאו בקשרי תרבות ומסחר עם קהילות אחרות לא יכלו להתאושש לאחר שחוו אירוע משברי. קהילה </w:t>
      </w:r>
      <w:r w:rsidR="00644E63">
        <w:rPr>
          <w:rFonts w:ascii="David" w:eastAsia="Calibri" w:hAnsi="David" w:cs="David" w:hint="cs"/>
          <w:sz w:val="24"/>
          <w:szCs w:val="24"/>
          <w:rtl/>
        </w:rPr>
        <w:t>חלשה</w:t>
      </w:r>
      <w:r w:rsidRPr="00866EFB">
        <w:rPr>
          <w:rFonts w:ascii="David" w:eastAsia="Calibri" w:hAnsi="David" w:cs="David" w:hint="cs"/>
          <w:sz w:val="24"/>
          <w:szCs w:val="24"/>
          <w:rtl/>
        </w:rPr>
        <w:t xml:space="preserve"> ושאינה מקיימת קשרי דת או מסחר או קשרי משפחה עם קהילה אחרת לא היו לא את המשאבים הכלכליים והארגוניים להשתקם לאחר רעידת אדמה. לעומתה קהלה ומנזר אשר קיימו קשרים אילו שרדו והשתקמו. במחקר הוא מראה קהילות שונות, חלקן באותו אזור גיאוגרפי, ששרדו לצד כאילו שנטשו את מנזריהם. עיקר </w:t>
      </w:r>
      <w:r w:rsidR="00644E63">
        <w:rPr>
          <w:rFonts w:ascii="David" w:eastAsia="Calibri" w:hAnsi="David" w:cs="David" w:hint="cs"/>
          <w:sz w:val="24"/>
          <w:szCs w:val="24"/>
          <w:rtl/>
        </w:rPr>
        <w:t>טיעונו</w:t>
      </w:r>
      <w:r w:rsidRPr="00866EFB">
        <w:rPr>
          <w:rFonts w:ascii="David" w:eastAsia="Calibri" w:hAnsi="David" w:cs="David" w:hint="cs"/>
          <w:sz w:val="24"/>
          <w:szCs w:val="24"/>
          <w:rtl/>
        </w:rPr>
        <w:t xml:space="preserve"> ה</w:t>
      </w:r>
      <w:r w:rsidR="00644E63">
        <w:rPr>
          <w:rFonts w:ascii="David" w:eastAsia="Calibri" w:hAnsi="David" w:cs="David" w:hint="cs"/>
          <w:sz w:val="24"/>
          <w:szCs w:val="24"/>
          <w:rtl/>
        </w:rPr>
        <w:t>וא</w:t>
      </w:r>
      <w:r w:rsidRPr="00866EFB">
        <w:rPr>
          <w:rFonts w:ascii="David" w:eastAsia="Calibri" w:hAnsi="David" w:cs="David" w:hint="cs"/>
          <w:sz w:val="24"/>
          <w:szCs w:val="24"/>
          <w:rtl/>
        </w:rPr>
        <w:t xml:space="preserve"> ששלל גורמים הביא לנטישה וב</w:t>
      </w:r>
      <w:r w:rsidR="00644E63">
        <w:rPr>
          <w:rFonts w:ascii="David" w:eastAsia="Calibri" w:hAnsi="David" w:cs="David" w:hint="cs"/>
          <w:sz w:val="24"/>
          <w:szCs w:val="24"/>
          <w:rtl/>
        </w:rPr>
        <w:t>ע</w:t>
      </w:r>
      <w:r w:rsidRPr="00866EFB">
        <w:rPr>
          <w:rFonts w:ascii="David" w:eastAsia="Calibri" w:hAnsi="David" w:cs="David" w:hint="cs"/>
          <w:sz w:val="24"/>
          <w:szCs w:val="24"/>
          <w:rtl/>
        </w:rPr>
        <w:t>יקרם הקשרים הקהילתיים קשרי המסחר וזהות ערכית בין הקהילות והזרמים השונים בנזירות.</w:t>
      </w:r>
    </w:p>
    <w:p w:rsidR="00866EFB" w:rsidRPr="00866EFB" w:rsidRDefault="00866EFB" w:rsidP="00866EFB">
      <w:pPr>
        <w:bidi/>
        <w:spacing w:line="360" w:lineRule="auto"/>
        <w:contextualSpacing/>
        <w:jc w:val="both"/>
        <w:rPr>
          <w:rFonts w:ascii="David" w:eastAsia="Calibri" w:hAnsi="David" w:cs="David"/>
          <w:sz w:val="24"/>
          <w:szCs w:val="24"/>
          <w:rtl/>
        </w:rPr>
      </w:pPr>
    </w:p>
    <w:p w:rsidR="00866EFB" w:rsidRPr="00866EFB" w:rsidRDefault="00866EFB" w:rsidP="00866EFB">
      <w:pPr>
        <w:bidi/>
        <w:spacing w:line="360" w:lineRule="auto"/>
        <w:contextualSpacing/>
        <w:jc w:val="both"/>
        <w:rPr>
          <w:rFonts w:ascii="David" w:eastAsia="Calibri" w:hAnsi="David" w:cs="David"/>
          <w:b/>
          <w:bCs/>
          <w:sz w:val="24"/>
          <w:szCs w:val="24"/>
          <w:rtl/>
        </w:rPr>
      </w:pPr>
      <w:r w:rsidRPr="00866EFB">
        <w:rPr>
          <w:rFonts w:ascii="David" w:eastAsia="Calibri" w:hAnsi="David" w:cs="David" w:hint="cs"/>
          <w:b/>
          <w:bCs/>
          <w:sz w:val="24"/>
          <w:szCs w:val="24"/>
          <w:rtl/>
        </w:rPr>
        <w:t>סיכום:</w:t>
      </w:r>
    </w:p>
    <w:p w:rsidR="00866EFB" w:rsidRPr="00866EFB" w:rsidRDefault="00866EFB" w:rsidP="00866EFB">
      <w:pPr>
        <w:bidi/>
        <w:spacing w:line="360" w:lineRule="auto"/>
        <w:contextualSpacing/>
        <w:jc w:val="both"/>
        <w:rPr>
          <w:rFonts w:ascii="David" w:eastAsia="Calibri" w:hAnsi="David" w:cs="David"/>
          <w:sz w:val="24"/>
          <w:szCs w:val="24"/>
          <w:rtl/>
        </w:rPr>
      </w:pPr>
      <w:r w:rsidRPr="00866EFB">
        <w:rPr>
          <w:rFonts w:ascii="David" w:eastAsia="Calibri" w:hAnsi="David" w:cs="David" w:hint="cs"/>
          <w:sz w:val="24"/>
          <w:szCs w:val="24"/>
          <w:rtl/>
        </w:rPr>
        <w:t>אני סבור כי ניתוח זה של ריינולדס, המאפיין את הגישה הפלורליסטית, נותן למחקר עומק ופותח אפיקי מחקר חדשים המציגים נקודות חדשות. בעוד שהמחקר הקודם הציג זווית אחת מרכזית לניתוח ולשינוי. על אף גירוש האליטות בתקופה המוסלמית הקדומה, הקהילות השונות המשיכו לתפקד ולפרוח המבחינה הקהילתית ודתית. תוך שהם משרתים את הקהילות הנוצריות סביבם.</w:t>
      </w:r>
    </w:p>
    <w:p w:rsidR="00BF034C" w:rsidRDefault="00866EFB" w:rsidP="00BF034C">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ההנ</w:t>
      </w:r>
      <w:r w:rsidR="00644E63">
        <w:rPr>
          <w:rFonts w:ascii="David" w:eastAsia="Calibri" w:hAnsi="David" w:cs="David" w:hint="cs"/>
          <w:sz w:val="24"/>
          <w:szCs w:val="24"/>
          <w:rtl/>
        </w:rPr>
        <w:t>ח</w:t>
      </w:r>
      <w:r w:rsidRPr="00866EFB">
        <w:rPr>
          <w:rFonts w:ascii="David" w:eastAsia="Calibri" w:hAnsi="David" w:cs="David" w:hint="cs"/>
          <w:sz w:val="24"/>
          <w:szCs w:val="24"/>
          <w:rtl/>
        </w:rPr>
        <w:t>ה במחקרים החדשים כי מספר גורמים הם הקשורים לתהליך הקמה ונטישה של מנזרים בתקופות השונות</w:t>
      </w:r>
      <w:r w:rsidR="00BF034C">
        <w:rPr>
          <w:rFonts w:ascii="David" w:eastAsia="Calibri" w:hAnsi="David" w:cs="David" w:hint="cs"/>
          <w:sz w:val="24"/>
          <w:szCs w:val="24"/>
          <w:rtl/>
        </w:rPr>
        <w:t xml:space="preserve"> מציגה את המהלך ההיסטורי באור מלא ועם ניואנסי</w:t>
      </w:r>
      <w:r w:rsidR="00BF034C">
        <w:rPr>
          <w:rFonts w:ascii="David" w:eastAsia="Calibri" w:hAnsi="David" w:cs="David" w:hint="eastAsia"/>
          <w:sz w:val="24"/>
          <w:szCs w:val="24"/>
          <w:rtl/>
        </w:rPr>
        <w:t>ם</w:t>
      </w:r>
      <w:r w:rsidR="00BF034C">
        <w:rPr>
          <w:rFonts w:ascii="David" w:eastAsia="Calibri" w:hAnsi="David" w:cs="David" w:hint="cs"/>
          <w:sz w:val="24"/>
          <w:szCs w:val="24"/>
          <w:rtl/>
        </w:rPr>
        <w:t xml:space="preserve"> חדשים</w:t>
      </w:r>
      <w:r w:rsidRPr="00866EFB">
        <w:rPr>
          <w:rFonts w:ascii="David" w:eastAsia="Calibri" w:hAnsi="David" w:cs="David" w:hint="cs"/>
          <w:sz w:val="24"/>
          <w:szCs w:val="24"/>
          <w:rtl/>
        </w:rPr>
        <w:t>. זאת ועוד, הגישה הפלורליסטית מיקדה את המחקר בקהילה המקומית ובהשפעתה על התהליכים ההיסטוריים.</w:t>
      </w:r>
    </w:p>
    <w:p w:rsidR="00BF034C" w:rsidRPr="00866EFB" w:rsidRDefault="00BF034C" w:rsidP="00A32F66">
      <w:pPr>
        <w:bidi/>
        <w:spacing w:line="360" w:lineRule="auto"/>
        <w:jc w:val="both"/>
        <w:rPr>
          <w:rFonts w:ascii="David" w:eastAsia="Calibri" w:hAnsi="David" w:cs="David"/>
          <w:sz w:val="24"/>
          <w:szCs w:val="24"/>
          <w:rtl/>
        </w:rPr>
      </w:pPr>
      <w:r>
        <w:rPr>
          <w:rFonts w:ascii="David" w:eastAsia="Calibri" w:hAnsi="David" w:cs="David" w:hint="cs"/>
          <w:sz w:val="24"/>
          <w:szCs w:val="24"/>
          <w:rtl/>
        </w:rPr>
        <w:t>כפי שהצגתי בניתוח תנועת הנזירות באימפריה הביזנטית עומדת בכל ההגדרות של חברה העומדת בהגדרות הגלובליזציה.</w:t>
      </w:r>
      <w:r w:rsidR="00A32F66">
        <w:rPr>
          <w:rFonts w:ascii="David" w:eastAsia="Calibri" w:hAnsi="David" w:cs="David" w:hint="cs"/>
          <w:sz w:val="24"/>
          <w:szCs w:val="24"/>
          <w:rtl/>
        </w:rPr>
        <w:t xml:space="preserve"> </w:t>
      </w:r>
      <w:r>
        <w:rPr>
          <w:rFonts w:ascii="David" w:eastAsia="Calibri" w:hAnsi="David" w:cs="David" w:hint="cs"/>
          <w:sz w:val="24"/>
          <w:szCs w:val="24"/>
          <w:rtl/>
        </w:rPr>
        <w:t>למעשה הגלובליזצי</w:t>
      </w:r>
      <w:r>
        <w:rPr>
          <w:rFonts w:ascii="David" w:eastAsia="Calibri" w:hAnsi="David" w:cs="David" w:hint="eastAsia"/>
          <w:sz w:val="24"/>
          <w:szCs w:val="24"/>
          <w:rtl/>
        </w:rPr>
        <w:t>ה</w:t>
      </w:r>
      <w:r>
        <w:rPr>
          <w:rFonts w:ascii="David" w:eastAsia="Calibri" w:hAnsi="David" w:cs="David" w:hint="cs"/>
          <w:sz w:val="24"/>
          <w:szCs w:val="24"/>
          <w:rtl/>
        </w:rPr>
        <w:t xml:space="preserve"> קיימת משחר ההיסטוריה אף לפני האימפריה ההלניסטית. אולם חיבור של טכנולוגיה חדשה ופריסה כלל עולמית מעניקים לתופעה את העומק וההיקף העצום אותו אנו חווים במאה ה21.</w:t>
      </w:r>
    </w:p>
    <w:p w:rsidR="00866EFB" w:rsidRPr="00866EFB" w:rsidRDefault="00866EFB" w:rsidP="00866EFB">
      <w:pPr>
        <w:bidi/>
        <w:spacing w:line="360" w:lineRule="auto"/>
        <w:jc w:val="both"/>
        <w:rPr>
          <w:rFonts w:ascii="David" w:eastAsia="Calibri" w:hAnsi="David" w:cs="David"/>
          <w:b/>
          <w:bCs/>
          <w:sz w:val="24"/>
          <w:szCs w:val="24"/>
          <w:rtl/>
        </w:rPr>
      </w:pPr>
      <w:r w:rsidRPr="00866EFB">
        <w:rPr>
          <w:rFonts w:ascii="David" w:eastAsia="Calibri" w:hAnsi="David" w:cs="David" w:hint="cs"/>
          <w:b/>
          <w:bCs/>
          <w:sz w:val="24"/>
          <w:szCs w:val="24"/>
          <w:rtl/>
        </w:rPr>
        <w:lastRenderedPageBreak/>
        <w:t>מקורות</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ארן ט' 2006</w:t>
      </w:r>
      <w:r w:rsidRPr="00866EFB">
        <w:rPr>
          <w:rFonts w:ascii="David" w:eastAsia="Calibri" w:hAnsi="David" w:cs="David" w:hint="cs"/>
          <w:i/>
          <w:iCs/>
          <w:sz w:val="24"/>
          <w:szCs w:val="24"/>
          <w:rtl/>
        </w:rPr>
        <w:t xml:space="preserve">. </w:t>
      </w:r>
      <w:r w:rsidRPr="00866EFB">
        <w:rPr>
          <w:rFonts w:ascii="David" w:eastAsia="Calibri" w:hAnsi="David" w:cs="David"/>
          <w:i/>
          <w:iCs/>
          <w:sz w:val="24"/>
          <w:szCs w:val="24"/>
          <w:rtl/>
        </w:rPr>
        <w:t>הארכיאולוגיה של ארץ-ישראל בתקופה ההלניסטית: בין מסורת לחידו</w:t>
      </w:r>
      <w:r w:rsidRPr="00866EFB">
        <w:rPr>
          <w:rFonts w:ascii="David" w:eastAsia="Calibri" w:hAnsi="David" w:cs="David" w:hint="cs"/>
          <w:i/>
          <w:iCs/>
          <w:sz w:val="24"/>
          <w:szCs w:val="24"/>
          <w:rtl/>
        </w:rPr>
        <w:t>ש.</w:t>
      </w:r>
      <w:r w:rsidRPr="00866EFB">
        <w:rPr>
          <w:rFonts w:ascii="David" w:eastAsia="Calibri" w:hAnsi="David" w:cs="David" w:hint="cs"/>
          <w:sz w:val="24"/>
          <w:szCs w:val="24"/>
          <w:rtl/>
        </w:rPr>
        <w:t xml:space="preserve"> ירושלים</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sz w:val="24"/>
          <w:szCs w:val="24"/>
          <w:rtl/>
        </w:rPr>
        <w:t xml:space="preserve">ברס צ' 1982' הכיבוש הפרסי ושלהי השלטון הביזאנטי', בתוך צ' ברס ש' ספראי י' </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sz w:val="24"/>
          <w:szCs w:val="24"/>
          <w:rtl/>
        </w:rPr>
        <w:t xml:space="preserve">           צפריר, ומ' שטרן  (עורכים), </w:t>
      </w:r>
      <w:r w:rsidRPr="00866EFB">
        <w:rPr>
          <w:rFonts w:ascii="David" w:eastAsia="Calibri" w:hAnsi="David" w:cs="David"/>
          <w:b/>
          <w:bCs/>
          <w:sz w:val="24"/>
          <w:szCs w:val="24"/>
          <w:rtl/>
        </w:rPr>
        <w:t>ארץ ישראל מחורבן בית שני עד הכיבוש המוסלמי</w:t>
      </w:r>
      <w:r w:rsidRPr="00866EFB">
        <w:rPr>
          <w:rFonts w:ascii="David" w:eastAsia="Calibri" w:hAnsi="David" w:cs="David"/>
          <w:sz w:val="24"/>
          <w:szCs w:val="24"/>
          <w:rtl/>
        </w:rPr>
        <w:t xml:space="preserve">, ירושלים, </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sz w:val="24"/>
          <w:szCs w:val="24"/>
          <w:rtl/>
        </w:rPr>
        <w:t xml:space="preserve">          עמ' 300-340.</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sz w:val="24"/>
          <w:szCs w:val="24"/>
          <w:rtl/>
        </w:rPr>
        <w:t xml:space="preserve">גיל מ' 1983. </w:t>
      </w:r>
      <w:r w:rsidRPr="00866EFB">
        <w:rPr>
          <w:rFonts w:ascii="David" w:eastAsia="Calibri" w:hAnsi="David" w:cs="David"/>
          <w:b/>
          <w:bCs/>
          <w:sz w:val="24"/>
          <w:szCs w:val="24"/>
          <w:rtl/>
        </w:rPr>
        <w:t>ארץ ישראל בתקופה המוסלמית הראשונה (634–1099</w:t>
      </w:r>
      <w:r w:rsidRPr="00866EFB">
        <w:rPr>
          <w:rFonts w:ascii="David" w:eastAsia="Calibri" w:hAnsi="David" w:cs="David"/>
          <w:sz w:val="24"/>
          <w:szCs w:val="24"/>
          <w:rtl/>
        </w:rPr>
        <w:t>), תל אביב.</w:t>
      </w:r>
    </w:p>
    <w:p w:rsidR="00866EFB" w:rsidRPr="00866EFB" w:rsidRDefault="00866EFB" w:rsidP="00866EFB">
      <w:pPr>
        <w:bidi/>
        <w:spacing w:line="360" w:lineRule="auto"/>
        <w:jc w:val="both"/>
        <w:rPr>
          <w:rFonts w:ascii="David" w:eastAsia="Calibri" w:hAnsi="David" w:cs="David"/>
          <w:b/>
          <w:bCs/>
          <w:sz w:val="24"/>
          <w:szCs w:val="24"/>
          <w:rtl/>
        </w:rPr>
      </w:pPr>
      <w:r w:rsidRPr="00866EFB">
        <w:rPr>
          <w:rFonts w:ascii="David" w:eastAsia="Calibri" w:hAnsi="David" w:cs="David"/>
          <w:sz w:val="24"/>
          <w:szCs w:val="24"/>
          <w:rtl/>
        </w:rPr>
        <w:t>הירשפלד י'</w:t>
      </w:r>
      <w:r w:rsidRPr="00866EFB">
        <w:rPr>
          <w:rFonts w:ascii="David" w:eastAsia="Calibri" w:hAnsi="David" w:cs="David" w:hint="cs"/>
          <w:sz w:val="24"/>
          <w:szCs w:val="24"/>
          <w:rtl/>
        </w:rPr>
        <w:t xml:space="preserve"> </w:t>
      </w:r>
      <w:r w:rsidRPr="00866EFB">
        <w:rPr>
          <w:rFonts w:ascii="David" w:eastAsia="Calibri" w:hAnsi="David" w:cs="David"/>
          <w:sz w:val="24"/>
          <w:szCs w:val="24"/>
          <w:rtl/>
        </w:rPr>
        <w:t>1987</w:t>
      </w:r>
      <w:bookmarkStart w:id="3" w:name="_Hlk26611698"/>
      <w:r w:rsidRPr="00866EFB">
        <w:rPr>
          <w:rFonts w:ascii="David" w:eastAsia="Calibri" w:hAnsi="David" w:cs="David"/>
          <w:sz w:val="24"/>
          <w:szCs w:val="24"/>
          <w:rtl/>
        </w:rPr>
        <w:t xml:space="preserve">. </w:t>
      </w:r>
      <w:r w:rsidRPr="00866EFB">
        <w:rPr>
          <w:rFonts w:ascii="David" w:eastAsia="Calibri" w:hAnsi="David" w:cs="David"/>
          <w:b/>
          <w:bCs/>
          <w:sz w:val="24"/>
          <w:szCs w:val="24"/>
          <w:rtl/>
        </w:rPr>
        <w:t xml:space="preserve">מנזרי מדבר יהודה בתקופה הביזאנטית – תולדותיהם וארגונם הפנימי לאור </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b/>
          <w:bCs/>
          <w:sz w:val="24"/>
          <w:szCs w:val="24"/>
          <w:rtl/>
        </w:rPr>
        <w:t xml:space="preserve">          המחקר הארכיאולוג</w:t>
      </w:r>
      <w:r w:rsidRPr="00866EFB">
        <w:rPr>
          <w:rFonts w:ascii="David" w:eastAsia="Calibri" w:hAnsi="David" w:cs="David"/>
          <w:sz w:val="24"/>
          <w:szCs w:val="24"/>
          <w:rtl/>
        </w:rPr>
        <w:t xml:space="preserve">י, חיבור לשם קבלת תואר דוקטור של  האוניברסיטה העברית </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sz w:val="24"/>
          <w:szCs w:val="24"/>
          <w:rtl/>
        </w:rPr>
        <w:t xml:space="preserve">          בירושלים.</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sz w:val="24"/>
          <w:szCs w:val="24"/>
          <w:rtl/>
        </w:rPr>
        <w:t xml:space="preserve">חסון י' 1984. 'התפרשות שבטי הערבים בארץ - ישראל במאה הראשונה להיג'רה', </w:t>
      </w:r>
      <w:r w:rsidRPr="00866EFB">
        <w:rPr>
          <w:rFonts w:ascii="David" w:eastAsia="Calibri" w:hAnsi="David" w:cs="David"/>
          <w:b/>
          <w:bCs/>
          <w:sz w:val="24"/>
          <w:szCs w:val="24"/>
          <w:rtl/>
        </w:rPr>
        <w:t>קתדרה</w:t>
      </w:r>
      <w:r w:rsidRPr="00866EFB">
        <w:rPr>
          <w:rFonts w:ascii="David" w:eastAsia="Calibri" w:hAnsi="David" w:cs="David"/>
          <w:sz w:val="24"/>
          <w:szCs w:val="24"/>
          <w:rtl/>
        </w:rPr>
        <w:t xml:space="preserve"> 32, </w:t>
      </w:r>
    </w:p>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sz w:val="24"/>
          <w:szCs w:val="24"/>
          <w:rtl/>
        </w:rPr>
        <w:t xml:space="preserve">            עמ' 65-54.</w:t>
      </w:r>
    </w:p>
    <w:bookmarkEnd w:id="3"/>
    <w:p w:rsidR="00866EFB" w:rsidRPr="00866EFB" w:rsidRDefault="00866EFB" w:rsidP="00866EFB">
      <w:pPr>
        <w:bidi/>
        <w:spacing w:line="360" w:lineRule="auto"/>
        <w:jc w:val="both"/>
        <w:rPr>
          <w:rFonts w:ascii="David" w:eastAsia="Calibri" w:hAnsi="David" w:cs="David"/>
          <w:sz w:val="24"/>
          <w:szCs w:val="24"/>
          <w:rtl/>
        </w:rPr>
      </w:pPr>
      <w:r w:rsidRPr="00866EFB">
        <w:rPr>
          <w:rFonts w:ascii="David" w:eastAsia="Calibri" w:hAnsi="David" w:cs="David" w:hint="cs"/>
          <w:sz w:val="24"/>
          <w:szCs w:val="24"/>
          <w:rtl/>
        </w:rPr>
        <w:t>מאור ד. 2018. חלום בלהות ושמו לגלובליזציה. דמרקר 12.08.18,</w:t>
      </w:r>
      <w:r w:rsidRPr="00866EFB">
        <w:rPr>
          <w:rFonts w:ascii="Calibri" w:eastAsia="Calibri" w:hAnsi="Calibri" w:cs="Arial"/>
        </w:rPr>
        <w:t xml:space="preserve"> </w:t>
      </w:r>
      <w:hyperlink r:id="rId8" w:history="1">
        <w:r w:rsidRPr="00866EFB">
          <w:rPr>
            <w:rFonts w:ascii="David" w:eastAsia="Calibri" w:hAnsi="David" w:cs="David"/>
            <w:color w:val="0563C1"/>
            <w:sz w:val="24"/>
            <w:szCs w:val="24"/>
            <w:u w:val="single"/>
          </w:rPr>
          <w:t>https://www.themarker.com/magazine/MAGAZINE-1.6337255</w:t>
        </w:r>
      </w:hyperlink>
      <w:r w:rsidRPr="00866EFB">
        <w:rPr>
          <w:rFonts w:ascii="David" w:eastAsia="Calibri" w:hAnsi="David" w:cs="David" w:hint="cs"/>
          <w:sz w:val="24"/>
          <w:szCs w:val="24"/>
          <w:rtl/>
        </w:rPr>
        <w:t xml:space="preserve"> </w:t>
      </w:r>
    </w:p>
    <w:p w:rsidR="00F7312B" w:rsidRDefault="00F7312B" w:rsidP="00866EFB">
      <w:pPr>
        <w:spacing w:line="360" w:lineRule="auto"/>
        <w:jc w:val="both"/>
        <w:rPr>
          <w:rFonts w:ascii="David" w:eastAsia="Calibri" w:hAnsi="David" w:cs="David"/>
          <w:sz w:val="24"/>
          <w:szCs w:val="24"/>
        </w:rPr>
      </w:pPr>
    </w:p>
    <w:p w:rsidR="00866EFB" w:rsidRPr="00866EFB" w:rsidRDefault="00866EFB" w:rsidP="00866EFB">
      <w:pPr>
        <w:spacing w:line="360" w:lineRule="auto"/>
        <w:jc w:val="both"/>
        <w:rPr>
          <w:rFonts w:ascii="David" w:eastAsia="Calibri" w:hAnsi="David" w:cs="David"/>
          <w:sz w:val="24"/>
          <w:szCs w:val="24"/>
        </w:rPr>
      </w:pPr>
      <w:r w:rsidRPr="00866EFB">
        <w:rPr>
          <w:rFonts w:ascii="David" w:eastAsia="Calibri" w:hAnsi="David" w:cs="David"/>
          <w:sz w:val="24"/>
          <w:szCs w:val="24"/>
        </w:rPr>
        <w:t xml:space="preserve">Bryce, T.2016. Atlas of the Ancient Near East From Prehistoric Times to the Roman </w:t>
      </w:r>
    </w:p>
    <w:p w:rsidR="00866EFB" w:rsidRPr="00866EFB" w:rsidRDefault="00866EFB" w:rsidP="00866EFB">
      <w:pPr>
        <w:spacing w:line="360" w:lineRule="auto"/>
        <w:jc w:val="both"/>
        <w:rPr>
          <w:rFonts w:ascii="David" w:eastAsia="Calibri" w:hAnsi="David" w:cs="David"/>
          <w:sz w:val="24"/>
          <w:szCs w:val="24"/>
        </w:rPr>
      </w:pPr>
      <w:r w:rsidRPr="00866EFB">
        <w:rPr>
          <w:rFonts w:ascii="David" w:eastAsia="Calibri" w:hAnsi="David" w:cs="David"/>
          <w:sz w:val="24"/>
          <w:szCs w:val="24"/>
        </w:rPr>
        <w:t xml:space="preserve">            Imperial Period. New York  </w:t>
      </w:r>
    </w:p>
    <w:p w:rsidR="004019EA" w:rsidRPr="004019EA" w:rsidRDefault="004019EA" w:rsidP="004019EA">
      <w:pPr>
        <w:spacing w:line="360" w:lineRule="auto"/>
        <w:jc w:val="both"/>
        <w:rPr>
          <w:rFonts w:ascii="David" w:eastAsia="Calibri" w:hAnsi="David" w:cs="David"/>
          <w:sz w:val="24"/>
          <w:szCs w:val="24"/>
        </w:rPr>
      </w:pPr>
      <w:r w:rsidRPr="004019EA">
        <w:rPr>
          <w:rFonts w:ascii="David" w:eastAsia="Calibri" w:hAnsi="David" w:cs="David"/>
          <w:sz w:val="24"/>
          <w:szCs w:val="24"/>
        </w:rPr>
        <w:t xml:space="preserve">Magness J. 2011.'Archaeological evidence for the Sasanian Persian invasion of </w:t>
      </w:r>
    </w:p>
    <w:p w:rsidR="004019EA" w:rsidRPr="004019EA" w:rsidRDefault="004019EA" w:rsidP="004019EA">
      <w:pPr>
        <w:spacing w:line="360" w:lineRule="auto"/>
        <w:jc w:val="both"/>
        <w:rPr>
          <w:rFonts w:ascii="David" w:eastAsia="Calibri" w:hAnsi="David" w:cs="David"/>
          <w:i/>
          <w:iCs/>
          <w:sz w:val="24"/>
          <w:szCs w:val="24"/>
        </w:rPr>
      </w:pPr>
      <w:r w:rsidRPr="004019EA">
        <w:rPr>
          <w:rFonts w:ascii="David" w:eastAsia="Calibri" w:hAnsi="David" w:cs="David"/>
          <w:sz w:val="24"/>
          <w:szCs w:val="24"/>
        </w:rPr>
        <w:t xml:space="preserve">                   Jerusalem', Holum K.G and Lapin H. (ed.)</w:t>
      </w:r>
      <w:r w:rsidRPr="004019EA">
        <w:rPr>
          <w:rFonts w:ascii="David" w:eastAsia="Calibri" w:hAnsi="David" w:cs="David"/>
          <w:i/>
          <w:iCs/>
          <w:sz w:val="24"/>
          <w:szCs w:val="24"/>
        </w:rPr>
        <w:t xml:space="preserve"> Shaping the Middle East Jews,     </w:t>
      </w:r>
    </w:p>
    <w:p w:rsidR="004019EA" w:rsidRPr="004019EA" w:rsidRDefault="004019EA" w:rsidP="004019EA">
      <w:pPr>
        <w:spacing w:line="360" w:lineRule="auto"/>
        <w:jc w:val="both"/>
        <w:rPr>
          <w:rFonts w:ascii="David" w:eastAsia="Calibri" w:hAnsi="David" w:cs="David"/>
          <w:sz w:val="24"/>
          <w:szCs w:val="24"/>
        </w:rPr>
      </w:pPr>
      <w:r w:rsidRPr="004019EA">
        <w:rPr>
          <w:rFonts w:ascii="David" w:eastAsia="Calibri" w:hAnsi="David" w:cs="David"/>
          <w:i/>
          <w:iCs/>
          <w:sz w:val="24"/>
          <w:szCs w:val="24"/>
        </w:rPr>
        <w:t xml:space="preserve">                  Christians, and Muslims in an Age of Transition 400-800 C.E</w:t>
      </w:r>
      <w:r w:rsidRPr="004019EA">
        <w:rPr>
          <w:rFonts w:ascii="David" w:eastAsia="Calibri" w:hAnsi="David" w:cs="David"/>
          <w:sz w:val="24"/>
          <w:szCs w:val="24"/>
        </w:rPr>
        <w:t xml:space="preserve">. Maryland.  </w:t>
      </w:r>
    </w:p>
    <w:p w:rsidR="004019EA" w:rsidRPr="004019EA" w:rsidRDefault="004019EA" w:rsidP="004019EA">
      <w:pPr>
        <w:spacing w:line="360" w:lineRule="auto"/>
        <w:jc w:val="both"/>
        <w:rPr>
          <w:rFonts w:ascii="David" w:eastAsia="Calibri" w:hAnsi="David" w:cs="David"/>
          <w:sz w:val="24"/>
          <w:szCs w:val="24"/>
        </w:rPr>
      </w:pPr>
      <w:r w:rsidRPr="004019EA">
        <w:rPr>
          <w:rFonts w:ascii="David" w:eastAsia="Calibri" w:hAnsi="David" w:cs="David"/>
          <w:sz w:val="24"/>
          <w:szCs w:val="24"/>
        </w:rPr>
        <w:t xml:space="preserve">                  pp.85- 112</w:t>
      </w:r>
    </w:p>
    <w:p w:rsidR="00866EFB" w:rsidRPr="00866EFB" w:rsidRDefault="00866EFB" w:rsidP="00866EFB">
      <w:pPr>
        <w:spacing w:line="360" w:lineRule="auto"/>
        <w:jc w:val="both"/>
        <w:rPr>
          <w:rFonts w:ascii="David" w:eastAsia="Calibri" w:hAnsi="David" w:cs="David"/>
          <w:sz w:val="24"/>
          <w:szCs w:val="24"/>
        </w:rPr>
      </w:pPr>
      <w:r w:rsidRPr="00866EFB">
        <w:rPr>
          <w:rFonts w:ascii="David" w:eastAsia="Calibri" w:hAnsi="David" w:cs="David"/>
          <w:sz w:val="24"/>
          <w:szCs w:val="24"/>
        </w:rPr>
        <w:t xml:space="preserve">Patrich J. 2011. ‘The impact of the Muslim Conquest on monasticism in the Desert of </w:t>
      </w:r>
    </w:p>
    <w:p w:rsidR="00866EFB" w:rsidRPr="00866EFB" w:rsidRDefault="00866EFB" w:rsidP="00866EFB">
      <w:pPr>
        <w:spacing w:line="360" w:lineRule="auto"/>
        <w:jc w:val="both"/>
        <w:rPr>
          <w:rFonts w:ascii="David" w:eastAsia="Calibri" w:hAnsi="David" w:cs="David"/>
          <w:sz w:val="24"/>
          <w:szCs w:val="24"/>
        </w:rPr>
      </w:pPr>
      <w:r w:rsidRPr="00866EFB">
        <w:rPr>
          <w:rFonts w:ascii="David" w:eastAsia="Calibri" w:hAnsi="David" w:cs="David"/>
          <w:sz w:val="24"/>
          <w:szCs w:val="24"/>
        </w:rPr>
        <w:t xml:space="preserve">            Jersualem’, in A. Borrut, M. Debié, A. Papconstantinou, D. Pieri and J.O.  </w:t>
      </w:r>
    </w:p>
    <w:p w:rsidR="00866EFB" w:rsidRPr="00866EFB" w:rsidRDefault="00866EFB" w:rsidP="00866EFB">
      <w:pPr>
        <w:spacing w:line="360" w:lineRule="auto"/>
        <w:jc w:val="both"/>
        <w:rPr>
          <w:rFonts w:ascii="David" w:eastAsia="Calibri" w:hAnsi="David" w:cs="David"/>
          <w:i/>
          <w:iCs/>
          <w:sz w:val="24"/>
          <w:szCs w:val="24"/>
        </w:rPr>
      </w:pPr>
      <w:r w:rsidRPr="00866EFB">
        <w:rPr>
          <w:rFonts w:ascii="David" w:eastAsia="Calibri" w:hAnsi="David" w:cs="David"/>
          <w:sz w:val="24"/>
          <w:szCs w:val="24"/>
        </w:rPr>
        <w:t xml:space="preserve">            Sodini (eds.) </w:t>
      </w:r>
      <w:r w:rsidRPr="00866EFB">
        <w:rPr>
          <w:rFonts w:ascii="David" w:eastAsia="Calibri" w:hAnsi="David" w:cs="David"/>
          <w:i/>
          <w:iCs/>
          <w:sz w:val="24"/>
          <w:szCs w:val="24"/>
        </w:rPr>
        <w:t xml:space="preserve">Le Proche-Orient de Justinien aux Abbassides: peuplement et  </w:t>
      </w:r>
    </w:p>
    <w:p w:rsidR="00866EFB" w:rsidRPr="00866EFB" w:rsidRDefault="00866EFB" w:rsidP="00866EFB">
      <w:pPr>
        <w:spacing w:line="360" w:lineRule="auto"/>
        <w:jc w:val="both"/>
        <w:rPr>
          <w:rFonts w:ascii="David" w:eastAsia="Calibri" w:hAnsi="David" w:cs="David"/>
          <w:i/>
          <w:iCs/>
          <w:sz w:val="24"/>
          <w:szCs w:val="24"/>
        </w:rPr>
      </w:pPr>
      <w:r w:rsidRPr="00866EFB">
        <w:rPr>
          <w:rFonts w:ascii="David" w:eastAsia="Calibri" w:hAnsi="David" w:cs="David"/>
          <w:i/>
          <w:iCs/>
          <w:sz w:val="24"/>
          <w:szCs w:val="24"/>
        </w:rPr>
        <w:t xml:space="preserve">           dynamique spatiales continuités de l'occupation entre les périodes byzantine et  </w:t>
      </w:r>
    </w:p>
    <w:p w:rsidR="00866EFB" w:rsidRPr="00866EFB" w:rsidRDefault="00866EFB" w:rsidP="00866EFB">
      <w:pPr>
        <w:spacing w:line="360" w:lineRule="auto"/>
        <w:jc w:val="both"/>
        <w:rPr>
          <w:rFonts w:ascii="David" w:eastAsia="Calibri" w:hAnsi="David" w:cs="David"/>
          <w:sz w:val="24"/>
          <w:szCs w:val="24"/>
        </w:rPr>
      </w:pPr>
      <w:r w:rsidRPr="00866EFB">
        <w:rPr>
          <w:rFonts w:ascii="David" w:eastAsia="Calibri" w:hAnsi="David" w:cs="David"/>
          <w:i/>
          <w:iCs/>
          <w:sz w:val="24"/>
          <w:szCs w:val="24"/>
        </w:rPr>
        <w:t xml:space="preserve">           abbasside au Proche-Orient, VIIe-IXe siècles, Paris, 18-20 octobre 200</w:t>
      </w:r>
      <w:r w:rsidRPr="00866EFB">
        <w:rPr>
          <w:rFonts w:ascii="David" w:eastAsia="Calibri" w:hAnsi="David" w:cs="David"/>
          <w:sz w:val="24"/>
          <w:szCs w:val="24"/>
        </w:rPr>
        <w:t xml:space="preserve"> ” ,  </w:t>
      </w:r>
    </w:p>
    <w:p w:rsidR="00866EFB" w:rsidRPr="00866EFB" w:rsidRDefault="00866EFB" w:rsidP="00866EFB">
      <w:pPr>
        <w:spacing w:line="360" w:lineRule="auto"/>
        <w:jc w:val="both"/>
        <w:rPr>
          <w:rFonts w:ascii="David" w:eastAsia="Calibri" w:hAnsi="David" w:cs="David"/>
          <w:sz w:val="24"/>
          <w:szCs w:val="24"/>
        </w:rPr>
      </w:pPr>
      <w:r w:rsidRPr="00866EFB">
        <w:rPr>
          <w:rFonts w:ascii="David" w:eastAsia="Calibri" w:hAnsi="David" w:cs="David"/>
          <w:sz w:val="24"/>
          <w:szCs w:val="24"/>
        </w:rPr>
        <w:t xml:space="preserve">            Turnhout, 205-218.</w:t>
      </w:r>
    </w:p>
    <w:p w:rsidR="00866EFB" w:rsidRPr="00866EFB" w:rsidRDefault="00866EFB" w:rsidP="00866EFB">
      <w:pPr>
        <w:spacing w:line="360" w:lineRule="auto"/>
        <w:jc w:val="both"/>
        <w:rPr>
          <w:rFonts w:ascii="David" w:eastAsia="Calibri" w:hAnsi="David" w:cs="David"/>
          <w:i/>
          <w:iCs/>
          <w:sz w:val="24"/>
          <w:szCs w:val="24"/>
        </w:rPr>
      </w:pPr>
      <w:r w:rsidRPr="00866EFB">
        <w:rPr>
          <w:rFonts w:ascii="David" w:eastAsia="Calibri" w:hAnsi="David" w:cs="David"/>
          <w:sz w:val="24"/>
          <w:szCs w:val="24"/>
        </w:rPr>
        <w:t xml:space="preserve">Reynolds D. 2013.  </w:t>
      </w:r>
      <w:r w:rsidRPr="00866EFB">
        <w:rPr>
          <w:rFonts w:ascii="David" w:eastAsia="Calibri" w:hAnsi="David" w:cs="David"/>
          <w:i/>
          <w:iCs/>
          <w:sz w:val="24"/>
          <w:szCs w:val="24"/>
        </w:rPr>
        <w:t xml:space="preserve">Monasticim and Christian Pilgrimage in Early Islamic Palestine    </w:t>
      </w:r>
    </w:p>
    <w:p w:rsidR="00866EFB" w:rsidRPr="00866EFB" w:rsidRDefault="00866EFB" w:rsidP="00866EFB">
      <w:pPr>
        <w:spacing w:line="360" w:lineRule="auto"/>
        <w:jc w:val="both"/>
        <w:rPr>
          <w:rFonts w:ascii="David" w:eastAsia="Calibri" w:hAnsi="David" w:cs="David"/>
          <w:sz w:val="24"/>
          <w:szCs w:val="24"/>
        </w:rPr>
      </w:pPr>
      <w:r w:rsidRPr="00866EFB">
        <w:rPr>
          <w:rFonts w:ascii="David" w:eastAsia="Calibri" w:hAnsi="David" w:cs="David"/>
          <w:i/>
          <w:iCs/>
          <w:sz w:val="24"/>
          <w:szCs w:val="24"/>
        </w:rPr>
        <w:lastRenderedPageBreak/>
        <w:t xml:space="preserve">             c.614 – c.950.</w:t>
      </w:r>
      <w:r w:rsidRPr="00866EFB">
        <w:rPr>
          <w:rFonts w:ascii="David" w:eastAsia="Calibri" w:hAnsi="David" w:cs="David"/>
          <w:sz w:val="24"/>
          <w:szCs w:val="24"/>
        </w:rPr>
        <w:t xml:space="preserve"> University of Birmingham</w:t>
      </w:r>
    </w:p>
    <w:p w:rsidR="00866EFB" w:rsidRPr="00866EFB" w:rsidRDefault="00866EFB" w:rsidP="00866EFB">
      <w:pPr>
        <w:spacing w:line="360" w:lineRule="auto"/>
        <w:jc w:val="both"/>
        <w:rPr>
          <w:rFonts w:ascii="David" w:eastAsia="Calibri" w:hAnsi="David" w:cs="David"/>
          <w:i/>
          <w:iCs/>
          <w:sz w:val="24"/>
          <w:szCs w:val="24"/>
          <w:lang w:val="en-GB"/>
        </w:rPr>
      </w:pPr>
      <w:bookmarkStart w:id="4" w:name="_Hlk26612886"/>
      <w:r w:rsidRPr="00866EFB">
        <w:rPr>
          <w:rFonts w:ascii="David" w:eastAsia="Calibri" w:hAnsi="David" w:cs="David"/>
          <w:sz w:val="24"/>
          <w:szCs w:val="24"/>
          <w:lang w:val="en-GB"/>
        </w:rPr>
        <w:t>Robinson E. &amp; Smith E. 1841</w:t>
      </w:r>
      <w:bookmarkEnd w:id="4"/>
      <w:r w:rsidRPr="00866EFB">
        <w:rPr>
          <w:rFonts w:ascii="David" w:eastAsia="Calibri" w:hAnsi="David" w:cs="David"/>
          <w:sz w:val="24"/>
          <w:szCs w:val="24"/>
          <w:lang w:val="en-GB"/>
        </w:rPr>
        <w:t xml:space="preserve">. </w:t>
      </w:r>
      <w:r w:rsidRPr="00866EFB">
        <w:rPr>
          <w:rFonts w:ascii="David" w:eastAsia="Calibri" w:hAnsi="David" w:cs="David"/>
          <w:i/>
          <w:iCs/>
          <w:sz w:val="24"/>
          <w:szCs w:val="24"/>
          <w:lang w:val="en-GB"/>
        </w:rPr>
        <w:t xml:space="preserve">Biblical Researches in Palestine, Mount Sinai &amp; Arabia   </w:t>
      </w:r>
    </w:p>
    <w:p w:rsidR="00866EFB" w:rsidRPr="00866EFB" w:rsidRDefault="00866EFB" w:rsidP="00866EFB">
      <w:pPr>
        <w:spacing w:line="360" w:lineRule="auto"/>
        <w:jc w:val="both"/>
        <w:rPr>
          <w:rFonts w:ascii="David" w:eastAsia="Calibri" w:hAnsi="David" w:cs="David"/>
          <w:sz w:val="24"/>
          <w:szCs w:val="24"/>
          <w:lang w:val="en-GB"/>
        </w:rPr>
      </w:pPr>
      <w:r w:rsidRPr="00866EFB">
        <w:rPr>
          <w:rFonts w:ascii="David" w:eastAsia="Calibri" w:hAnsi="David" w:cs="David"/>
          <w:i/>
          <w:iCs/>
          <w:sz w:val="24"/>
          <w:szCs w:val="24"/>
          <w:lang w:val="en-GB"/>
        </w:rPr>
        <w:t xml:space="preserve">       Petrae.  </w:t>
      </w:r>
      <w:r w:rsidRPr="00866EFB">
        <w:rPr>
          <w:rFonts w:ascii="David" w:eastAsia="Calibri" w:hAnsi="David" w:cs="David"/>
          <w:sz w:val="24"/>
          <w:szCs w:val="24"/>
          <w:lang w:val="en-GB"/>
        </w:rPr>
        <w:t>A Jurnal of Travels in the Year 1839, I–III, London.</w:t>
      </w:r>
    </w:p>
    <w:p w:rsidR="00866EFB" w:rsidRPr="00866EFB" w:rsidRDefault="00866EFB" w:rsidP="00866EFB">
      <w:pPr>
        <w:spacing w:line="360" w:lineRule="auto"/>
        <w:jc w:val="both"/>
        <w:rPr>
          <w:rFonts w:ascii="David" w:eastAsia="Calibri" w:hAnsi="David" w:cs="David"/>
          <w:i/>
          <w:iCs/>
          <w:sz w:val="24"/>
          <w:szCs w:val="24"/>
        </w:rPr>
      </w:pPr>
      <w:r w:rsidRPr="00866EFB">
        <w:rPr>
          <w:rFonts w:ascii="David" w:eastAsia="Calibri" w:hAnsi="David" w:cs="David"/>
          <w:sz w:val="24"/>
          <w:szCs w:val="24"/>
        </w:rPr>
        <w:t xml:space="preserve">Schick R. 1995. </w:t>
      </w:r>
      <w:r w:rsidRPr="00866EFB">
        <w:rPr>
          <w:rFonts w:ascii="David" w:eastAsia="Calibri" w:hAnsi="David" w:cs="David"/>
          <w:i/>
          <w:iCs/>
          <w:sz w:val="24"/>
          <w:szCs w:val="24"/>
        </w:rPr>
        <w:t xml:space="preserve">'The Christian Communities of Palestine from Byzantine to Islamic </w:t>
      </w:r>
    </w:p>
    <w:p w:rsidR="00866EFB" w:rsidRPr="00866EFB" w:rsidRDefault="00866EFB" w:rsidP="00866EFB">
      <w:pPr>
        <w:spacing w:line="360" w:lineRule="auto"/>
        <w:jc w:val="both"/>
        <w:rPr>
          <w:rFonts w:ascii="David" w:eastAsia="Calibri" w:hAnsi="David" w:cs="David"/>
          <w:i/>
          <w:iCs/>
          <w:sz w:val="24"/>
          <w:szCs w:val="24"/>
        </w:rPr>
      </w:pPr>
      <w:r w:rsidRPr="00866EFB">
        <w:rPr>
          <w:rFonts w:ascii="David" w:eastAsia="Calibri" w:hAnsi="David" w:cs="David"/>
          <w:i/>
          <w:iCs/>
          <w:sz w:val="24"/>
          <w:szCs w:val="24"/>
        </w:rPr>
        <w:t xml:space="preserve">        Rule: An Historical and Archaeological Study' (Studies in Late Antiquity and Early </w:t>
      </w:r>
    </w:p>
    <w:p w:rsidR="00866EFB" w:rsidRPr="00866EFB" w:rsidRDefault="00866EFB" w:rsidP="00866EFB">
      <w:pPr>
        <w:spacing w:line="360" w:lineRule="auto"/>
        <w:jc w:val="both"/>
        <w:rPr>
          <w:rFonts w:ascii="David" w:eastAsia="Calibri" w:hAnsi="David" w:cs="David"/>
          <w:sz w:val="24"/>
          <w:szCs w:val="24"/>
        </w:rPr>
      </w:pPr>
    </w:p>
    <w:p w:rsidR="00866EFB" w:rsidRPr="00866EFB" w:rsidRDefault="00866EFB" w:rsidP="00866EFB">
      <w:pPr>
        <w:bidi/>
        <w:spacing w:line="360" w:lineRule="auto"/>
        <w:jc w:val="both"/>
        <w:rPr>
          <w:rFonts w:ascii="David" w:eastAsia="Calibri" w:hAnsi="David" w:cs="David"/>
          <w:sz w:val="24"/>
          <w:szCs w:val="24"/>
          <w:rtl/>
        </w:rPr>
      </w:pPr>
    </w:p>
    <w:p w:rsidR="00866EFB" w:rsidRPr="00866EFB" w:rsidRDefault="00866EFB" w:rsidP="00866EFB">
      <w:pPr>
        <w:bidi/>
        <w:spacing w:line="360" w:lineRule="auto"/>
        <w:jc w:val="both"/>
        <w:rPr>
          <w:rFonts w:ascii="David" w:eastAsia="Calibri" w:hAnsi="David" w:cs="David"/>
          <w:sz w:val="24"/>
          <w:szCs w:val="24"/>
          <w:rtl/>
        </w:rPr>
      </w:pPr>
    </w:p>
    <w:p w:rsidR="00866EFB" w:rsidRPr="00866EFB" w:rsidRDefault="00866EFB" w:rsidP="00866EFB">
      <w:pPr>
        <w:bidi/>
        <w:spacing w:line="360" w:lineRule="auto"/>
        <w:jc w:val="both"/>
        <w:rPr>
          <w:rFonts w:ascii="David" w:eastAsia="Calibri" w:hAnsi="David" w:cs="David"/>
          <w:sz w:val="24"/>
          <w:szCs w:val="24"/>
          <w:rtl/>
        </w:rPr>
      </w:pPr>
    </w:p>
    <w:p w:rsidR="00866EFB" w:rsidRPr="00F81A31" w:rsidRDefault="00866EFB" w:rsidP="00866EFB">
      <w:pPr>
        <w:bidi/>
        <w:spacing w:line="360" w:lineRule="auto"/>
        <w:jc w:val="both"/>
        <w:rPr>
          <w:rFonts w:ascii="David" w:hAnsi="David" w:cs="David"/>
          <w:sz w:val="24"/>
          <w:szCs w:val="24"/>
        </w:rPr>
      </w:pPr>
    </w:p>
    <w:sectPr w:rsidR="00866EFB" w:rsidRPr="00F81A31" w:rsidSect="00D722CF">
      <w:headerReference w:type="default" r:id="rId9"/>
      <w:headerReference w:type="first" r:id="rId10"/>
      <w:pgSz w:w="11906" w:h="16838" w:code="9"/>
      <w:pgMar w:top="1440" w:right="1440" w:bottom="1440" w:left="1440" w:header="706" w:footer="706" w:gutter="0"/>
      <w:pgNumType w:fmt="numberInDash"/>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13F" w:rsidRDefault="003B013F" w:rsidP="00DB5232">
      <w:pPr>
        <w:spacing w:after="0" w:line="240" w:lineRule="auto"/>
      </w:pPr>
      <w:r>
        <w:separator/>
      </w:r>
    </w:p>
  </w:endnote>
  <w:endnote w:type="continuationSeparator" w:id="0">
    <w:p w:rsidR="003B013F" w:rsidRDefault="003B013F"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13F" w:rsidRDefault="003B013F" w:rsidP="00DB5232">
      <w:pPr>
        <w:spacing w:after="0" w:line="240" w:lineRule="auto"/>
      </w:pPr>
      <w:r>
        <w:separator/>
      </w:r>
    </w:p>
  </w:footnote>
  <w:footnote w:type="continuationSeparator" w:id="0">
    <w:p w:rsidR="003B013F" w:rsidRDefault="003B013F" w:rsidP="00DB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avid" w:hAnsi="David" w:cs="David"/>
        <w:sz w:val="24"/>
        <w:szCs w:val="24"/>
      </w:rPr>
      <w:id w:val="60076188"/>
      <w:docPartObj>
        <w:docPartGallery w:val="Page Numbers (Top of Page)"/>
        <w:docPartUnique/>
      </w:docPartObj>
    </w:sdtPr>
    <w:sdtEndPr/>
    <w:sdtContent>
      <w:p w:rsidR="0098351D" w:rsidRPr="00D722CF" w:rsidRDefault="0098351D">
        <w:pPr>
          <w:pStyle w:val="a4"/>
          <w:jc w:val="center"/>
          <w:rPr>
            <w:rFonts w:ascii="David" w:hAnsi="David" w:cs="David"/>
            <w:sz w:val="24"/>
            <w:szCs w:val="24"/>
          </w:rPr>
        </w:pPr>
        <w:r w:rsidRPr="00D722CF">
          <w:rPr>
            <w:rFonts w:ascii="David" w:hAnsi="David" w:cs="David"/>
            <w:sz w:val="24"/>
            <w:szCs w:val="24"/>
          </w:rPr>
          <w:fldChar w:fldCharType="begin"/>
        </w:r>
        <w:r w:rsidRPr="00D722CF">
          <w:rPr>
            <w:rFonts w:ascii="David" w:hAnsi="David" w:cs="David"/>
            <w:sz w:val="24"/>
            <w:szCs w:val="24"/>
          </w:rPr>
          <w:instrText xml:space="preserve"> PAGE   \* MERGEFORMAT </w:instrText>
        </w:r>
        <w:r w:rsidRPr="00D722CF">
          <w:rPr>
            <w:rFonts w:ascii="David" w:hAnsi="David" w:cs="David"/>
            <w:sz w:val="24"/>
            <w:szCs w:val="24"/>
          </w:rPr>
          <w:fldChar w:fldCharType="separate"/>
        </w:r>
        <w:r w:rsidR="00356024" w:rsidRPr="00356024">
          <w:rPr>
            <w:rFonts w:ascii="David" w:hAnsi="David" w:cs="David"/>
            <w:noProof/>
            <w:sz w:val="24"/>
            <w:szCs w:val="24"/>
            <w:lang w:val="he-IL"/>
          </w:rPr>
          <w:t>-</w:t>
        </w:r>
        <w:r w:rsidR="00356024">
          <w:rPr>
            <w:rFonts w:ascii="David" w:hAnsi="David" w:cs="David"/>
            <w:noProof/>
            <w:sz w:val="24"/>
            <w:szCs w:val="24"/>
          </w:rPr>
          <w:t xml:space="preserve"> 4 -</w:t>
        </w:r>
        <w:r w:rsidRPr="00D722CF">
          <w:rPr>
            <w:rFonts w:ascii="David" w:hAnsi="David" w:cs="David"/>
            <w:sz w:val="24"/>
            <w:szCs w:val="24"/>
          </w:rPr>
          <w:fldChar w:fldCharType="end"/>
        </w:r>
      </w:p>
    </w:sdtContent>
  </w:sdt>
  <w:p w:rsidR="0098351D" w:rsidRDefault="009835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51D" w:rsidRDefault="0098351D">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23FB3"/>
    <w:multiLevelType w:val="hybridMultilevel"/>
    <w:tmpl w:val="A0B4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30230"/>
    <w:multiLevelType w:val="hybridMultilevel"/>
    <w:tmpl w:val="DF30DCDA"/>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A0714"/>
    <w:multiLevelType w:val="hybridMultilevel"/>
    <w:tmpl w:val="8E5A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36C65"/>
    <w:multiLevelType w:val="hybridMultilevel"/>
    <w:tmpl w:val="956A6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722FD"/>
    <w:multiLevelType w:val="hybridMultilevel"/>
    <w:tmpl w:val="D3D04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F02E5"/>
    <w:multiLevelType w:val="hybridMultilevel"/>
    <w:tmpl w:val="5456F526"/>
    <w:lvl w:ilvl="0" w:tplc="04090013">
      <w:start w:val="1"/>
      <w:numFmt w:val="hebrew1"/>
      <w:lvlText w:val="%1."/>
      <w:lvlJc w:val="center"/>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A0C69"/>
    <w:multiLevelType w:val="hybridMultilevel"/>
    <w:tmpl w:val="E8F459FE"/>
    <w:lvl w:ilvl="0" w:tplc="C78CFDF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C7700A"/>
    <w:multiLevelType w:val="hybridMultilevel"/>
    <w:tmpl w:val="D39C8354"/>
    <w:lvl w:ilvl="0" w:tplc="E214C69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6F44CD"/>
    <w:multiLevelType w:val="hybridMultilevel"/>
    <w:tmpl w:val="A3822BE2"/>
    <w:lvl w:ilvl="0" w:tplc="0700C4A6">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63E64"/>
    <w:multiLevelType w:val="hybridMultilevel"/>
    <w:tmpl w:val="89DA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F3A72"/>
    <w:multiLevelType w:val="hybridMultilevel"/>
    <w:tmpl w:val="C958CA5A"/>
    <w:lvl w:ilvl="0" w:tplc="E214C6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D60DA"/>
    <w:multiLevelType w:val="hybridMultilevel"/>
    <w:tmpl w:val="31B68B96"/>
    <w:lvl w:ilvl="0" w:tplc="E214C6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17"/>
  </w:num>
  <w:num w:numId="5">
    <w:abstractNumId w:val="0"/>
  </w:num>
  <w:num w:numId="6">
    <w:abstractNumId w:val="19"/>
  </w:num>
  <w:num w:numId="7">
    <w:abstractNumId w:val="1"/>
  </w:num>
  <w:num w:numId="8">
    <w:abstractNumId w:val="18"/>
  </w:num>
  <w:num w:numId="9">
    <w:abstractNumId w:val="6"/>
  </w:num>
  <w:num w:numId="10">
    <w:abstractNumId w:val="10"/>
  </w:num>
  <w:num w:numId="11">
    <w:abstractNumId w:val="14"/>
  </w:num>
  <w:num w:numId="12">
    <w:abstractNumId w:val="16"/>
  </w:num>
  <w:num w:numId="13">
    <w:abstractNumId w:val="15"/>
  </w:num>
  <w:num w:numId="14">
    <w:abstractNumId w:val="11"/>
  </w:num>
  <w:num w:numId="15">
    <w:abstractNumId w:val="12"/>
  </w:num>
  <w:num w:numId="16">
    <w:abstractNumId w:val="12"/>
    <w:lvlOverride w:ilvl="0">
      <w:startOverride w:val="1"/>
    </w:lvlOverride>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7"/>
  </w:num>
  <w:num w:numId="35">
    <w:abstractNumId w:val="3"/>
  </w:num>
  <w:num w:numId="36">
    <w:abstractNumId w:val="5"/>
  </w:num>
  <w:num w:numId="37">
    <w:abstractNumId w:val="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8"/>
    <w:rsid w:val="00001EC0"/>
    <w:rsid w:val="00003DCB"/>
    <w:rsid w:val="00010D62"/>
    <w:rsid w:val="00013C84"/>
    <w:rsid w:val="00043524"/>
    <w:rsid w:val="0004547C"/>
    <w:rsid w:val="0005122F"/>
    <w:rsid w:val="00051357"/>
    <w:rsid w:val="00057B61"/>
    <w:rsid w:val="00064024"/>
    <w:rsid w:val="000717F7"/>
    <w:rsid w:val="00092AB4"/>
    <w:rsid w:val="00096BDF"/>
    <w:rsid w:val="000A7E35"/>
    <w:rsid w:val="000B2A55"/>
    <w:rsid w:val="000C207D"/>
    <w:rsid w:val="000C580E"/>
    <w:rsid w:val="000C7834"/>
    <w:rsid w:val="000E257A"/>
    <w:rsid w:val="000F6B0D"/>
    <w:rsid w:val="00100308"/>
    <w:rsid w:val="00105977"/>
    <w:rsid w:val="00110385"/>
    <w:rsid w:val="00111970"/>
    <w:rsid w:val="001153D0"/>
    <w:rsid w:val="00124ED0"/>
    <w:rsid w:val="00135CDB"/>
    <w:rsid w:val="001404CC"/>
    <w:rsid w:val="00146E12"/>
    <w:rsid w:val="00152454"/>
    <w:rsid w:val="001613E5"/>
    <w:rsid w:val="00161B61"/>
    <w:rsid w:val="00162D7E"/>
    <w:rsid w:val="001775F1"/>
    <w:rsid w:val="001813AC"/>
    <w:rsid w:val="00192A36"/>
    <w:rsid w:val="001A1F13"/>
    <w:rsid w:val="001A3B9C"/>
    <w:rsid w:val="001B562D"/>
    <w:rsid w:val="001B6BAE"/>
    <w:rsid w:val="001C4FE3"/>
    <w:rsid w:val="001D0171"/>
    <w:rsid w:val="001D1814"/>
    <w:rsid w:val="001D1C18"/>
    <w:rsid w:val="001D5897"/>
    <w:rsid w:val="001E60C6"/>
    <w:rsid w:val="001F225D"/>
    <w:rsid w:val="00205368"/>
    <w:rsid w:val="00212C51"/>
    <w:rsid w:val="00212D5E"/>
    <w:rsid w:val="0021679D"/>
    <w:rsid w:val="00227802"/>
    <w:rsid w:val="00227DB1"/>
    <w:rsid w:val="00247006"/>
    <w:rsid w:val="00257002"/>
    <w:rsid w:val="00261819"/>
    <w:rsid w:val="0026236B"/>
    <w:rsid w:val="00265034"/>
    <w:rsid w:val="00265CB4"/>
    <w:rsid w:val="00270DFB"/>
    <w:rsid w:val="00281752"/>
    <w:rsid w:val="00284E2A"/>
    <w:rsid w:val="00286A6E"/>
    <w:rsid w:val="00294919"/>
    <w:rsid w:val="002952D8"/>
    <w:rsid w:val="002B0827"/>
    <w:rsid w:val="002B5FCD"/>
    <w:rsid w:val="002C3247"/>
    <w:rsid w:val="002C58C5"/>
    <w:rsid w:val="002C625B"/>
    <w:rsid w:val="002D1E73"/>
    <w:rsid w:val="002D4A39"/>
    <w:rsid w:val="002D4D37"/>
    <w:rsid w:val="002D58D4"/>
    <w:rsid w:val="002D6E38"/>
    <w:rsid w:val="002E56F1"/>
    <w:rsid w:val="002F6289"/>
    <w:rsid w:val="002F67E7"/>
    <w:rsid w:val="00310A43"/>
    <w:rsid w:val="003300D8"/>
    <w:rsid w:val="0033251C"/>
    <w:rsid w:val="00333803"/>
    <w:rsid w:val="00340218"/>
    <w:rsid w:val="0034292B"/>
    <w:rsid w:val="00345A29"/>
    <w:rsid w:val="0035460A"/>
    <w:rsid w:val="00356024"/>
    <w:rsid w:val="00364043"/>
    <w:rsid w:val="003661C6"/>
    <w:rsid w:val="00366B60"/>
    <w:rsid w:val="00367E2B"/>
    <w:rsid w:val="00375B92"/>
    <w:rsid w:val="00382699"/>
    <w:rsid w:val="0038360C"/>
    <w:rsid w:val="00385E9D"/>
    <w:rsid w:val="003A43D2"/>
    <w:rsid w:val="003B013F"/>
    <w:rsid w:val="003B36C5"/>
    <w:rsid w:val="003B7BE9"/>
    <w:rsid w:val="003C2AF7"/>
    <w:rsid w:val="003D0B31"/>
    <w:rsid w:val="003D1CBD"/>
    <w:rsid w:val="003D6B4B"/>
    <w:rsid w:val="003D796B"/>
    <w:rsid w:val="003E0EF6"/>
    <w:rsid w:val="003E1361"/>
    <w:rsid w:val="003E6BAA"/>
    <w:rsid w:val="003F0D88"/>
    <w:rsid w:val="003F4A78"/>
    <w:rsid w:val="003F7F46"/>
    <w:rsid w:val="004002E7"/>
    <w:rsid w:val="004019EA"/>
    <w:rsid w:val="00407F2D"/>
    <w:rsid w:val="00422870"/>
    <w:rsid w:val="004240E2"/>
    <w:rsid w:val="004250F7"/>
    <w:rsid w:val="00440E1D"/>
    <w:rsid w:val="00441196"/>
    <w:rsid w:val="0044685B"/>
    <w:rsid w:val="00447C2D"/>
    <w:rsid w:val="00457DE3"/>
    <w:rsid w:val="00462D12"/>
    <w:rsid w:val="00463F3E"/>
    <w:rsid w:val="004738FD"/>
    <w:rsid w:val="004814BA"/>
    <w:rsid w:val="004835BB"/>
    <w:rsid w:val="0048779B"/>
    <w:rsid w:val="00487A7C"/>
    <w:rsid w:val="004E0BD3"/>
    <w:rsid w:val="004F1418"/>
    <w:rsid w:val="005029AD"/>
    <w:rsid w:val="00505BE0"/>
    <w:rsid w:val="005161A6"/>
    <w:rsid w:val="005376D6"/>
    <w:rsid w:val="005417C5"/>
    <w:rsid w:val="005503D4"/>
    <w:rsid w:val="005505CD"/>
    <w:rsid w:val="005521AA"/>
    <w:rsid w:val="0056139E"/>
    <w:rsid w:val="00566773"/>
    <w:rsid w:val="00572753"/>
    <w:rsid w:val="005839A6"/>
    <w:rsid w:val="005A0C44"/>
    <w:rsid w:val="005A39A0"/>
    <w:rsid w:val="005B22D1"/>
    <w:rsid w:val="005B23E1"/>
    <w:rsid w:val="005C553A"/>
    <w:rsid w:val="005D19DC"/>
    <w:rsid w:val="005D2CE0"/>
    <w:rsid w:val="0060486A"/>
    <w:rsid w:val="00613E51"/>
    <w:rsid w:val="00614723"/>
    <w:rsid w:val="00616D9C"/>
    <w:rsid w:val="00622442"/>
    <w:rsid w:val="00644E63"/>
    <w:rsid w:val="0064650C"/>
    <w:rsid w:val="006513CA"/>
    <w:rsid w:val="006532DF"/>
    <w:rsid w:val="00663212"/>
    <w:rsid w:val="00664AC3"/>
    <w:rsid w:val="00664DC8"/>
    <w:rsid w:val="00665A5C"/>
    <w:rsid w:val="006738A7"/>
    <w:rsid w:val="00683258"/>
    <w:rsid w:val="0068374E"/>
    <w:rsid w:val="006855B0"/>
    <w:rsid w:val="006A0630"/>
    <w:rsid w:val="006A457A"/>
    <w:rsid w:val="006A4CC7"/>
    <w:rsid w:val="006A63DB"/>
    <w:rsid w:val="006B005C"/>
    <w:rsid w:val="006B3012"/>
    <w:rsid w:val="006B43BB"/>
    <w:rsid w:val="006C7D0E"/>
    <w:rsid w:val="006D32C5"/>
    <w:rsid w:val="006D6842"/>
    <w:rsid w:val="006E385F"/>
    <w:rsid w:val="006E3D4E"/>
    <w:rsid w:val="006F1401"/>
    <w:rsid w:val="006F4353"/>
    <w:rsid w:val="006F61AE"/>
    <w:rsid w:val="0071205E"/>
    <w:rsid w:val="007135FE"/>
    <w:rsid w:val="007147D9"/>
    <w:rsid w:val="007176BA"/>
    <w:rsid w:val="0072720E"/>
    <w:rsid w:val="00751B9F"/>
    <w:rsid w:val="00753492"/>
    <w:rsid w:val="0075679C"/>
    <w:rsid w:val="00775BBB"/>
    <w:rsid w:val="00780435"/>
    <w:rsid w:val="00782104"/>
    <w:rsid w:val="00785944"/>
    <w:rsid w:val="00786035"/>
    <w:rsid w:val="00795B5B"/>
    <w:rsid w:val="00796BBA"/>
    <w:rsid w:val="007C50FF"/>
    <w:rsid w:val="007C5CEB"/>
    <w:rsid w:val="007D08E8"/>
    <w:rsid w:val="008007DC"/>
    <w:rsid w:val="00803E3C"/>
    <w:rsid w:val="00804B75"/>
    <w:rsid w:val="00807C95"/>
    <w:rsid w:val="00822676"/>
    <w:rsid w:val="00827DE1"/>
    <w:rsid w:val="00846ED1"/>
    <w:rsid w:val="008502C9"/>
    <w:rsid w:val="008522FF"/>
    <w:rsid w:val="00865A79"/>
    <w:rsid w:val="00866EFB"/>
    <w:rsid w:val="00871304"/>
    <w:rsid w:val="008740BF"/>
    <w:rsid w:val="0087525E"/>
    <w:rsid w:val="00895221"/>
    <w:rsid w:val="00897554"/>
    <w:rsid w:val="008B0335"/>
    <w:rsid w:val="008B046D"/>
    <w:rsid w:val="008B41E3"/>
    <w:rsid w:val="008C1C4C"/>
    <w:rsid w:val="008C1EDA"/>
    <w:rsid w:val="008C3DEB"/>
    <w:rsid w:val="008F1CB0"/>
    <w:rsid w:val="008F60F0"/>
    <w:rsid w:val="00900452"/>
    <w:rsid w:val="009042F5"/>
    <w:rsid w:val="009217CC"/>
    <w:rsid w:val="009346D1"/>
    <w:rsid w:val="00935A43"/>
    <w:rsid w:val="00942F34"/>
    <w:rsid w:val="00943AE5"/>
    <w:rsid w:val="00946DB0"/>
    <w:rsid w:val="009523CF"/>
    <w:rsid w:val="00952B94"/>
    <w:rsid w:val="00954ABA"/>
    <w:rsid w:val="009639C4"/>
    <w:rsid w:val="0097201D"/>
    <w:rsid w:val="00974583"/>
    <w:rsid w:val="00980CA4"/>
    <w:rsid w:val="0098351D"/>
    <w:rsid w:val="009910F5"/>
    <w:rsid w:val="009951C7"/>
    <w:rsid w:val="00996EC7"/>
    <w:rsid w:val="009A35FA"/>
    <w:rsid w:val="009B2E88"/>
    <w:rsid w:val="009B7B71"/>
    <w:rsid w:val="009D3F0E"/>
    <w:rsid w:val="009F067E"/>
    <w:rsid w:val="009F3CCD"/>
    <w:rsid w:val="00A020E7"/>
    <w:rsid w:val="00A05DF3"/>
    <w:rsid w:val="00A067E6"/>
    <w:rsid w:val="00A1026E"/>
    <w:rsid w:val="00A11E8A"/>
    <w:rsid w:val="00A133CA"/>
    <w:rsid w:val="00A15B94"/>
    <w:rsid w:val="00A166C6"/>
    <w:rsid w:val="00A32F66"/>
    <w:rsid w:val="00A40E55"/>
    <w:rsid w:val="00A410A5"/>
    <w:rsid w:val="00A43575"/>
    <w:rsid w:val="00A43D31"/>
    <w:rsid w:val="00A442BB"/>
    <w:rsid w:val="00A50F1F"/>
    <w:rsid w:val="00A6517B"/>
    <w:rsid w:val="00A66599"/>
    <w:rsid w:val="00A67E2F"/>
    <w:rsid w:val="00A746A8"/>
    <w:rsid w:val="00A86EDE"/>
    <w:rsid w:val="00A92D1B"/>
    <w:rsid w:val="00A97E6C"/>
    <w:rsid w:val="00AA5863"/>
    <w:rsid w:val="00AB62E4"/>
    <w:rsid w:val="00AD0449"/>
    <w:rsid w:val="00AE36B0"/>
    <w:rsid w:val="00AE36F5"/>
    <w:rsid w:val="00AF2006"/>
    <w:rsid w:val="00B04077"/>
    <w:rsid w:val="00B1642F"/>
    <w:rsid w:val="00B20409"/>
    <w:rsid w:val="00B21246"/>
    <w:rsid w:val="00B22A13"/>
    <w:rsid w:val="00B32ABB"/>
    <w:rsid w:val="00B332DE"/>
    <w:rsid w:val="00B3616B"/>
    <w:rsid w:val="00B36C00"/>
    <w:rsid w:val="00B42026"/>
    <w:rsid w:val="00B46F2B"/>
    <w:rsid w:val="00B472ED"/>
    <w:rsid w:val="00B501B2"/>
    <w:rsid w:val="00B50668"/>
    <w:rsid w:val="00B61BD5"/>
    <w:rsid w:val="00B61DF4"/>
    <w:rsid w:val="00B7351B"/>
    <w:rsid w:val="00B778E4"/>
    <w:rsid w:val="00B82298"/>
    <w:rsid w:val="00B9596F"/>
    <w:rsid w:val="00BA0B8D"/>
    <w:rsid w:val="00BB44ED"/>
    <w:rsid w:val="00BB6E3C"/>
    <w:rsid w:val="00BB72FC"/>
    <w:rsid w:val="00BB7F51"/>
    <w:rsid w:val="00BC0EEB"/>
    <w:rsid w:val="00BC4AD6"/>
    <w:rsid w:val="00BD2052"/>
    <w:rsid w:val="00BD66A1"/>
    <w:rsid w:val="00BE21FA"/>
    <w:rsid w:val="00BE60F5"/>
    <w:rsid w:val="00BF034C"/>
    <w:rsid w:val="00BF20C2"/>
    <w:rsid w:val="00BF31D5"/>
    <w:rsid w:val="00BF5237"/>
    <w:rsid w:val="00BF6683"/>
    <w:rsid w:val="00C01E68"/>
    <w:rsid w:val="00C10A41"/>
    <w:rsid w:val="00C12BE2"/>
    <w:rsid w:val="00C148DF"/>
    <w:rsid w:val="00C2125C"/>
    <w:rsid w:val="00C25A10"/>
    <w:rsid w:val="00C26EF3"/>
    <w:rsid w:val="00C4361C"/>
    <w:rsid w:val="00C43878"/>
    <w:rsid w:val="00C50C78"/>
    <w:rsid w:val="00C511ED"/>
    <w:rsid w:val="00C55450"/>
    <w:rsid w:val="00C63A4A"/>
    <w:rsid w:val="00C77C0C"/>
    <w:rsid w:val="00C94091"/>
    <w:rsid w:val="00CA42BF"/>
    <w:rsid w:val="00CB0BFD"/>
    <w:rsid w:val="00CB6EB6"/>
    <w:rsid w:val="00CC1944"/>
    <w:rsid w:val="00CC734F"/>
    <w:rsid w:val="00CC7ABD"/>
    <w:rsid w:val="00CD64C3"/>
    <w:rsid w:val="00CE01FA"/>
    <w:rsid w:val="00CE3442"/>
    <w:rsid w:val="00CF442B"/>
    <w:rsid w:val="00D00581"/>
    <w:rsid w:val="00D05827"/>
    <w:rsid w:val="00D232D3"/>
    <w:rsid w:val="00D2384C"/>
    <w:rsid w:val="00D271A4"/>
    <w:rsid w:val="00D31664"/>
    <w:rsid w:val="00D443D3"/>
    <w:rsid w:val="00D45A04"/>
    <w:rsid w:val="00D54268"/>
    <w:rsid w:val="00D55CD8"/>
    <w:rsid w:val="00D577F6"/>
    <w:rsid w:val="00D57DE6"/>
    <w:rsid w:val="00D603BD"/>
    <w:rsid w:val="00D722CF"/>
    <w:rsid w:val="00D74252"/>
    <w:rsid w:val="00D75A37"/>
    <w:rsid w:val="00D8054D"/>
    <w:rsid w:val="00D90303"/>
    <w:rsid w:val="00D97DDF"/>
    <w:rsid w:val="00DB5232"/>
    <w:rsid w:val="00DC2C87"/>
    <w:rsid w:val="00DD0E52"/>
    <w:rsid w:val="00DD2A22"/>
    <w:rsid w:val="00DD577F"/>
    <w:rsid w:val="00DF3112"/>
    <w:rsid w:val="00E25DA8"/>
    <w:rsid w:val="00E26AC1"/>
    <w:rsid w:val="00E44900"/>
    <w:rsid w:val="00E51B1A"/>
    <w:rsid w:val="00E57CE7"/>
    <w:rsid w:val="00E6360D"/>
    <w:rsid w:val="00E73E9C"/>
    <w:rsid w:val="00E755EC"/>
    <w:rsid w:val="00E82003"/>
    <w:rsid w:val="00E91AF2"/>
    <w:rsid w:val="00E94CE7"/>
    <w:rsid w:val="00E9730F"/>
    <w:rsid w:val="00EA1F5D"/>
    <w:rsid w:val="00EA3489"/>
    <w:rsid w:val="00EA48A0"/>
    <w:rsid w:val="00EA4CE1"/>
    <w:rsid w:val="00EC60B7"/>
    <w:rsid w:val="00EE1BD8"/>
    <w:rsid w:val="00EE441D"/>
    <w:rsid w:val="00EF3982"/>
    <w:rsid w:val="00EF5BBA"/>
    <w:rsid w:val="00F0187A"/>
    <w:rsid w:val="00F020FA"/>
    <w:rsid w:val="00F028EC"/>
    <w:rsid w:val="00F06F5B"/>
    <w:rsid w:val="00F13BB3"/>
    <w:rsid w:val="00F360E9"/>
    <w:rsid w:val="00F55195"/>
    <w:rsid w:val="00F57DDC"/>
    <w:rsid w:val="00F66546"/>
    <w:rsid w:val="00F6790C"/>
    <w:rsid w:val="00F71557"/>
    <w:rsid w:val="00F71ECC"/>
    <w:rsid w:val="00F7312B"/>
    <w:rsid w:val="00F73726"/>
    <w:rsid w:val="00F74F3A"/>
    <w:rsid w:val="00F779B7"/>
    <w:rsid w:val="00F77A10"/>
    <w:rsid w:val="00F804EF"/>
    <w:rsid w:val="00F811E6"/>
    <w:rsid w:val="00F81A31"/>
    <w:rsid w:val="00F86953"/>
    <w:rsid w:val="00F93B62"/>
    <w:rsid w:val="00F96628"/>
    <w:rsid w:val="00FC6AB3"/>
    <w:rsid w:val="00FD3169"/>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AF23D"/>
  <w15:docId w15:val="{1E82429A-A0B2-4A67-8D51-48122687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A55"/>
  </w:style>
  <w:style w:type="paragraph" w:styleId="1">
    <w:name w:val="heading 1"/>
    <w:basedOn w:val="a"/>
    <w:next w:val="a"/>
    <w:link w:val="10"/>
    <w:uiPriority w:val="9"/>
    <w:qFormat/>
    <w:rsid w:val="00F81A31"/>
    <w:pPr>
      <w:numPr>
        <w:numId w:val="15"/>
      </w:numPr>
      <w:bidi/>
      <w:spacing w:after="0" w:line="480" w:lineRule="auto"/>
      <w:jc w:val="both"/>
      <w:outlineLvl w:val="0"/>
    </w:pPr>
    <w:rPr>
      <w:rFonts w:ascii="David" w:hAnsi="David" w:cs="David"/>
      <w:b/>
      <w:bCs/>
      <w:sz w:val="28"/>
      <w:szCs w:val="28"/>
    </w:rPr>
  </w:style>
  <w:style w:type="paragraph" w:styleId="2">
    <w:name w:val="heading 2"/>
    <w:basedOn w:val="a"/>
    <w:next w:val="a"/>
    <w:link w:val="20"/>
    <w:uiPriority w:val="9"/>
    <w:semiHidden/>
    <w:unhideWhenUsed/>
    <w:qFormat/>
    <w:rsid w:val="002618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7DB1"/>
    <w:rPr>
      <w:color w:val="0563C1" w:themeColor="hyperlink"/>
      <w:u w:val="single"/>
    </w:rPr>
  </w:style>
  <w:style w:type="character" w:styleId="FollowedHyperlink">
    <w:name w:val="FollowedHyperlink"/>
    <w:basedOn w:val="a0"/>
    <w:uiPriority w:val="99"/>
    <w:semiHidden/>
    <w:unhideWhenUsed/>
    <w:rsid w:val="00CB0BFD"/>
    <w:rPr>
      <w:color w:val="954F72" w:themeColor="followedHyperlink"/>
      <w:u w:val="single"/>
    </w:rPr>
  </w:style>
  <w:style w:type="character" w:customStyle="1" w:styleId="10">
    <w:name w:val="כותרת 1 תו"/>
    <w:basedOn w:val="a0"/>
    <w:link w:val="1"/>
    <w:uiPriority w:val="9"/>
    <w:rsid w:val="00F81A31"/>
    <w:rPr>
      <w:rFonts w:ascii="David" w:hAnsi="David" w:cs="David"/>
      <w:b/>
      <w:bCs/>
      <w:sz w:val="28"/>
      <w:szCs w:val="28"/>
    </w:rPr>
  </w:style>
  <w:style w:type="paragraph" w:styleId="NormalWeb">
    <w:name w:val="Normal (Web)"/>
    <w:basedOn w:val="a"/>
    <w:uiPriority w:val="99"/>
    <w:semiHidden/>
    <w:unhideWhenUsed/>
    <w:rsid w:val="00487A7C"/>
    <w:rPr>
      <w:rFonts w:ascii="Times New Roman" w:hAnsi="Times New Roman" w:cs="Times New Roman"/>
      <w:sz w:val="24"/>
      <w:szCs w:val="24"/>
    </w:rPr>
  </w:style>
  <w:style w:type="character" w:styleId="ab">
    <w:name w:val="Strong"/>
    <w:basedOn w:val="a0"/>
    <w:uiPriority w:val="22"/>
    <w:qFormat/>
    <w:rsid w:val="00F360E9"/>
    <w:rPr>
      <w:b/>
      <w:bCs/>
    </w:rPr>
  </w:style>
  <w:style w:type="paragraph" w:styleId="ac">
    <w:name w:val="Body Text"/>
    <w:basedOn w:val="a"/>
    <w:link w:val="ad"/>
    <w:rsid w:val="00F360E9"/>
    <w:pPr>
      <w:bidi/>
      <w:spacing w:after="0" w:line="360" w:lineRule="auto"/>
      <w:jc w:val="both"/>
    </w:pPr>
    <w:rPr>
      <w:rFonts w:ascii="Times New Roman" w:eastAsia="Times New Roman" w:hAnsi="Times New Roman" w:cs="David"/>
      <w:b/>
      <w:bCs/>
      <w:sz w:val="24"/>
      <w:szCs w:val="24"/>
      <w:lang w:eastAsia="he-IL"/>
    </w:rPr>
  </w:style>
  <w:style w:type="character" w:customStyle="1" w:styleId="ad">
    <w:name w:val="גוף טקסט תו"/>
    <w:basedOn w:val="a0"/>
    <w:link w:val="ac"/>
    <w:rsid w:val="00F360E9"/>
    <w:rPr>
      <w:rFonts w:ascii="Times New Roman" w:eastAsia="Times New Roman" w:hAnsi="Times New Roman" w:cs="David"/>
      <w:b/>
      <w:bCs/>
      <w:sz w:val="24"/>
      <w:szCs w:val="24"/>
      <w:lang w:eastAsia="he-IL"/>
    </w:rPr>
  </w:style>
  <w:style w:type="character" w:customStyle="1" w:styleId="20">
    <w:name w:val="כותרת 2 תו"/>
    <w:basedOn w:val="a0"/>
    <w:link w:val="2"/>
    <w:uiPriority w:val="9"/>
    <w:semiHidden/>
    <w:rsid w:val="00261819"/>
    <w:rPr>
      <w:rFonts w:asciiTheme="majorHAnsi" w:eastAsiaTheme="majorEastAsia" w:hAnsiTheme="majorHAnsi" w:cstheme="majorBidi"/>
      <w:b/>
      <w:bCs/>
      <w:color w:val="5B9BD5" w:themeColor="accent1"/>
      <w:sz w:val="26"/>
      <w:szCs w:val="26"/>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6D32C5"/>
    <w:pPr>
      <w:tabs>
        <w:tab w:val="left" w:pos="660"/>
        <w:tab w:val="right" w:leader="dot" w:pos="9016"/>
      </w:tabs>
      <w:bidi/>
      <w:spacing w:before="120" w:after="120"/>
    </w:pPr>
    <w:rPr>
      <w:rFonts w:cstheme="minorHAnsi"/>
      <w:b/>
      <w:bCs/>
      <w:caps/>
      <w:sz w:val="20"/>
      <w:szCs w:val="20"/>
    </w:rPr>
  </w:style>
  <w:style w:type="paragraph" w:styleId="TOC3">
    <w:name w:val="toc 3"/>
    <w:basedOn w:val="a"/>
    <w:next w:val="a"/>
    <w:autoRedefine/>
    <w:uiPriority w:val="39"/>
    <w:unhideWhenUsed/>
    <w:qFormat/>
    <w:rsid w:val="00CE3442"/>
    <w:pPr>
      <w:spacing w:after="0"/>
      <w:ind w:left="440"/>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E3D4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247082645">
      <w:bodyDiv w:val="1"/>
      <w:marLeft w:val="0"/>
      <w:marRight w:val="0"/>
      <w:marTop w:val="0"/>
      <w:marBottom w:val="0"/>
      <w:divBdr>
        <w:top w:val="none" w:sz="0" w:space="0" w:color="auto"/>
        <w:left w:val="none" w:sz="0" w:space="0" w:color="auto"/>
        <w:bottom w:val="none" w:sz="0" w:space="0" w:color="auto"/>
        <w:right w:val="none" w:sz="0" w:space="0" w:color="auto"/>
      </w:divBdr>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773626048">
      <w:bodyDiv w:val="1"/>
      <w:marLeft w:val="0"/>
      <w:marRight w:val="0"/>
      <w:marTop w:val="0"/>
      <w:marBottom w:val="0"/>
      <w:divBdr>
        <w:top w:val="none" w:sz="0" w:space="0" w:color="auto"/>
        <w:left w:val="none" w:sz="0" w:space="0" w:color="auto"/>
        <w:bottom w:val="none" w:sz="0" w:space="0" w:color="auto"/>
        <w:right w:val="none" w:sz="0" w:space="0" w:color="auto"/>
      </w:divBdr>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arker.com/magazine/MAGAZINE-1.633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1F1EC-3BDC-4435-8C0F-E1D027FC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2141</Words>
  <Characters>10710</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Hewlett-Packard Company</cp:lastModifiedBy>
  <cp:revision>13</cp:revision>
  <cp:lastPrinted>2016-12-25T08:47:00Z</cp:lastPrinted>
  <dcterms:created xsi:type="dcterms:W3CDTF">2019-12-07T12:14:00Z</dcterms:created>
  <dcterms:modified xsi:type="dcterms:W3CDTF">2019-12-07T16:17:00Z</dcterms:modified>
</cp:coreProperties>
</file>