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C07E8" w:rsidRDefault="005C5983" w:rsidP="002C07E8">
      <w:pPr>
        <w:spacing w:after="0" w:line="276" w:lineRule="auto"/>
        <w:ind w:right="-1418"/>
        <w:jc w:val="both"/>
        <w:rPr>
          <w:rFonts w:ascii="Times New Roman" w:eastAsia="Times New Roman" w:hAnsi="Times New Roman" w:cs="David"/>
          <w:b/>
          <w:bCs/>
          <w:noProof/>
          <w:color w:val="0000FF"/>
          <w:sz w:val="44"/>
          <w:szCs w:val="44"/>
          <w:rtl/>
        </w:rPr>
      </w:pPr>
      <w:r w:rsidRPr="0000565F">
        <w:rPr>
          <w:rFonts w:ascii="Times New Roman" w:eastAsia="Times New Roman" w:hAnsi="Times New Roman" w:cs="David"/>
          <w:noProof/>
          <w:color w:val="0000FF"/>
          <w:sz w:val="24"/>
          <w:szCs w:val="24"/>
          <w:rtl/>
        </w:rPr>
        <mc:AlternateContent>
          <mc:Choice Requires="wpg">
            <w:drawing>
              <wp:anchor distT="0" distB="0" distL="114300" distR="114300" simplePos="0" relativeHeight="251662336" behindDoc="0" locked="0" layoutInCell="1" allowOverlap="1" wp14:anchorId="71817538" wp14:editId="0E7ACD93">
                <wp:simplePos x="0" y="0"/>
                <wp:positionH relativeFrom="margin">
                  <wp:posOffset>-876300</wp:posOffset>
                </wp:positionH>
                <wp:positionV relativeFrom="topMargin">
                  <wp:posOffset>1096830</wp:posOffset>
                </wp:positionV>
                <wp:extent cx="6924675" cy="387094"/>
                <wp:effectExtent l="0" t="0" r="28575" b="1333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387094"/>
                          <a:chOff x="2146" y="12593"/>
                          <a:chExt cx="18008" cy="20005"/>
                        </a:xfrm>
                      </wpg:grpSpPr>
                      <wps:wsp>
                        <wps:cNvPr id="21" name="Freeform 7"/>
                        <wps:cNvSpPr>
                          <a:spLocks/>
                        </wps:cNvSpPr>
                        <wps:spPr bwMode="auto">
                          <a:xfrm>
                            <a:off x="2146" y="14812"/>
                            <a:ext cx="12077"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22" name="Freeform 8"/>
                        <wps:cNvSpPr>
                          <a:spLocks/>
                        </wps:cNvSpPr>
                        <wps:spPr bwMode="auto">
                          <a:xfrm>
                            <a:off x="16498" y="12593"/>
                            <a:ext cx="3656" cy="20005"/>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1168C" id="Group 6" o:spid="_x0000_s1026" style="position:absolute;left:0;text-align:left;margin-left:-69pt;margin-top:86.35pt;width:545.25pt;height:30.5pt;z-index:251662336;mso-position-horizontal-relative:margin;mso-position-vertical-relative:top-margin-area" coordorigin="2146,12593" coordsize="18008,20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">
                <v:shape id="Freeform 7" o:spid="_x0000_s1027" style="position:absolute;left:2146;top:14812;width:12077;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QEcMA&#10;AADbAAAADwAAAGRycy9kb3ducmV2LnhtbESPQWvCQBSE7wX/w/KE3uomgZSSuopIBA+WoslBb4/s&#10;axLMvg3Z1cR/3y0IPQ4z8w2zXE+mE3caXGtZQbyIQBBXVrdcKyiL3dsHCOeRNXaWScGDHKxXs5cl&#10;ZtqOfKT7ydciQNhlqKDxvs+kdFVDBt3C9sTB+7GDQR/kUEs94BjgppNJFL1Lgy2HhQZ72jZUXU83&#10;oyD9pt4e8JL7PX49yjQucjwXSr3Op80nCE+T/w8/23utIInh70v4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AQEcMAAADbAAAADwAAAAAAAAAAAAAAAACYAgAAZHJzL2Rv&#10;d25yZXYueG1sUEsFBgAAAAAEAAQA9QAAAIgDAAAAAA==&#10;" path="m,19956l1014,,19997,,18838,19956r-18680,e" fillcolor="blue" strokeweight="2pt">
                  <v:stroke startarrowwidth="narrow" startarrowlength="short" endarrowwidth="narrow" endarrowlength="short"/>
                  <v:path arrowok="t" o:connecttype="custom" o:connectlocs="0,17743;612,0;12075,0;11375,17743;95,17743" o:connectangles="0,0,0,0,0"/>
                </v:shape>
                <v:shape id="Freeform 8" o:spid="_x0000_s1028" style="position:absolute;left:16498;top:12593;width:3656;height:200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ZsIA&#10;AADbAAAADwAAAGRycy9kb3ducmV2LnhtbESPQYvCMBSE74L/ITzBm6YWFKmmRUTBw4qs9bB7ezTP&#10;tti8lCar9d8bYcHjMDPfMOusN424U+dqywpm0wgEcWF1zaWCS76fLEE4j6yxsUwKnuQgS4eDNSba&#10;Pvib7mdfigBhl6CCyvs2kdIVFRl0U9sSB+9qO4M+yK6UusNHgJtGxlG0kAZrDgsVtrStqLid/4yC&#10;+Yla+4W/O3/A4/Myn+U7/MmVGo/6zQqEp95/wv/tg1YQx/D+En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Qo5mwgAAANsAAAAPAAAAAAAAAAAAAAAAAJgCAABkcnMvZG93&#10;bnJldi54bWxQSwUGAAAAAAQABAD1AAAAhwMAAAAA&#10;" path="m,19961l4519,,19989,r,19961l646,19961e" fillcolor="blue" strokeweight="2pt">
                  <v:stroke startarrowwidth="narrow" startarrowlength="short" endarrowwidth="narrow" endarrowlength="short"/>
                  <v:path arrowok="t" o:connecttype="custom" o:connectlocs="0,19966;826,0;3654,0;3654,19966;118,19966" o:connectangles="0,0,0,0,0"/>
                </v:shape>
                <w10:wrap anchorx="margin" anchory="margin"/>
              </v:group>
            </w:pict>
          </mc:Fallback>
        </mc:AlternateContent>
      </w:r>
      <w:r w:rsidR="002C07E8" w:rsidRPr="009E6422">
        <w:rPr>
          <w:rFonts w:ascii="Times New Roman" w:eastAsia="Times New Roman" w:hAnsi="Times New Roman" w:cs="David"/>
          <w:noProof/>
          <w:sz w:val="24"/>
          <w:szCs w:val="24"/>
          <w:rtl/>
        </w:rPr>
        <w:drawing>
          <wp:anchor distT="0" distB="0" distL="114300" distR="114300" simplePos="0" relativeHeight="251663360" behindDoc="0" locked="0" layoutInCell="1" allowOverlap="1" wp14:anchorId="5A0495EF" wp14:editId="7CF8D7F3">
            <wp:simplePos x="0" y="0"/>
            <wp:positionH relativeFrom="page">
              <wp:posOffset>5017135</wp:posOffset>
            </wp:positionH>
            <wp:positionV relativeFrom="paragraph">
              <wp:posOffset>0</wp:posOffset>
            </wp:positionV>
            <wp:extent cx="713105" cy="892810"/>
            <wp:effectExtent l="0" t="0" r="0" b="2540"/>
            <wp:wrapTight wrapText="bothSides">
              <wp:wrapPolygon edited="0">
                <wp:start x="0" y="0"/>
                <wp:lineTo x="0" y="21201"/>
                <wp:lineTo x="9232" y="21201"/>
                <wp:lineTo x="12118" y="21201"/>
                <wp:lineTo x="20773" y="21201"/>
                <wp:lineTo x="20773" y="0"/>
                <wp:lineTo x="0" y="0"/>
              </wp:wrapPolygon>
            </wp:wrapTight>
            <wp:docPr id="29" name="תמונה 5" descr="מבל נק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מבל נק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10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7E8" w:rsidRDefault="002C07E8" w:rsidP="002C07E8">
      <w:pPr>
        <w:spacing w:after="0" w:line="276" w:lineRule="auto"/>
        <w:ind w:right="-1418"/>
        <w:jc w:val="both"/>
        <w:rPr>
          <w:rFonts w:ascii="Times New Roman" w:eastAsia="Times New Roman" w:hAnsi="Times New Roman" w:cs="David"/>
          <w:b/>
          <w:bCs/>
          <w:noProof/>
          <w:color w:val="0000FF"/>
          <w:sz w:val="44"/>
          <w:szCs w:val="44"/>
          <w:rtl/>
        </w:rPr>
      </w:pPr>
    </w:p>
    <w:p w:rsidR="002C07E8" w:rsidRDefault="002C07E8" w:rsidP="002C07E8">
      <w:pPr>
        <w:spacing w:after="0" w:line="276" w:lineRule="auto"/>
        <w:ind w:right="-1418"/>
        <w:jc w:val="both"/>
        <w:rPr>
          <w:rFonts w:ascii="Times New Roman" w:eastAsia="Times New Roman" w:hAnsi="Times New Roman" w:cs="David"/>
          <w:b/>
          <w:bCs/>
          <w:noProof/>
          <w:color w:val="0000FF"/>
          <w:sz w:val="44"/>
          <w:szCs w:val="44"/>
          <w:rtl/>
        </w:rPr>
      </w:pPr>
    </w:p>
    <w:p w:rsidR="002C07E8" w:rsidRDefault="002C07E8" w:rsidP="005C5983">
      <w:pPr>
        <w:spacing w:after="0" w:line="276" w:lineRule="auto"/>
        <w:ind w:right="-1418"/>
        <w:jc w:val="both"/>
        <w:rPr>
          <w:rFonts w:ascii="Times New Roman" w:eastAsia="Times New Roman" w:hAnsi="Times New Roman" w:cs="David"/>
          <w:b/>
          <w:bCs/>
          <w:noProof/>
          <w:color w:val="0000FF"/>
          <w:sz w:val="44"/>
          <w:szCs w:val="44"/>
          <w:rtl/>
        </w:rPr>
      </w:pPr>
      <w:r w:rsidRPr="009E6422">
        <w:rPr>
          <w:rFonts w:ascii="Times New Roman" w:eastAsia="Times New Roman" w:hAnsi="Times New Roman" w:cs="David" w:hint="cs"/>
          <w:b/>
          <w:bCs/>
          <w:noProof/>
          <w:color w:val="0000FF"/>
          <w:sz w:val="44"/>
          <w:szCs w:val="44"/>
          <w:rtl/>
        </w:rPr>
        <w:t>ה</w:t>
      </w:r>
      <w:r w:rsidRPr="009E6422">
        <w:rPr>
          <w:rFonts w:ascii="Times New Roman" w:eastAsia="Times New Roman" w:hAnsi="Times New Roman" w:cs="David"/>
          <w:b/>
          <w:bCs/>
          <w:noProof/>
          <w:color w:val="0000FF"/>
          <w:sz w:val="44"/>
          <w:szCs w:val="44"/>
          <w:rtl/>
        </w:rPr>
        <w:t>מכללה</w:t>
      </w:r>
      <w:r w:rsidRPr="009E6422">
        <w:rPr>
          <w:rFonts w:ascii="Times New Roman" w:eastAsia="Times New Roman" w:hAnsi="Times New Roman" w:cs="David" w:hint="cs"/>
          <w:b/>
          <w:bCs/>
          <w:noProof/>
          <w:color w:val="0000FF"/>
          <w:sz w:val="44"/>
          <w:szCs w:val="44"/>
          <w:rtl/>
        </w:rPr>
        <w:t xml:space="preserve"> </w:t>
      </w:r>
      <w:r w:rsidRPr="009E6422">
        <w:rPr>
          <w:rFonts w:ascii="Times New Roman" w:eastAsia="Times New Roman" w:hAnsi="Times New Roman" w:cs="David"/>
          <w:b/>
          <w:bCs/>
          <w:noProof/>
          <w:color w:val="0000FF"/>
          <w:sz w:val="44"/>
          <w:szCs w:val="44"/>
          <w:rtl/>
        </w:rPr>
        <w:t>לביטחון לאומי</w:t>
      </w:r>
      <w:r w:rsidRPr="009E6422">
        <w:rPr>
          <w:rFonts w:ascii="Times New Roman" w:eastAsia="Times New Roman" w:hAnsi="Times New Roman" w:cs="David" w:hint="cs"/>
          <w:b/>
          <w:bCs/>
          <w:noProof/>
          <w:color w:val="0000FF"/>
          <w:sz w:val="44"/>
          <w:szCs w:val="44"/>
          <w:rtl/>
        </w:rPr>
        <w:t xml:space="preserve"> </w:t>
      </w:r>
    </w:p>
    <w:p w:rsidR="002C07E8" w:rsidRDefault="002C07E8" w:rsidP="002C07E8">
      <w:pPr>
        <w:rPr>
          <w:rtl/>
        </w:rPr>
      </w:pPr>
      <w:r w:rsidRPr="009E6422">
        <w:rPr>
          <w:rFonts w:ascii="Times New Roman" w:eastAsia="Times New Roman" w:hAnsi="Times New Roman" w:cs="David" w:hint="cs"/>
          <w:b/>
          <w:bCs/>
          <w:noProof/>
          <w:color w:val="0000FF"/>
          <w:sz w:val="44"/>
          <w:szCs w:val="44"/>
          <w:rtl/>
        </w:rPr>
        <w:t>מחזור מ"ד,  2017-2016</w:t>
      </w:r>
    </w:p>
    <w:p w:rsidR="002C07E8" w:rsidRDefault="002C07E8" w:rsidP="002C07E8">
      <w:pPr>
        <w:rPr>
          <w:rtl/>
        </w:rPr>
      </w:pPr>
    </w:p>
    <w:p w:rsidR="002C07E8" w:rsidRDefault="002C07E8" w:rsidP="002C07E8">
      <w:pPr>
        <w:rPr>
          <w:rtl/>
        </w:rPr>
      </w:pPr>
    </w:p>
    <w:p w:rsidR="002C07E8" w:rsidRDefault="002C07E8" w:rsidP="002C07E8">
      <w:pPr>
        <w:jc w:val="center"/>
        <w:rPr>
          <w:rtl/>
        </w:rPr>
      </w:pPr>
    </w:p>
    <w:p w:rsidR="000C77BA" w:rsidRDefault="000C77BA" w:rsidP="002C07E8">
      <w:pPr>
        <w:jc w:val="center"/>
        <w:rPr>
          <w:rFonts w:cs="David"/>
          <w:b/>
          <w:bCs/>
          <w:color w:val="0000FF"/>
          <w:sz w:val="48"/>
          <w:szCs w:val="48"/>
          <w:rtl/>
        </w:rPr>
      </w:pPr>
    </w:p>
    <w:p w:rsidR="000C77BA" w:rsidRDefault="00F704C9" w:rsidP="002C07E8">
      <w:pPr>
        <w:jc w:val="center"/>
        <w:rPr>
          <w:rFonts w:cs="David"/>
          <w:b/>
          <w:bCs/>
          <w:color w:val="0000FF"/>
          <w:sz w:val="48"/>
          <w:szCs w:val="48"/>
          <w:rtl/>
        </w:rPr>
      </w:pPr>
      <w:r>
        <w:rPr>
          <w:rFonts w:cs="David" w:hint="cs"/>
          <w:b/>
          <w:bCs/>
          <w:color w:val="0000FF"/>
          <w:sz w:val="48"/>
          <w:szCs w:val="48"/>
          <w:rtl/>
        </w:rPr>
        <w:t>עבודה שנתית מסכמת:</w:t>
      </w:r>
    </w:p>
    <w:p w:rsidR="000C77BA" w:rsidRDefault="000C77BA" w:rsidP="002C07E8">
      <w:pPr>
        <w:jc w:val="center"/>
        <w:rPr>
          <w:rFonts w:cs="David"/>
          <w:b/>
          <w:bCs/>
          <w:color w:val="0000FF"/>
          <w:sz w:val="48"/>
          <w:szCs w:val="48"/>
          <w:rtl/>
        </w:rPr>
      </w:pPr>
    </w:p>
    <w:p w:rsidR="002C07E8" w:rsidRPr="00494E85" w:rsidRDefault="000C77BA" w:rsidP="002C07E8">
      <w:pPr>
        <w:jc w:val="center"/>
        <w:rPr>
          <w:rFonts w:cs="David"/>
          <w:b/>
          <w:bCs/>
          <w:color w:val="0000FF"/>
          <w:sz w:val="48"/>
          <w:szCs w:val="48"/>
          <w:rtl/>
        </w:rPr>
      </w:pPr>
      <w:r>
        <w:rPr>
          <w:rFonts w:cs="David" w:hint="cs"/>
          <w:b/>
          <w:bCs/>
          <w:color w:val="0000FF"/>
          <w:sz w:val="48"/>
          <w:szCs w:val="48"/>
          <w:rtl/>
        </w:rPr>
        <w:t>הסתה לגזענות ולאלימות ברשתות החברתיות בישראל</w:t>
      </w:r>
    </w:p>
    <w:p w:rsidR="002C07E8" w:rsidRDefault="002C07E8" w:rsidP="002C07E8">
      <w:pPr>
        <w:spacing w:after="0" w:line="240" w:lineRule="auto"/>
        <w:ind w:right="-426"/>
        <w:rPr>
          <w:rFonts w:cs="David"/>
          <w:b/>
          <w:bCs/>
          <w:sz w:val="48"/>
          <w:szCs w:val="48"/>
          <w:rtl/>
        </w:rPr>
      </w:pPr>
    </w:p>
    <w:p w:rsidR="002C07E8" w:rsidRDefault="002C07E8" w:rsidP="002C07E8">
      <w:pPr>
        <w:spacing w:after="0" w:line="240" w:lineRule="auto"/>
        <w:ind w:right="-426"/>
        <w:rPr>
          <w:rFonts w:cs="David"/>
          <w:b/>
          <w:bCs/>
          <w:sz w:val="48"/>
          <w:szCs w:val="48"/>
          <w:rtl/>
        </w:rPr>
      </w:pPr>
    </w:p>
    <w:p w:rsidR="002C07E8" w:rsidRDefault="002C07E8" w:rsidP="002C07E8">
      <w:pPr>
        <w:spacing w:after="0" w:line="240" w:lineRule="auto"/>
        <w:ind w:right="-426"/>
        <w:rPr>
          <w:rFonts w:ascii="Times New Roman" w:eastAsia="Times New Roman" w:hAnsi="Times New Roman" w:cs="David"/>
          <w:b/>
          <w:bCs/>
          <w:noProof/>
          <w:color w:val="0000CC"/>
          <w:sz w:val="32"/>
          <w:szCs w:val="32"/>
          <w:rtl/>
        </w:rPr>
      </w:pPr>
    </w:p>
    <w:p w:rsidR="000C77BA" w:rsidRDefault="000C77BA" w:rsidP="000C77BA">
      <w:pPr>
        <w:spacing w:after="0" w:line="240" w:lineRule="auto"/>
        <w:ind w:right="-426"/>
        <w:rPr>
          <w:rFonts w:ascii="Times New Roman" w:eastAsia="Times New Roman" w:hAnsi="Times New Roman" w:cs="David"/>
          <w:b/>
          <w:bCs/>
          <w:noProof/>
          <w:color w:val="0000CC"/>
          <w:sz w:val="36"/>
          <w:szCs w:val="36"/>
          <w:rtl/>
        </w:rPr>
      </w:pPr>
    </w:p>
    <w:p w:rsidR="000C77BA" w:rsidRDefault="000C77BA" w:rsidP="000C77BA">
      <w:pPr>
        <w:spacing w:after="0" w:line="240" w:lineRule="auto"/>
        <w:ind w:right="-426"/>
        <w:rPr>
          <w:rFonts w:ascii="Times New Roman" w:eastAsia="Times New Roman" w:hAnsi="Times New Roman" w:cs="David"/>
          <w:b/>
          <w:bCs/>
          <w:noProof/>
          <w:color w:val="0000CC"/>
          <w:sz w:val="36"/>
          <w:szCs w:val="36"/>
          <w:rtl/>
        </w:rPr>
      </w:pPr>
    </w:p>
    <w:p w:rsidR="000C77BA" w:rsidRDefault="000C77BA" w:rsidP="000C77BA">
      <w:pPr>
        <w:spacing w:after="0" w:line="240" w:lineRule="auto"/>
        <w:ind w:right="-426"/>
        <w:rPr>
          <w:rFonts w:ascii="Times New Roman" w:eastAsia="Times New Roman" w:hAnsi="Times New Roman" w:cs="David"/>
          <w:b/>
          <w:bCs/>
          <w:noProof/>
          <w:color w:val="0000CC"/>
          <w:sz w:val="36"/>
          <w:szCs w:val="36"/>
          <w:rtl/>
        </w:rPr>
      </w:pPr>
    </w:p>
    <w:p w:rsidR="000C77BA" w:rsidRDefault="000C77BA" w:rsidP="000C77BA">
      <w:pPr>
        <w:spacing w:after="0" w:line="240" w:lineRule="auto"/>
        <w:ind w:right="-426"/>
        <w:rPr>
          <w:rFonts w:ascii="Times New Roman" w:eastAsia="Times New Roman" w:hAnsi="Times New Roman" w:cs="David"/>
          <w:b/>
          <w:bCs/>
          <w:noProof/>
          <w:color w:val="0000CC"/>
          <w:sz w:val="36"/>
          <w:szCs w:val="36"/>
          <w:rtl/>
        </w:rPr>
      </w:pPr>
    </w:p>
    <w:p w:rsidR="002C07E8" w:rsidRDefault="002C07E8" w:rsidP="000C77BA">
      <w:pPr>
        <w:spacing w:after="0" w:line="240" w:lineRule="auto"/>
        <w:ind w:right="-426"/>
        <w:rPr>
          <w:rFonts w:ascii="Times New Roman" w:eastAsia="Times New Roman" w:hAnsi="Times New Roman" w:cs="David"/>
          <w:b/>
          <w:bCs/>
          <w:noProof/>
          <w:color w:val="0000CC"/>
          <w:sz w:val="36"/>
          <w:szCs w:val="36"/>
          <w:rtl/>
        </w:rPr>
      </w:pPr>
      <w:r w:rsidRPr="009E6422">
        <w:rPr>
          <w:rFonts w:ascii="Times New Roman" w:eastAsia="Times New Roman" w:hAnsi="Times New Roman" w:cs="David" w:hint="cs"/>
          <w:b/>
          <w:bCs/>
          <w:noProof/>
          <w:color w:val="0000CC"/>
          <w:sz w:val="36"/>
          <w:szCs w:val="36"/>
          <w:rtl/>
        </w:rPr>
        <w:t xml:space="preserve">מגיש: </w:t>
      </w:r>
      <w:r>
        <w:rPr>
          <w:rFonts w:ascii="Times New Roman" w:eastAsia="Times New Roman" w:hAnsi="Times New Roman" w:cs="David" w:hint="cs"/>
          <w:b/>
          <w:bCs/>
          <w:noProof/>
          <w:color w:val="0000CC"/>
          <w:sz w:val="36"/>
          <w:szCs w:val="36"/>
          <w:rtl/>
        </w:rPr>
        <w:t xml:space="preserve">רון מגל </w:t>
      </w:r>
    </w:p>
    <w:p w:rsidR="002C07E8" w:rsidRPr="009E6422" w:rsidRDefault="002C07E8" w:rsidP="000C77BA">
      <w:pPr>
        <w:spacing w:after="0" w:line="240" w:lineRule="auto"/>
        <w:ind w:right="-426"/>
        <w:rPr>
          <w:rFonts w:ascii="Calibri" w:eastAsia="Calibri" w:hAnsi="Calibri" w:cs="David"/>
          <w:b/>
          <w:bCs/>
          <w:color w:val="0000CC"/>
          <w:sz w:val="36"/>
          <w:szCs w:val="36"/>
          <w:u w:val="single"/>
          <w:rtl/>
        </w:rPr>
      </w:pPr>
      <w:r>
        <w:rPr>
          <w:rFonts w:ascii="Times New Roman" w:eastAsia="Times New Roman" w:hAnsi="Times New Roman" w:cs="David" w:hint="cs"/>
          <w:b/>
          <w:bCs/>
          <w:noProof/>
          <w:color w:val="0000CC"/>
          <w:sz w:val="36"/>
          <w:szCs w:val="36"/>
          <w:rtl/>
        </w:rPr>
        <w:t xml:space="preserve">                </w:t>
      </w:r>
    </w:p>
    <w:p w:rsidR="002C07E8" w:rsidRDefault="002C07E8" w:rsidP="000C77BA">
      <w:pPr>
        <w:spacing w:after="0" w:line="240" w:lineRule="auto"/>
        <w:ind w:right="-426"/>
        <w:rPr>
          <w:rFonts w:ascii="Calibri" w:eastAsia="Calibri" w:hAnsi="Calibri" w:cs="David"/>
          <w:b/>
          <w:bCs/>
          <w:color w:val="0000CC"/>
          <w:sz w:val="36"/>
          <w:szCs w:val="36"/>
          <w:rtl/>
        </w:rPr>
      </w:pPr>
      <w:r w:rsidRPr="009E6422">
        <w:rPr>
          <w:rFonts w:ascii="Calibri" w:eastAsia="Calibri" w:hAnsi="Calibri" w:cs="David" w:hint="cs"/>
          <w:b/>
          <w:bCs/>
          <w:color w:val="0000CC"/>
          <w:sz w:val="36"/>
          <w:szCs w:val="36"/>
          <w:rtl/>
        </w:rPr>
        <w:t xml:space="preserve">מנחה: </w:t>
      </w:r>
      <w:r w:rsidR="000C77BA">
        <w:rPr>
          <w:rFonts w:ascii="Calibri" w:eastAsia="Calibri" w:hAnsi="Calibri" w:cs="David" w:hint="cs"/>
          <w:b/>
          <w:bCs/>
          <w:color w:val="0000CC"/>
          <w:sz w:val="36"/>
          <w:szCs w:val="36"/>
          <w:rtl/>
        </w:rPr>
        <w:t>פרופסור סוזי נבות</w:t>
      </w:r>
    </w:p>
    <w:p w:rsidR="000C77BA" w:rsidRDefault="000C77BA" w:rsidP="000C77BA">
      <w:pPr>
        <w:spacing w:after="0" w:line="240" w:lineRule="auto"/>
        <w:ind w:right="-426"/>
        <w:rPr>
          <w:rFonts w:ascii="Calibri" w:eastAsia="Calibri" w:hAnsi="Calibri" w:cs="David"/>
          <w:b/>
          <w:bCs/>
          <w:color w:val="0000CC"/>
          <w:sz w:val="36"/>
          <w:szCs w:val="36"/>
          <w:rtl/>
        </w:rPr>
      </w:pPr>
    </w:p>
    <w:p w:rsidR="000C77BA" w:rsidRDefault="000C77BA" w:rsidP="000C77BA">
      <w:pPr>
        <w:spacing w:after="0" w:line="240" w:lineRule="auto"/>
        <w:ind w:right="-426"/>
        <w:rPr>
          <w:rFonts w:ascii="Calibri" w:eastAsia="Calibri" w:hAnsi="Calibri" w:cs="David"/>
          <w:b/>
          <w:bCs/>
          <w:color w:val="0000CC"/>
          <w:sz w:val="36"/>
          <w:szCs w:val="36"/>
          <w:rtl/>
        </w:rPr>
      </w:pPr>
    </w:p>
    <w:p w:rsidR="000C77BA" w:rsidRDefault="000C77BA" w:rsidP="000C77BA">
      <w:pPr>
        <w:spacing w:after="0" w:line="240" w:lineRule="auto"/>
        <w:ind w:right="-426"/>
        <w:rPr>
          <w:rFonts w:ascii="Calibri" w:eastAsia="Calibri" w:hAnsi="Calibri" w:cs="David"/>
          <w:b/>
          <w:bCs/>
          <w:color w:val="0000CC"/>
          <w:sz w:val="36"/>
          <w:szCs w:val="36"/>
          <w:rtl/>
        </w:rPr>
      </w:pPr>
    </w:p>
    <w:p w:rsidR="00014D99" w:rsidRDefault="00491F51" w:rsidP="000C77BA">
      <w:pPr>
        <w:spacing w:after="200" w:line="360" w:lineRule="auto"/>
        <w:jc w:val="right"/>
        <w:rPr>
          <w:rFonts w:ascii="Calibri" w:eastAsia="Calibri" w:hAnsi="Calibri" w:cs="David"/>
          <w:b/>
          <w:bCs/>
          <w:color w:val="0000CC"/>
          <w:sz w:val="36"/>
          <w:szCs w:val="36"/>
          <w:rtl/>
        </w:rPr>
      </w:pPr>
      <w:r>
        <w:rPr>
          <w:rFonts w:ascii="Calibri" w:eastAsia="Calibri" w:hAnsi="Calibri" w:cs="David" w:hint="cs"/>
          <w:b/>
          <w:bCs/>
          <w:color w:val="0000CC"/>
          <w:sz w:val="36"/>
          <w:szCs w:val="36"/>
          <w:rtl/>
        </w:rPr>
        <w:t>אפריל</w:t>
      </w:r>
      <w:r w:rsidR="000C77BA">
        <w:rPr>
          <w:rFonts w:ascii="Calibri" w:eastAsia="Calibri" w:hAnsi="Calibri" w:cs="David" w:hint="cs"/>
          <w:b/>
          <w:bCs/>
          <w:color w:val="0000CC"/>
          <w:sz w:val="36"/>
          <w:szCs w:val="36"/>
          <w:rtl/>
        </w:rPr>
        <w:t xml:space="preserve"> 2017</w:t>
      </w:r>
      <w:r w:rsidR="002C07E8">
        <w:rPr>
          <w:rFonts w:ascii="Calibri" w:eastAsia="Calibri" w:hAnsi="Calibri" w:cs="David" w:hint="cs"/>
          <w:b/>
          <w:bCs/>
          <w:color w:val="0000CC"/>
          <w:sz w:val="36"/>
          <w:szCs w:val="36"/>
          <w:rtl/>
        </w:rPr>
        <w:t xml:space="preserve">  </w:t>
      </w:r>
    </w:p>
    <w:p w:rsidR="002C07E8" w:rsidRDefault="002C07E8" w:rsidP="000C77BA">
      <w:pPr>
        <w:spacing w:after="200" w:line="360" w:lineRule="auto"/>
        <w:jc w:val="right"/>
        <w:rPr>
          <w:rFonts w:ascii="Calibri" w:eastAsia="Calibri" w:hAnsi="Calibri" w:cs="David"/>
          <w:b/>
          <w:bCs/>
          <w:color w:val="0000CC"/>
          <w:sz w:val="36"/>
          <w:szCs w:val="36"/>
          <w:rtl/>
        </w:rPr>
      </w:pPr>
      <w:r>
        <w:rPr>
          <w:rFonts w:ascii="Calibri" w:eastAsia="Calibri" w:hAnsi="Calibri" w:cs="David" w:hint="cs"/>
          <w:b/>
          <w:bCs/>
          <w:color w:val="0000CC"/>
          <w:sz w:val="36"/>
          <w:szCs w:val="36"/>
          <w:rtl/>
        </w:rPr>
        <w:t xml:space="preserve">                                                              </w:t>
      </w:r>
    </w:p>
    <w:p w:rsidR="002C07E8" w:rsidRDefault="001E44D9" w:rsidP="002C07E8">
      <w:pPr>
        <w:spacing w:after="200" w:line="360" w:lineRule="auto"/>
        <w:jc w:val="center"/>
        <w:rPr>
          <w:rFonts w:cs="David"/>
          <w:b/>
          <w:bCs/>
          <w:sz w:val="30"/>
          <w:szCs w:val="30"/>
          <w:rtl/>
        </w:rPr>
      </w:pPr>
      <w:r w:rsidRPr="009E6422">
        <w:rPr>
          <w:rFonts w:ascii="Times New Roman" w:eastAsia="Times New Roman" w:hAnsi="Times New Roman" w:cs="David"/>
          <w:b/>
          <w:bCs/>
          <w:noProof/>
          <w:sz w:val="24"/>
          <w:szCs w:val="24"/>
          <w:rtl/>
        </w:rPr>
        <mc:AlternateContent>
          <mc:Choice Requires="wpg">
            <w:drawing>
              <wp:anchor distT="0" distB="0" distL="114300" distR="114300" simplePos="0" relativeHeight="251664384" behindDoc="0" locked="0" layoutInCell="1" allowOverlap="1" wp14:anchorId="182D26FE" wp14:editId="173DA6A8">
                <wp:simplePos x="0" y="0"/>
                <wp:positionH relativeFrom="margin">
                  <wp:posOffset>-828675</wp:posOffset>
                </wp:positionH>
                <wp:positionV relativeFrom="margin">
                  <wp:posOffset>8953500</wp:posOffset>
                </wp:positionV>
                <wp:extent cx="6898005" cy="737870"/>
                <wp:effectExtent l="0" t="0" r="17145" b="24130"/>
                <wp:wrapNone/>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05" cy="737870"/>
                          <a:chOff x="0" y="-1115"/>
                          <a:chExt cx="20000" cy="21820"/>
                        </a:xfrm>
                      </wpg:grpSpPr>
                      <wps:wsp>
                        <wps:cNvPr id="24" name="Freeform 11"/>
                        <wps:cNvSpPr>
                          <a:spLocks/>
                        </wps:cNvSpPr>
                        <wps:spPr bwMode="auto">
                          <a:xfrm>
                            <a:off x="4870" y="6315"/>
                            <a:ext cx="15130" cy="9731"/>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25" name="Freeform 12"/>
                        <wps:cNvSpPr>
                          <a:spLocks/>
                        </wps:cNvSpPr>
                        <wps:spPr bwMode="auto">
                          <a:xfrm>
                            <a:off x="0" y="7429"/>
                            <a:ext cx="3110" cy="8617"/>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26" name="Group 13"/>
                        <wpg:cNvGrpSpPr>
                          <a:grpSpLocks/>
                        </wpg:cNvGrpSpPr>
                        <wpg:grpSpPr bwMode="auto">
                          <a:xfrm>
                            <a:off x="2893" y="-1115"/>
                            <a:ext cx="2341" cy="21820"/>
                            <a:chOff x="-2460" y="-1115"/>
                            <a:chExt cx="27076" cy="21820"/>
                          </a:xfrm>
                        </wpg:grpSpPr>
                        <wps:wsp>
                          <wps:cNvPr id="27" name="Freeform 14"/>
                          <wps:cNvSpPr>
                            <a:spLocks/>
                          </wps:cNvSpPr>
                          <wps:spPr bwMode="auto">
                            <a:xfrm>
                              <a:off x="-2460" y="-1115"/>
                              <a:ext cx="21205" cy="17957"/>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28" name="Freeform 15"/>
                          <wps:cNvSpPr>
                            <a:spLocks/>
                          </wps:cNvSpPr>
                          <wps:spPr bwMode="auto">
                            <a:xfrm>
                              <a:off x="3512" y="2972"/>
                              <a:ext cx="21104" cy="17733"/>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386C3" id="Group 10" o:spid="_x0000_s1026" style="position:absolute;left:0;text-align:left;margin-left:-65.25pt;margin-top:705pt;width:543.15pt;height:58.1pt;z-index:251664384;mso-position-horizontal-relative:margin;mso-position-vertical-relative:margin" coordorigin=",-1115" coordsize="20000,2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">
                <v:shape id="Freeform 11" o:spid="_x0000_s1027" style="position:absolute;left:4870;top:6315;width:15130;height:973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NcUA&#10;AADbAAAADwAAAGRycy9kb3ducmV2LnhtbESP3WrCQBSE7wu+w3KE3ohuakU0ukpIKRWEFn8e4JA9&#10;TVKzZ8PuauLbdwtCL4eZ+YZZb3vTiBs5X1tW8DJJQBAXVtdcKjif3scLED4ga2wsk4I7edhuBk9r&#10;TLXt+EC3YyhFhLBPUUEVQptK6YuKDPqJbYmj922dwRClK6V22EW4aeQ0SebSYM1xocKW8oqKy/Fq&#10;FLw1Sba7jl6znw+XX/afXzl2y7tSz8M+W4EI1If/8KO90wqmM/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8dE1xQAAANsAAAAPAAAAAAAAAAAAAAAAAJgCAABkcnMv&#10;ZG93bnJldi54bWxQSwUGAAAAAAQABAD1AAAAigMAAAAA&#10;" path="m1091,l,19950r19998,l19998,,1091,xe" fillcolor="blue" strokeweight="2pt">
                  <v:stroke startarrowwidth="narrow" startarrowlength="short" endarrowwidth="narrow" endarrowlength="short"/>
                  <v:path arrowok="t" o:connecttype="custom" o:connectlocs="825,0;0,9707;15128,9707;15128,0;825,0" o:connectangles="0,0,0,0,0"/>
                </v:shape>
                <v:shape id="Freeform 12" o:spid="_x0000_s1028" style="position:absolute;top:7429;width:3110;height:86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WEsIA&#10;AADbAAAADwAAAGRycy9kb3ducmV2LnhtbESPQYvCMBSE74L/ITzBm6YKFammRUTBw4qs9bB7ezTP&#10;tti8lCar9d8bYcHjMDPfMOusN424U+dqywpm0wgEcWF1zaWCS76fLEE4j6yxsUwKnuQgS4eDNSba&#10;Pvib7mdfigBhl6CCyvs2kdIVFRl0U9sSB+9qO4M+yK6UusNHgJtGzqNoIQ3WHBYqbGlbUXE7/xkF&#10;8Yla+4W/O3/A4/MSz/Id/uRKjUf9ZgXCU+8/4f/2QSuYx/D+En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xYSwgAAANsAAAAPAAAAAAAAAAAAAAAAAJgCAABkcnMvZG93&#10;bnJldi54bWxQSwUGAAAAAAQABAD1AAAAhwMAAAAA&#10;" path="m19988,l15324,19950,,19950,4664,,19988,e" fillcolor="blue" strokeweight="2pt">
                  <v:stroke startarrowwidth="narrow" startarrowlength="short" endarrowwidth="narrow" endarrowlength="short"/>
                  <v:path arrowok="t" o:connecttype="custom" o:connectlocs="3108,0;2383,8595;0,8595;725,0;3108,0" o:connectangles="0,0,0,0,0"/>
                </v:shape>
                <v:group id="Group 13" o:spid="_x0000_s1029" style="position:absolute;left:2893;top:-1115;width:2341;height:21820" coordorigin="-2460,-1115" coordsize="27076,2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 o:spid="_x0000_s1030" style="position:absolute;left:-2460;top:-1115;width:21205;height:1795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PQsUA&#10;AADbAAAADwAAAGRycy9kb3ducmV2LnhtbESP3WrCQBSE7wu+w3KE3ohuasGf6CohpVQQWvx5gEP2&#10;NEnNng27q4lv3y0IvRxm5htmve1NI27kfG1ZwcskAUFcWF1zqeB8eh8vQPiArLGxTAru5GG7GTyt&#10;MdW24wPdjqEUEcI+RQVVCG0qpS8qMugntiWO3rd1BkOUrpTaYRfhppHTJJlJgzXHhQpbyisqLser&#10;UfDWJNnuOnrNfj5cftl/fuXYLe9KPQ/7bAUiUB/+w4/2TiuYzu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09CxQAAANsAAAAPAAAAAAAAAAAAAAAAAJgCAABkcnMv&#10;ZG93bnJldi54bWxQSwUGAAAAAAQABAD1AAAAigMAAAAA&#10;" path="m,19967l19974,,17763,19967,,19967xe" fillcolor="blue" strokeweight="2pt">
                    <v:stroke startarrowwidth="narrow" startarrowlength="short" endarrowwidth="narrow" endarrowlength="short"/>
                    <v:path arrowok="t" o:connecttype="custom" o:connectlocs="0,17927;21177,0;18833,17927;0,17927" o:connectangles="0,0,0,0"/>
                  </v:shape>
                  <v:shape id="Freeform 15" o:spid="_x0000_s1031" style="position:absolute;left:3512;top:2972;width:21104;height:1773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bMMIA&#10;AADbAAAADwAAAGRycy9kb3ducmV2LnhtbERP3WrCMBS+H+wdwhnsZsxUBXGdqZTKUBgo6h7g0Bzb&#10;2uakJNHWt18uBrv8+P5X69F04k7ON5YVTCcJCOLS6oYrBT/nr/clCB+QNXaWScGDPKyz56cVptoO&#10;fKT7KVQihrBPUUEdQp9K6cuaDPqJ7Ykjd7HOYIjQVVI7HGK46eQsSRbSYMOxocaeiprK9nQzCjZd&#10;ku9ub/P8unVF+70/FDh8PJR6fRnzTxCBxvAv/nPvtIJZHBu/xB8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NswwgAAANsAAAAPAAAAAAAAAAAAAAAAAJgCAABkcnMvZG93&#10;bnJldi54bWxQSwUGAAAAAAQABAD1AAAAhwMAAAAA&#10;" path="m19974,l,19964,2211,,19974,xe" fillcolor="blue" strokeweight="2pt">
                    <v:stroke startarrowwidth="narrow" startarrowlength="short" endarrowwidth="narrow" endarrowlength="short"/>
                    <v:path arrowok="t" o:connecttype="custom" o:connectlocs="21077,0;0,17701;2333,0;21077,0" o:connectangles="0,0,0,0"/>
                  </v:shape>
                </v:group>
                <w10:wrap anchorx="margin" anchory="margin"/>
              </v:group>
            </w:pict>
          </mc:Fallback>
        </mc:AlternateContent>
      </w:r>
    </w:p>
    <w:p w:rsidR="002C07E8" w:rsidRDefault="00125981" w:rsidP="004B5283">
      <w:pPr>
        <w:spacing w:after="200" w:line="360" w:lineRule="auto"/>
        <w:rPr>
          <w:rFonts w:cs="David"/>
          <w:b/>
          <w:bCs/>
          <w:sz w:val="36"/>
          <w:szCs w:val="36"/>
          <w:rtl/>
        </w:rPr>
      </w:pPr>
      <w:r>
        <w:rPr>
          <w:rFonts w:cs="David" w:hint="cs"/>
          <w:b/>
          <w:bCs/>
          <w:sz w:val="36"/>
          <w:szCs w:val="36"/>
          <w:rtl/>
        </w:rPr>
        <w:lastRenderedPageBreak/>
        <w:t>תוכן העניינים:</w:t>
      </w:r>
    </w:p>
    <w:p w:rsidR="00FA2B16" w:rsidRPr="007B6C23" w:rsidRDefault="00FA2B16" w:rsidP="00FA2B16">
      <w:pPr>
        <w:spacing w:line="360" w:lineRule="auto"/>
        <w:ind w:right="709"/>
        <w:jc w:val="both"/>
        <w:rPr>
          <w:rFonts w:cs="David"/>
          <w:b/>
          <w:bCs/>
          <w:sz w:val="32"/>
          <w:szCs w:val="32"/>
        </w:rPr>
      </w:pPr>
      <w:r w:rsidRPr="007B6C23">
        <w:rPr>
          <w:rFonts w:cs="David" w:hint="cs"/>
          <w:b/>
          <w:bCs/>
          <w:sz w:val="32"/>
          <w:szCs w:val="32"/>
          <w:rtl/>
        </w:rPr>
        <w:t>מבוא</w:t>
      </w:r>
      <w:r>
        <w:rPr>
          <w:rFonts w:cs="David" w:hint="cs"/>
          <w:b/>
          <w:bCs/>
          <w:sz w:val="32"/>
          <w:szCs w:val="32"/>
          <w:rtl/>
        </w:rPr>
        <w:t xml:space="preserve">                                                                                                  </w:t>
      </w:r>
      <w:r w:rsidR="00C20816">
        <w:rPr>
          <w:rFonts w:cs="David" w:hint="cs"/>
          <w:b/>
          <w:bCs/>
          <w:sz w:val="32"/>
          <w:szCs w:val="32"/>
          <w:rtl/>
        </w:rPr>
        <w:t xml:space="preserve">  </w:t>
      </w:r>
      <w:r>
        <w:rPr>
          <w:rFonts w:cs="David" w:hint="cs"/>
          <w:b/>
          <w:bCs/>
          <w:sz w:val="32"/>
          <w:szCs w:val="32"/>
          <w:rtl/>
        </w:rPr>
        <w:t xml:space="preserve">      </w:t>
      </w:r>
      <w:r w:rsidRPr="00DE144B">
        <w:rPr>
          <w:rFonts w:cs="David" w:hint="cs"/>
          <w:sz w:val="32"/>
          <w:szCs w:val="32"/>
          <w:rtl/>
        </w:rPr>
        <w:t>5</w:t>
      </w:r>
    </w:p>
    <w:p w:rsidR="00FA2B16" w:rsidRDefault="007B0D1F" w:rsidP="007B0D1F">
      <w:pPr>
        <w:spacing w:line="360" w:lineRule="auto"/>
        <w:ind w:right="426"/>
        <w:rPr>
          <w:rFonts w:cs="David"/>
          <w:b/>
          <w:bCs/>
          <w:sz w:val="32"/>
          <w:szCs w:val="32"/>
          <w:rtl/>
        </w:rPr>
      </w:pPr>
      <w:r>
        <w:rPr>
          <w:rFonts w:cs="David" w:hint="cs"/>
          <w:b/>
          <w:bCs/>
          <w:sz w:val="32"/>
          <w:szCs w:val="32"/>
          <w:rtl/>
        </w:rPr>
        <w:t xml:space="preserve">פרק ראשון </w:t>
      </w:r>
      <w:r w:rsidR="00FA2B16" w:rsidRPr="007B6C23">
        <w:rPr>
          <w:rFonts w:cs="David" w:hint="cs"/>
          <w:b/>
          <w:bCs/>
          <w:sz w:val="32"/>
          <w:szCs w:val="32"/>
          <w:rtl/>
        </w:rPr>
        <w:t xml:space="preserve">- </w:t>
      </w:r>
      <w:r>
        <w:rPr>
          <w:rFonts w:cs="David" w:hint="cs"/>
          <w:b/>
          <w:bCs/>
          <w:sz w:val="32"/>
          <w:szCs w:val="32"/>
          <w:rtl/>
        </w:rPr>
        <w:t>ה</w:t>
      </w:r>
      <w:r w:rsidR="00FA2B16" w:rsidRPr="007B6C23">
        <w:rPr>
          <w:rFonts w:cs="David" w:hint="cs"/>
          <w:b/>
          <w:bCs/>
          <w:sz w:val="32"/>
          <w:szCs w:val="32"/>
          <w:rtl/>
        </w:rPr>
        <w:t xml:space="preserve">מרשתת והרשתות החברתיות </w:t>
      </w:r>
      <w:r>
        <w:rPr>
          <w:rFonts w:cs="David" w:hint="cs"/>
          <w:b/>
          <w:bCs/>
          <w:sz w:val="32"/>
          <w:szCs w:val="32"/>
          <w:rtl/>
        </w:rPr>
        <w:t xml:space="preserve">          </w:t>
      </w:r>
      <w:r w:rsidR="00C20816">
        <w:rPr>
          <w:rFonts w:cs="David" w:hint="cs"/>
          <w:b/>
          <w:bCs/>
          <w:sz w:val="32"/>
          <w:szCs w:val="32"/>
          <w:rtl/>
        </w:rPr>
        <w:t xml:space="preserve">                  </w:t>
      </w:r>
      <w:r>
        <w:rPr>
          <w:rFonts w:cs="David" w:hint="cs"/>
          <w:b/>
          <w:bCs/>
          <w:sz w:val="32"/>
          <w:szCs w:val="32"/>
          <w:rtl/>
        </w:rPr>
        <w:t xml:space="preserve"> </w:t>
      </w:r>
      <w:r w:rsidR="00C20816" w:rsidRPr="00C20816">
        <w:rPr>
          <w:rFonts w:cs="David" w:hint="cs"/>
          <w:sz w:val="28"/>
          <w:szCs w:val="28"/>
          <w:rtl/>
        </w:rPr>
        <w:t xml:space="preserve"> 12</w:t>
      </w:r>
      <w:r>
        <w:rPr>
          <w:rFonts w:cs="David" w:hint="cs"/>
          <w:sz w:val="28"/>
          <w:szCs w:val="28"/>
          <w:rtl/>
        </w:rPr>
        <w:t xml:space="preserve">  </w:t>
      </w:r>
      <w:r w:rsidR="00FA2B16" w:rsidRPr="00C20816">
        <w:rPr>
          <w:rFonts w:cs="David" w:hint="cs"/>
          <w:sz w:val="28"/>
          <w:szCs w:val="28"/>
          <w:rtl/>
        </w:rPr>
        <w:t xml:space="preserve">                                                                </w:t>
      </w:r>
    </w:p>
    <w:p w:rsidR="00FA2B16" w:rsidRPr="007B6C23" w:rsidRDefault="00FA2B16" w:rsidP="00FA2B16">
      <w:pPr>
        <w:spacing w:line="360" w:lineRule="auto"/>
        <w:ind w:right="709"/>
        <w:jc w:val="both"/>
        <w:rPr>
          <w:rFonts w:cs="David"/>
          <w:b/>
          <w:bCs/>
          <w:sz w:val="28"/>
          <w:szCs w:val="28"/>
          <w:rtl/>
        </w:rPr>
      </w:pPr>
      <w:r w:rsidRPr="007B6C23">
        <w:rPr>
          <w:rFonts w:cs="David" w:hint="cs"/>
          <w:b/>
          <w:bCs/>
          <w:sz w:val="28"/>
          <w:szCs w:val="28"/>
          <w:rtl/>
        </w:rPr>
        <w:t>א. 'אבני דרך' בהתפתחות המרשתת והרשתות החברתיות</w:t>
      </w:r>
      <w:r>
        <w:rPr>
          <w:rFonts w:cs="David" w:hint="cs"/>
          <w:b/>
          <w:bCs/>
          <w:sz w:val="28"/>
          <w:szCs w:val="28"/>
          <w:rtl/>
        </w:rPr>
        <w:t xml:space="preserve">                              </w:t>
      </w:r>
      <w:r w:rsidRPr="00DE144B">
        <w:rPr>
          <w:rFonts w:cs="David" w:hint="cs"/>
          <w:sz w:val="28"/>
          <w:szCs w:val="28"/>
          <w:rtl/>
        </w:rPr>
        <w:t>12</w:t>
      </w:r>
      <w:r>
        <w:rPr>
          <w:rFonts w:cs="David" w:hint="cs"/>
          <w:b/>
          <w:bCs/>
          <w:sz w:val="28"/>
          <w:szCs w:val="28"/>
          <w:rtl/>
        </w:rPr>
        <w:t xml:space="preserve">            </w:t>
      </w:r>
    </w:p>
    <w:p w:rsidR="00FA2B16" w:rsidRDefault="00FA2B16" w:rsidP="00FA2B16">
      <w:pPr>
        <w:spacing w:line="360" w:lineRule="auto"/>
        <w:ind w:left="283" w:right="709"/>
        <w:jc w:val="both"/>
        <w:rPr>
          <w:rFonts w:cs="David"/>
          <w:sz w:val="28"/>
          <w:szCs w:val="28"/>
          <w:rtl/>
        </w:rPr>
      </w:pPr>
      <w:r>
        <w:rPr>
          <w:rFonts w:cs="David" w:hint="cs"/>
          <w:sz w:val="28"/>
          <w:szCs w:val="28"/>
          <w:rtl/>
        </w:rPr>
        <w:t xml:space="preserve">א.1 נתוני </w:t>
      </w:r>
      <w:r w:rsidRPr="007B1BE7">
        <w:rPr>
          <w:rFonts w:cs="David" w:hint="cs"/>
          <w:sz w:val="28"/>
          <w:szCs w:val="28"/>
          <w:rtl/>
        </w:rPr>
        <w:t>השימוש במרשתת וברשתות החברתיות בעולם</w:t>
      </w:r>
      <w:r>
        <w:rPr>
          <w:rFonts w:cs="David" w:hint="cs"/>
          <w:sz w:val="28"/>
          <w:szCs w:val="28"/>
          <w:rtl/>
        </w:rPr>
        <w:t xml:space="preserve">                                14 </w:t>
      </w:r>
    </w:p>
    <w:p w:rsidR="00FA2B16" w:rsidRPr="0080028A" w:rsidRDefault="00FA2B16" w:rsidP="00FA2B16">
      <w:pPr>
        <w:spacing w:line="360" w:lineRule="auto"/>
        <w:ind w:left="283" w:right="709"/>
        <w:jc w:val="both"/>
        <w:rPr>
          <w:rFonts w:cs="David"/>
          <w:sz w:val="28"/>
          <w:szCs w:val="28"/>
          <w:rtl/>
        </w:rPr>
      </w:pPr>
      <w:r w:rsidRPr="0080028A">
        <w:rPr>
          <w:rFonts w:cs="David" w:hint="cs"/>
          <w:sz w:val="28"/>
          <w:szCs w:val="28"/>
          <w:rtl/>
        </w:rPr>
        <w:t>א.2 השימוש בטלפונים ניידים בעולם</w:t>
      </w:r>
      <w:r>
        <w:rPr>
          <w:rFonts w:cs="David" w:hint="cs"/>
          <w:sz w:val="28"/>
          <w:szCs w:val="28"/>
          <w:rtl/>
        </w:rPr>
        <w:t xml:space="preserve">                                                          15   </w:t>
      </w:r>
    </w:p>
    <w:p w:rsidR="00FA2B16" w:rsidRPr="007B1BE7" w:rsidRDefault="00FA2B16" w:rsidP="00FA2B16">
      <w:pPr>
        <w:spacing w:line="360" w:lineRule="auto"/>
        <w:ind w:left="283" w:right="709"/>
        <w:jc w:val="both"/>
        <w:rPr>
          <w:rFonts w:cs="David"/>
          <w:sz w:val="28"/>
          <w:szCs w:val="28"/>
          <w:rtl/>
        </w:rPr>
      </w:pPr>
      <w:r w:rsidRPr="007B1BE7">
        <w:rPr>
          <w:rFonts w:cs="David" w:hint="cs"/>
          <w:sz w:val="28"/>
          <w:szCs w:val="28"/>
          <w:rtl/>
        </w:rPr>
        <w:t>א.</w:t>
      </w:r>
      <w:r>
        <w:rPr>
          <w:rFonts w:cs="David" w:hint="cs"/>
          <w:sz w:val="28"/>
          <w:szCs w:val="28"/>
          <w:rtl/>
        </w:rPr>
        <w:t>3</w:t>
      </w:r>
      <w:r w:rsidRPr="007B1BE7">
        <w:rPr>
          <w:rFonts w:cs="David" w:hint="cs"/>
          <w:sz w:val="28"/>
          <w:szCs w:val="28"/>
          <w:rtl/>
        </w:rPr>
        <w:t xml:space="preserve"> נתונים רלוונטיים לישראל</w:t>
      </w:r>
      <w:r>
        <w:rPr>
          <w:rFonts w:cs="David" w:hint="cs"/>
          <w:sz w:val="28"/>
          <w:szCs w:val="28"/>
          <w:rtl/>
        </w:rPr>
        <w:t xml:space="preserve"> </w:t>
      </w:r>
      <w:r>
        <w:rPr>
          <w:rFonts w:cs="David"/>
          <w:sz w:val="28"/>
          <w:szCs w:val="28"/>
          <w:rtl/>
        </w:rPr>
        <w:t>–</w:t>
      </w:r>
      <w:r>
        <w:rPr>
          <w:rFonts w:cs="David" w:hint="cs"/>
          <w:sz w:val="28"/>
          <w:szCs w:val="28"/>
          <w:rtl/>
        </w:rPr>
        <w:t xml:space="preserve"> סיכום שנת 2016                                     16</w:t>
      </w:r>
    </w:p>
    <w:p w:rsidR="00FA2B16" w:rsidRDefault="00FA2B16" w:rsidP="00FA2B16">
      <w:pPr>
        <w:spacing w:line="360" w:lineRule="auto"/>
        <w:ind w:right="709"/>
        <w:jc w:val="both"/>
        <w:rPr>
          <w:rFonts w:cs="David"/>
          <w:b/>
          <w:bCs/>
          <w:sz w:val="32"/>
          <w:szCs w:val="32"/>
          <w:rtl/>
        </w:rPr>
      </w:pPr>
      <w:r w:rsidRPr="00162C32">
        <w:rPr>
          <w:rFonts w:cs="David" w:hint="cs"/>
          <w:b/>
          <w:bCs/>
          <w:sz w:val="32"/>
          <w:szCs w:val="32"/>
          <w:rtl/>
        </w:rPr>
        <w:t>ב.</w:t>
      </w:r>
      <w:r>
        <w:rPr>
          <w:rFonts w:cs="David" w:hint="cs"/>
          <w:b/>
          <w:bCs/>
          <w:sz w:val="32"/>
          <w:szCs w:val="32"/>
          <w:rtl/>
        </w:rPr>
        <w:t xml:space="preserve"> </w:t>
      </w:r>
      <w:r w:rsidRPr="007B6C23">
        <w:rPr>
          <w:rFonts w:cs="David" w:hint="cs"/>
          <w:b/>
          <w:bCs/>
          <w:sz w:val="28"/>
          <w:szCs w:val="28"/>
          <w:rtl/>
        </w:rPr>
        <w:t xml:space="preserve">מאפייני המרשתת והרשתות החברתיות המשפיעים על שיח הגזענות    </w:t>
      </w:r>
      <w:r w:rsidRPr="007B6C23">
        <w:rPr>
          <w:rFonts w:cs="David"/>
          <w:b/>
          <w:bCs/>
          <w:sz w:val="28"/>
          <w:szCs w:val="28"/>
          <w:rtl/>
        </w:rPr>
        <w:br/>
      </w:r>
      <w:r w:rsidRPr="007B6C23">
        <w:rPr>
          <w:rFonts w:cs="David" w:hint="cs"/>
          <w:b/>
          <w:bCs/>
          <w:sz w:val="28"/>
          <w:szCs w:val="28"/>
          <w:rtl/>
        </w:rPr>
        <w:t xml:space="preserve">    </w:t>
      </w:r>
      <w:r>
        <w:rPr>
          <w:rFonts w:cs="David" w:hint="cs"/>
          <w:b/>
          <w:bCs/>
          <w:sz w:val="28"/>
          <w:szCs w:val="28"/>
          <w:rtl/>
        </w:rPr>
        <w:t xml:space="preserve">   </w:t>
      </w:r>
      <w:r w:rsidRPr="007B6C23">
        <w:rPr>
          <w:rFonts w:cs="David" w:hint="cs"/>
          <w:b/>
          <w:bCs/>
          <w:sz w:val="28"/>
          <w:szCs w:val="28"/>
          <w:rtl/>
        </w:rPr>
        <w:t>וההסתה</w:t>
      </w:r>
      <w:r>
        <w:rPr>
          <w:rFonts w:cs="David" w:hint="cs"/>
          <w:b/>
          <w:bCs/>
          <w:sz w:val="32"/>
          <w:szCs w:val="32"/>
          <w:rtl/>
        </w:rPr>
        <w:t xml:space="preserve">                                                                                       </w:t>
      </w:r>
      <w:r w:rsidRPr="00DE144B">
        <w:rPr>
          <w:rFonts w:cs="David" w:hint="cs"/>
          <w:sz w:val="28"/>
          <w:szCs w:val="28"/>
          <w:rtl/>
        </w:rPr>
        <w:t>21</w:t>
      </w:r>
    </w:p>
    <w:p w:rsidR="00FA2B16" w:rsidRPr="00DE144B" w:rsidRDefault="00FA2B16" w:rsidP="00FA2B16">
      <w:pPr>
        <w:spacing w:line="360" w:lineRule="auto"/>
        <w:ind w:right="709"/>
        <w:jc w:val="both"/>
        <w:rPr>
          <w:rFonts w:cs="David"/>
          <w:sz w:val="28"/>
          <w:szCs w:val="28"/>
          <w:rtl/>
        </w:rPr>
      </w:pPr>
      <w:r w:rsidRPr="007B6C23">
        <w:rPr>
          <w:rFonts w:cs="David" w:hint="cs"/>
          <w:b/>
          <w:bCs/>
          <w:sz w:val="28"/>
          <w:szCs w:val="28"/>
          <w:rtl/>
        </w:rPr>
        <w:t>ג. אינטרסים מסחריים של בעלי האתרים והספקים</w:t>
      </w:r>
      <w:r>
        <w:rPr>
          <w:rFonts w:cs="David" w:hint="cs"/>
          <w:b/>
          <w:bCs/>
          <w:sz w:val="28"/>
          <w:szCs w:val="28"/>
          <w:rtl/>
        </w:rPr>
        <w:t xml:space="preserve">                                   </w:t>
      </w:r>
      <w:r w:rsidRPr="00DE144B">
        <w:rPr>
          <w:rFonts w:cs="David" w:hint="cs"/>
          <w:sz w:val="28"/>
          <w:szCs w:val="28"/>
          <w:rtl/>
        </w:rPr>
        <w:t>26</w:t>
      </w:r>
    </w:p>
    <w:p w:rsidR="00FA2B16" w:rsidRPr="0080028A" w:rsidRDefault="00FA2B16" w:rsidP="00FA2B16">
      <w:pPr>
        <w:spacing w:line="360" w:lineRule="auto"/>
        <w:ind w:left="283" w:right="709"/>
        <w:jc w:val="both"/>
        <w:rPr>
          <w:rFonts w:cs="David"/>
          <w:sz w:val="28"/>
          <w:szCs w:val="28"/>
          <w:rtl/>
        </w:rPr>
      </w:pPr>
      <w:r w:rsidRPr="0080028A">
        <w:rPr>
          <w:rFonts w:cs="David" w:hint="cs"/>
          <w:sz w:val="28"/>
          <w:szCs w:val="28"/>
          <w:rtl/>
        </w:rPr>
        <w:t>ג.1 'בועת הפילטר'</w:t>
      </w:r>
      <w:r>
        <w:rPr>
          <w:rFonts w:cs="David" w:hint="cs"/>
          <w:sz w:val="28"/>
          <w:szCs w:val="28"/>
          <w:rtl/>
        </w:rPr>
        <w:t xml:space="preserve">                                                                                     26</w:t>
      </w:r>
    </w:p>
    <w:p w:rsidR="00FA2B16" w:rsidRPr="00D37483" w:rsidRDefault="00FA2B16" w:rsidP="007B0D1F">
      <w:pPr>
        <w:spacing w:line="360" w:lineRule="auto"/>
        <w:ind w:right="567"/>
        <w:rPr>
          <w:rFonts w:cs="David"/>
          <w:b/>
          <w:bCs/>
          <w:sz w:val="32"/>
          <w:szCs w:val="32"/>
          <w:rtl/>
        </w:rPr>
      </w:pPr>
      <w:r w:rsidRPr="00D37483">
        <w:rPr>
          <w:rFonts w:cs="David" w:hint="cs"/>
          <w:b/>
          <w:bCs/>
          <w:sz w:val="32"/>
          <w:szCs w:val="32"/>
          <w:rtl/>
        </w:rPr>
        <w:t>פרק שני</w:t>
      </w:r>
      <w:r>
        <w:rPr>
          <w:rFonts w:cs="David" w:hint="cs"/>
          <w:b/>
          <w:bCs/>
          <w:sz w:val="32"/>
          <w:szCs w:val="32"/>
          <w:rtl/>
        </w:rPr>
        <w:t xml:space="preserve"> </w:t>
      </w:r>
      <w:r w:rsidRPr="00D37483">
        <w:rPr>
          <w:rFonts w:cs="David" w:hint="cs"/>
          <w:b/>
          <w:bCs/>
          <w:sz w:val="32"/>
          <w:szCs w:val="32"/>
          <w:rtl/>
        </w:rPr>
        <w:t>- חופש הביטוי ועבירות ההסתה לגזענו</w:t>
      </w:r>
      <w:r w:rsidR="00BC5357">
        <w:rPr>
          <w:rFonts w:cs="David" w:hint="cs"/>
          <w:b/>
          <w:bCs/>
          <w:sz w:val="32"/>
          <w:szCs w:val="32"/>
          <w:rtl/>
        </w:rPr>
        <w:t>ת</w:t>
      </w:r>
      <w:r w:rsidRPr="00D37483">
        <w:rPr>
          <w:rFonts w:cs="David" w:hint="cs"/>
          <w:b/>
          <w:bCs/>
          <w:sz w:val="32"/>
          <w:szCs w:val="32"/>
          <w:rtl/>
        </w:rPr>
        <w:t xml:space="preserve"> ולאלימות - מתחים וגבולות</w:t>
      </w:r>
      <w:r>
        <w:rPr>
          <w:rFonts w:cs="David" w:hint="cs"/>
          <w:b/>
          <w:bCs/>
          <w:sz w:val="32"/>
          <w:szCs w:val="32"/>
          <w:rtl/>
        </w:rPr>
        <w:t xml:space="preserve">                                                        </w:t>
      </w:r>
      <w:r w:rsidR="007B0D1F">
        <w:rPr>
          <w:rFonts w:cs="David" w:hint="cs"/>
          <w:b/>
          <w:bCs/>
          <w:sz w:val="32"/>
          <w:szCs w:val="32"/>
          <w:rtl/>
        </w:rPr>
        <w:t xml:space="preserve">                   </w:t>
      </w:r>
      <w:r>
        <w:rPr>
          <w:rFonts w:cs="David" w:hint="cs"/>
          <w:b/>
          <w:bCs/>
          <w:sz w:val="32"/>
          <w:szCs w:val="32"/>
          <w:rtl/>
        </w:rPr>
        <w:t xml:space="preserve"> </w:t>
      </w:r>
      <w:r w:rsidR="007B0D1F">
        <w:rPr>
          <w:rFonts w:cs="David" w:hint="cs"/>
          <w:b/>
          <w:bCs/>
          <w:sz w:val="32"/>
          <w:szCs w:val="32"/>
          <w:rtl/>
        </w:rPr>
        <w:t xml:space="preserve">  </w:t>
      </w:r>
      <w:r>
        <w:rPr>
          <w:rFonts w:cs="David" w:hint="cs"/>
          <w:b/>
          <w:bCs/>
          <w:sz w:val="32"/>
          <w:szCs w:val="32"/>
          <w:rtl/>
        </w:rPr>
        <w:t xml:space="preserve"> </w:t>
      </w:r>
      <w:r w:rsidRPr="00DE144B">
        <w:rPr>
          <w:rFonts w:cs="David" w:hint="cs"/>
          <w:sz w:val="28"/>
          <w:szCs w:val="28"/>
          <w:rtl/>
        </w:rPr>
        <w:t>30</w:t>
      </w:r>
      <w:r w:rsidR="007B0D1F">
        <w:rPr>
          <w:rFonts w:cs="David" w:hint="cs"/>
          <w:sz w:val="28"/>
          <w:szCs w:val="28"/>
          <w:rtl/>
        </w:rPr>
        <w:t xml:space="preserve"> </w:t>
      </w:r>
    </w:p>
    <w:p w:rsidR="00FA2B16" w:rsidRPr="00DE144B" w:rsidRDefault="00FA2B16" w:rsidP="00FA2B16">
      <w:pPr>
        <w:spacing w:line="360" w:lineRule="auto"/>
        <w:ind w:right="709"/>
        <w:jc w:val="both"/>
        <w:rPr>
          <w:rFonts w:cs="David"/>
          <w:sz w:val="28"/>
          <w:szCs w:val="28"/>
          <w:rtl/>
        </w:rPr>
      </w:pPr>
      <w:r w:rsidRPr="00D37483">
        <w:rPr>
          <w:rFonts w:cs="David" w:hint="cs"/>
          <w:b/>
          <w:bCs/>
          <w:sz w:val="28"/>
          <w:szCs w:val="28"/>
          <w:rtl/>
        </w:rPr>
        <w:t>א. התפתחות מעמד חופש הביטוי במשפט הישראלי</w:t>
      </w:r>
      <w:r>
        <w:rPr>
          <w:rFonts w:cs="David" w:hint="cs"/>
          <w:b/>
          <w:bCs/>
          <w:sz w:val="24"/>
          <w:szCs w:val="24"/>
          <w:rtl/>
        </w:rPr>
        <w:t xml:space="preserve">                                     </w:t>
      </w:r>
      <w:r w:rsidRPr="00DE144B">
        <w:rPr>
          <w:rFonts w:cs="David" w:hint="cs"/>
          <w:sz w:val="28"/>
          <w:szCs w:val="28"/>
          <w:rtl/>
        </w:rPr>
        <w:t xml:space="preserve">  30</w:t>
      </w:r>
    </w:p>
    <w:p w:rsidR="00FA2B16" w:rsidRPr="001E569C" w:rsidRDefault="00FA2B16" w:rsidP="00FA2B16">
      <w:pPr>
        <w:spacing w:line="360" w:lineRule="auto"/>
        <w:ind w:left="-57" w:right="709"/>
        <w:jc w:val="both"/>
        <w:rPr>
          <w:rFonts w:cs="David"/>
          <w:sz w:val="28"/>
          <w:szCs w:val="28"/>
          <w:rtl/>
        </w:rPr>
      </w:pPr>
      <w:r>
        <w:rPr>
          <w:rFonts w:cs="David" w:hint="cs"/>
          <w:sz w:val="28"/>
          <w:szCs w:val="28"/>
          <w:rtl/>
        </w:rPr>
        <w:t xml:space="preserve">      א</w:t>
      </w:r>
      <w:r w:rsidRPr="001E569C">
        <w:rPr>
          <w:rFonts w:cs="David" w:hint="cs"/>
          <w:sz w:val="28"/>
          <w:szCs w:val="28"/>
          <w:rtl/>
        </w:rPr>
        <w:t>.1 מקום המדינה ועד חקיקת חוקי היסוד (1992-1948)</w:t>
      </w:r>
      <w:r>
        <w:rPr>
          <w:rFonts w:cs="David" w:hint="cs"/>
          <w:sz w:val="28"/>
          <w:szCs w:val="28"/>
          <w:rtl/>
        </w:rPr>
        <w:t xml:space="preserve">                         30</w:t>
      </w:r>
    </w:p>
    <w:p w:rsidR="00FA2B16" w:rsidRPr="001E569C" w:rsidRDefault="00FA2B16" w:rsidP="00FA2B16">
      <w:pPr>
        <w:spacing w:line="360" w:lineRule="auto"/>
        <w:ind w:left="-57" w:right="709"/>
        <w:jc w:val="both"/>
        <w:rPr>
          <w:rFonts w:cs="David"/>
          <w:sz w:val="28"/>
          <w:szCs w:val="28"/>
          <w:rtl/>
        </w:rPr>
      </w:pPr>
      <w:r w:rsidRPr="001E569C">
        <w:rPr>
          <w:rFonts w:cs="David" w:hint="cs"/>
          <w:sz w:val="28"/>
          <w:szCs w:val="28"/>
          <w:rtl/>
        </w:rPr>
        <w:t xml:space="preserve">     </w:t>
      </w:r>
      <w:r>
        <w:rPr>
          <w:rFonts w:cs="David" w:hint="cs"/>
          <w:sz w:val="28"/>
          <w:szCs w:val="28"/>
          <w:rtl/>
        </w:rPr>
        <w:t>א</w:t>
      </w:r>
      <w:r w:rsidRPr="001E569C">
        <w:rPr>
          <w:rFonts w:cs="David" w:hint="cs"/>
          <w:sz w:val="28"/>
          <w:szCs w:val="28"/>
          <w:rtl/>
        </w:rPr>
        <w:t>.2 מחקיקת חוקי היסוד ועד היום (2016-1992)</w:t>
      </w:r>
      <w:r>
        <w:rPr>
          <w:rFonts w:cs="David" w:hint="cs"/>
          <w:sz w:val="28"/>
          <w:szCs w:val="28"/>
          <w:rtl/>
        </w:rPr>
        <w:t xml:space="preserve">                                       32</w:t>
      </w:r>
    </w:p>
    <w:p w:rsidR="00FA2B16" w:rsidRPr="00D37483" w:rsidRDefault="00FA2B16" w:rsidP="00FA2B16">
      <w:pPr>
        <w:spacing w:line="360" w:lineRule="auto"/>
        <w:ind w:right="709"/>
        <w:jc w:val="both"/>
        <w:rPr>
          <w:rFonts w:cs="David"/>
          <w:b/>
          <w:bCs/>
          <w:sz w:val="28"/>
          <w:szCs w:val="28"/>
          <w:rtl/>
        </w:rPr>
      </w:pPr>
      <w:r w:rsidRPr="00D37483">
        <w:rPr>
          <w:rFonts w:cs="David" w:hint="cs"/>
          <w:b/>
          <w:bCs/>
          <w:sz w:val="28"/>
          <w:szCs w:val="28"/>
          <w:rtl/>
        </w:rPr>
        <w:t>ב. חופש הביטוי מול אינטרסים וערכים אחרים</w:t>
      </w:r>
      <w:r>
        <w:rPr>
          <w:rFonts w:cs="David" w:hint="cs"/>
          <w:b/>
          <w:bCs/>
          <w:sz w:val="28"/>
          <w:szCs w:val="28"/>
          <w:rtl/>
        </w:rPr>
        <w:t xml:space="preserve">                                          </w:t>
      </w:r>
      <w:r w:rsidRPr="00DE144B">
        <w:rPr>
          <w:rFonts w:cs="David" w:hint="cs"/>
          <w:sz w:val="28"/>
          <w:szCs w:val="28"/>
          <w:rtl/>
        </w:rPr>
        <w:t>35</w:t>
      </w:r>
    </w:p>
    <w:p w:rsidR="00FA2B16" w:rsidRPr="00D37483" w:rsidRDefault="00FA2B16" w:rsidP="00FA2B16">
      <w:pPr>
        <w:spacing w:line="360" w:lineRule="auto"/>
        <w:ind w:right="709"/>
        <w:jc w:val="both"/>
        <w:rPr>
          <w:rFonts w:cs="David"/>
          <w:b/>
          <w:bCs/>
          <w:sz w:val="28"/>
          <w:szCs w:val="28"/>
        </w:rPr>
      </w:pPr>
      <w:r w:rsidRPr="00D37483">
        <w:rPr>
          <w:rFonts w:cs="David" w:hint="cs"/>
          <w:b/>
          <w:bCs/>
          <w:sz w:val="28"/>
          <w:szCs w:val="28"/>
          <w:rtl/>
        </w:rPr>
        <w:t>ג. התפתחות החקיקה בעבירות ההסתה לגזענות ולאלימות</w:t>
      </w:r>
      <w:r>
        <w:rPr>
          <w:rFonts w:cs="David" w:hint="cs"/>
          <w:b/>
          <w:bCs/>
          <w:sz w:val="28"/>
          <w:szCs w:val="28"/>
          <w:rtl/>
        </w:rPr>
        <w:t xml:space="preserve">                        </w:t>
      </w:r>
      <w:r w:rsidRPr="00DE144B">
        <w:rPr>
          <w:rFonts w:cs="David" w:hint="cs"/>
          <w:sz w:val="28"/>
          <w:szCs w:val="28"/>
          <w:rtl/>
        </w:rPr>
        <w:t>36</w:t>
      </w:r>
    </w:p>
    <w:p w:rsidR="00FA2B16" w:rsidRDefault="00FA2B16" w:rsidP="00FA2B16">
      <w:pPr>
        <w:spacing w:line="360" w:lineRule="auto"/>
        <w:ind w:left="283" w:right="709"/>
        <w:jc w:val="both"/>
        <w:rPr>
          <w:rFonts w:cs="David"/>
          <w:sz w:val="28"/>
          <w:szCs w:val="28"/>
          <w:rtl/>
        </w:rPr>
      </w:pPr>
      <w:r>
        <w:rPr>
          <w:rFonts w:cs="David" w:hint="cs"/>
          <w:sz w:val="28"/>
          <w:szCs w:val="28"/>
          <w:rtl/>
        </w:rPr>
        <w:t>ג.1 עבירת ההסתה לגזענות                                                                        36</w:t>
      </w:r>
    </w:p>
    <w:p w:rsidR="00FA2B16" w:rsidRDefault="00FA2B16" w:rsidP="00FA2B16">
      <w:pPr>
        <w:spacing w:line="360" w:lineRule="auto"/>
        <w:ind w:left="283" w:right="709"/>
        <w:jc w:val="both"/>
        <w:rPr>
          <w:rFonts w:cs="David"/>
          <w:sz w:val="28"/>
          <w:szCs w:val="28"/>
          <w:rtl/>
        </w:rPr>
      </w:pPr>
      <w:r>
        <w:rPr>
          <w:rFonts w:cs="David" w:hint="cs"/>
          <w:sz w:val="28"/>
          <w:szCs w:val="28"/>
          <w:rtl/>
        </w:rPr>
        <w:t>ג.2 עבירת ההסתה לאלימות                                                                     42</w:t>
      </w:r>
    </w:p>
    <w:p w:rsidR="00FA2B16" w:rsidRPr="00D37483" w:rsidRDefault="00FA2B16" w:rsidP="00FA2B16">
      <w:pPr>
        <w:spacing w:line="360" w:lineRule="auto"/>
        <w:ind w:right="709"/>
        <w:jc w:val="both"/>
        <w:rPr>
          <w:rFonts w:cs="David"/>
          <w:b/>
          <w:bCs/>
          <w:sz w:val="28"/>
          <w:szCs w:val="28"/>
          <w:rtl/>
        </w:rPr>
      </w:pPr>
      <w:r w:rsidRPr="00D37483">
        <w:rPr>
          <w:rFonts w:cs="David" w:hint="cs"/>
          <w:b/>
          <w:bCs/>
          <w:sz w:val="28"/>
          <w:szCs w:val="28"/>
          <w:rtl/>
        </w:rPr>
        <w:t>ד. יסודות עבירות ההסתה לגזענות ולאלימות</w:t>
      </w:r>
      <w:r>
        <w:rPr>
          <w:rFonts w:cs="David" w:hint="cs"/>
          <w:b/>
          <w:bCs/>
          <w:sz w:val="28"/>
          <w:szCs w:val="28"/>
          <w:rtl/>
        </w:rPr>
        <w:t xml:space="preserve">                                              </w:t>
      </w:r>
      <w:r w:rsidRPr="00DE144B">
        <w:rPr>
          <w:rFonts w:cs="David" w:hint="cs"/>
          <w:sz w:val="28"/>
          <w:szCs w:val="28"/>
          <w:rtl/>
        </w:rPr>
        <w:t>43</w:t>
      </w:r>
    </w:p>
    <w:p w:rsidR="00FA2B16" w:rsidRPr="001E569C" w:rsidRDefault="00FA2B16" w:rsidP="00FA2B16">
      <w:pPr>
        <w:spacing w:line="360" w:lineRule="auto"/>
        <w:ind w:left="283" w:right="709"/>
        <w:jc w:val="both"/>
        <w:rPr>
          <w:rFonts w:cs="David"/>
          <w:sz w:val="28"/>
          <w:szCs w:val="28"/>
          <w:rtl/>
        </w:rPr>
      </w:pPr>
      <w:r>
        <w:rPr>
          <w:rFonts w:cs="David" w:hint="cs"/>
          <w:sz w:val="28"/>
          <w:szCs w:val="28"/>
          <w:rtl/>
        </w:rPr>
        <w:t>ד</w:t>
      </w:r>
      <w:r w:rsidRPr="001E569C">
        <w:rPr>
          <w:rFonts w:cs="David" w:hint="cs"/>
          <w:sz w:val="28"/>
          <w:szCs w:val="28"/>
          <w:rtl/>
        </w:rPr>
        <w:t>.1 יסודות עבירת ההסתה לגזענות</w:t>
      </w:r>
      <w:r>
        <w:rPr>
          <w:rFonts w:cs="David" w:hint="cs"/>
          <w:sz w:val="28"/>
          <w:szCs w:val="28"/>
          <w:rtl/>
        </w:rPr>
        <w:t xml:space="preserve">                                                           44</w:t>
      </w:r>
    </w:p>
    <w:p w:rsidR="00FA2B16" w:rsidRPr="001E569C" w:rsidRDefault="00FA2B16" w:rsidP="00FA2B16">
      <w:pPr>
        <w:spacing w:line="360" w:lineRule="auto"/>
        <w:ind w:left="567" w:right="709"/>
        <w:jc w:val="both"/>
        <w:rPr>
          <w:rFonts w:cs="David"/>
          <w:sz w:val="28"/>
          <w:szCs w:val="28"/>
          <w:rtl/>
        </w:rPr>
      </w:pPr>
      <w:r>
        <w:rPr>
          <w:rFonts w:cs="David" w:hint="cs"/>
          <w:sz w:val="28"/>
          <w:szCs w:val="28"/>
          <w:rtl/>
        </w:rPr>
        <w:t>ד</w:t>
      </w:r>
      <w:r w:rsidRPr="001E569C">
        <w:rPr>
          <w:rFonts w:cs="David" w:hint="cs"/>
          <w:sz w:val="28"/>
          <w:szCs w:val="28"/>
          <w:rtl/>
        </w:rPr>
        <w:t>.1.1 היסוד העובדתי</w:t>
      </w:r>
      <w:r>
        <w:rPr>
          <w:rFonts w:cs="David" w:hint="cs"/>
          <w:sz w:val="28"/>
          <w:szCs w:val="28"/>
          <w:rtl/>
        </w:rPr>
        <w:t xml:space="preserve">                                                                            45</w:t>
      </w:r>
    </w:p>
    <w:p w:rsidR="00FA2B16" w:rsidRPr="001E569C" w:rsidRDefault="00FA2B16" w:rsidP="00F704C9">
      <w:pPr>
        <w:spacing w:line="360" w:lineRule="auto"/>
        <w:ind w:left="567"/>
        <w:jc w:val="both"/>
        <w:rPr>
          <w:rFonts w:cs="David"/>
          <w:sz w:val="28"/>
          <w:szCs w:val="28"/>
          <w:rtl/>
        </w:rPr>
      </w:pPr>
      <w:r>
        <w:rPr>
          <w:rFonts w:cs="David" w:hint="cs"/>
          <w:sz w:val="28"/>
          <w:szCs w:val="28"/>
          <w:rtl/>
        </w:rPr>
        <w:t>ד</w:t>
      </w:r>
      <w:r w:rsidRPr="001E569C">
        <w:rPr>
          <w:rFonts w:cs="David" w:hint="cs"/>
          <w:sz w:val="28"/>
          <w:szCs w:val="28"/>
          <w:rtl/>
        </w:rPr>
        <w:t>.1.2 היסוד הנפשי</w:t>
      </w:r>
      <w:r>
        <w:rPr>
          <w:rFonts w:cs="David" w:hint="cs"/>
          <w:sz w:val="28"/>
          <w:szCs w:val="28"/>
          <w:rtl/>
        </w:rPr>
        <w:t xml:space="preserve">                                                                        </w:t>
      </w:r>
      <w:r w:rsidR="002C385F">
        <w:rPr>
          <w:rFonts w:cs="David" w:hint="cs"/>
          <w:sz w:val="28"/>
          <w:szCs w:val="28"/>
          <w:rtl/>
        </w:rPr>
        <w:t xml:space="preserve">      </w:t>
      </w:r>
      <w:r>
        <w:rPr>
          <w:rFonts w:cs="David" w:hint="cs"/>
          <w:sz w:val="28"/>
          <w:szCs w:val="28"/>
          <w:rtl/>
        </w:rPr>
        <w:t xml:space="preserve"> 46</w:t>
      </w:r>
    </w:p>
    <w:p w:rsidR="00FA2B16" w:rsidRPr="001E569C" w:rsidRDefault="00FA2B16" w:rsidP="00FA2B16">
      <w:pPr>
        <w:tabs>
          <w:tab w:val="left" w:pos="8022"/>
        </w:tabs>
        <w:spacing w:line="360" w:lineRule="auto"/>
        <w:ind w:left="283" w:right="284"/>
        <w:jc w:val="both"/>
        <w:rPr>
          <w:rFonts w:cs="David"/>
          <w:sz w:val="28"/>
          <w:szCs w:val="28"/>
          <w:rtl/>
        </w:rPr>
      </w:pPr>
      <w:r>
        <w:rPr>
          <w:rFonts w:cs="David" w:hint="cs"/>
          <w:sz w:val="28"/>
          <w:szCs w:val="28"/>
          <w:rtl/>
        </w:rPr>
        <w:lastRenderedPageBreak/>
        <w:t xml:space="preserve">ד.2 </w:t>
      </w:r>
      <w:r w:rsidRPr="001E569C">
        <w:rPr>
          <w:rFonts w:cs="David" w:hint="cs"/>
          <w:sz w:val="28"/>
          <w:szCs w:val="28"/>
          <w:rtl/>
        </w:rPr>
        <w:t>יסודות עבירת ההסתה לאלימות</w:t>
      </w:r>
      <w:r>
        <w:rPr>
          <w:rFonts w:cs="David" w:hint="cs"/>
          <w:sz w:val="28"/>
          <w:szCs w:val="28"/>
          <w:rtl/>
        </w:rPr>
        <w:t xml:space="preserve">                                                                 50</w:t>
      </w:r>
    </w:p>
    <w:p w:rsidR="00FA2B16" w:rsidRPr="005A6198" w:rsidRDefault="00FA2B16" w:rsidP="00FA2B16">
      <w:pPr>
        <w:tabs>
          <w:tab w:val="left" w:pos="7880"/>
        </w:tabs>
        <w:spacing w:line="360" w:lineRule="auto"/>
        <w:ind w:left="283"/>
        <w:jc w:val="both"/>
        <w:rPr>
          <w:rFonts w:cs="David"/>
          <w:b/>
          <w:bCs/>
          <w:sz w:val="28"/>
          <w:szCs w:val="28"/>
        </w:rPr>
      </w:pPr>
      <w:r>
        <w:rPr>
          <w:rFonts w:cs="David" w:hint="cs"/>
          <w:sz w:val="28"/>
          <w:szCs w:val="28"/>
          <w:rtl/>
        </w:rPr>
        <w:t>ד</w:t>
      </w:r>
      <w:r w:rsidRPr="001E569C">
        <w:rPr>
          <w:rFonts w:cs="David" w:hint="cs"/>
          <w:sz w:val="28"/>
          <w:szCs w:val="28"/>
          <w:rtl/>
        </w:rPr>
        <w:t>.3 מ</w:t>
      </w:r>
      <w:r>
        <w:rPr>
          <w:rFonts w:cs="David" w:hint="cs"/>
          <w:sz w:val="28"/>
          <w:szCs w:val="28"/>
          <w:rtl/>
        </w:rPr>
        <w:t>ה בין הסתה לגזענות להסתה לאלימות</w:t>
      </w:r>
      <w:r>
        <w:rPr>
          <w:rFonts w:cs="David" w:hint="cs"/>
          <w:b/>
          <w:bCs/>
          <w:sz w:val="28"/>
          <w:szCs w:val="28"/>
          <w:rtl/>
        </w:rPr>
        <w:t xml:space="preserve">                                               </w:t>
      </w:r>
      <w:r>
        <w:rPr>
          <w:rFonts w:cs="David" w:hint="cs"/>
          <w:sz w:val="28"/>
          <w:szCs w:val="28"/>
          <w:rtl/>
        </w:rPr>
        <w:t xml:space="preserve">   52</w:t>
      </w:r>
    </w:p>
    <w:p w:rsidR="00FA2B16" w:rsidRPr="00D37483" w:rsidRDefault="00FA2B16" w:rsidP="00FA2B16">
      <w:pPr>
        <w:spacing w:line="360" w:lineRule="auto"/>
        <w:ind w:right="284"/>
        <w:jc w:val="both"/>
        <w:rPr>
          <w:rFonts w:cs="David"/>
          <w:b/>
          <w:bCs/>
          <w:sz w:val="28"/>
          <w:szCs w:val="28"/>
          <w:rtl/>
        </w:rPr>
      </w:pPr>
      <w:r w:rsidRPr="00D37483">
        <w:rPr>
          <w:rFonts w:cs="David" w:hint="cs"/>
          <w:b/>
          <w:bCs/>
          <w:sz w:val="28"/>
          <w:szCs w:val="28"/>
          <w:rtl/>
        </w:rPr>
        <w:t>ה. ההתנגשות בין חופש הביטוי ובין האיסורים שבעבירות ההסתה</w:t>
      </w:r>
      <w:r>
        <w:rPr>
          <w:rFonts w:cs="David" w:hint="cs"/>
          <w:b/>
          <w:bCs/>
          <w:sz w:val="28"/>
          <w:szCs w:val="28"/>
          <w:rtl/>
        </w:rPr>
        <w:t xml:space="preserve">                </w:t>
      </w:r>
      <w:r w:rsidRPr="009C69F8">
        <w:rPr>
          <w:rFonts w:cs="David" w:hint="cs"/>
          <w:sz w:val="28"/>
          <w:szCs w:val="28"/>
          <w:rtl/>
        </w:rPr>
        <w:t>52</w:t>
      </w:r>
    </w:p>
    <w:p w:rsidR="00FA2B16" w:rsidRPr="001E569C" w:rsidRDefault="00FA2B16" w:rsidP="00FA2B16">
      <w:pPr>
        <w:spacing w:line="360" w:lineRule="auto"/>
        <w:ind w:left="283" w:right="284"/>
        <w:jc w:val="both"/>
        <w:rPr>
          <w:rFonts w:cs="David"/>
          <w:sz w:val="28"/>
          <w:szCs w:val="28"/>
          <w:rtl/>
        </w:rPr>
      </w:pPr>
      <w:r w:rsidRPr="001E569C">
        <w:rPr>
          <w:rFonts w:cs="David" w:hint="cs"/>
          <w:sz w:val="28"/>
          <w:szCs w:val="28"/>
          <w:rtl/>
        </w:rPr>
        <w:t>ה.1 התפתחות הפסיקה במתח בין חופש הביטוי ועבירת ההסתה לגזענות</w:t>
      </w:r>
      <w:r>
        <w:rPr>
          <w:rFonts w:cs="David" w:hint="cs"/>
          <w:sz w:val="28"/>
          <w:szCs w:val="28"/>
          <w:rtl/>
        </w:rPr>
        <w:t xml:space="preserve">     54   </w:t>
      </w:r>
    </w:p>
    <w:p w:rsidR="00FA2B16" w:rsidRPr="001E569C" w:rsidRDefault="00FA2B16" w:rsidP="00FA2B16">
      <w:pPr>
        <w:spacing w:line="360" w:lineRule="auto"/>
        <w:ind w:left="283" w:right="284"/>
        <w:jc w:val="both"/>
        <w:rPr>
          <w:rFonts w:cs="David"/>
          <w:sz w:val="28"/>
          <w:szCs w:val="28"/>
          <w:rtl/>
        </w:rPr>
      </w:pPr>
      <w:r w:rsidRPr="001E569C">
        <w:rPr>
          <w:rFonts w:cs="David" w:hint="cs"/>
          <w:sz w:val="28"/>
          <w:szCs w:val="28"/>
          <w:rtl/>
        </w:rPr>
        <w:t>ה.2 התפתחות הפסיקה במתח בין חופש הביטוי ועבירת ההסתה לאלימות</w:t>
      </w:r>
      <w:r>
        <w:rPr>
          <w:rFonts w:cs="David" w:hint="cs"/>
          <w:sz w:val="28"/>
          <w:szCs w:val="28"/>
          <w:rtl/>
        </w:rPr>
        <w:t xml:space="preserve">   55</w:t>
      </w:r>
    </w:p>
    <w:p w:rsidR="00FA2B16" w:rsidRPr="00D37483" w:rsidRDefault="00FA2B16" w:rsidP="007B0D1F">
      <w:pPr>
        <w:spacing w:line="360" w:lineRule="auto"/>
        <w:ind w:right="284"/>
        <w:rPr>
          <w:rFonts w:cs="David"/>
          <w:b/>
          <w:bCs/>
          <w:sz w:val="32"/>
          <w:szCs w:val="32"/>
          <w:rtl/>
        </w:rPr>
      </w:pPr>
      <w:r w:rsidRPr="00D37483">
        <w:rPr>
          <w:rFonts w:cs="David" w:hint="cs"/>
          <w:b/>
          <w:bCs/>
          <w:sz w:val="32"/>
          <w:szCs w:val="32"/>
          <w:rtl/>
        </w:rPr>
        <w:t>פרק שלישי</w:t>
      </w:r>
      <w:r>
        <w:rPr>
          <w:rFonts w:cs="David" w:hint="cs"/>
          <w:b/>
          <w:bCs/>
          <w:sz w:val="32"/>
          <w:szCs w:val="32"/>
          <w:rtl/>
        </w:rPr>
        <w:t xml:space="preserve"> -</w:t>
      </w:r>
      <w:r w:rsidRPr="00D37483">
        <w:rPr>
          <w:rFonts w:cs="David" w:hint="cs"/>
          <w:b/>
          <w:bCs/>
          <w:sz w:val="32"/>
          <w:szCs w:val="32"/>
          <w:rtl/>
        </w:rPr>
        <w:t xml:space="preserve"> עיצוב המדיניות המשפטית</w:t>
      </w:r>
      <w:r>
        <w:rPr>
          <w:rFonts w:cs="David" w:hint="cs"/>
          <w:b/>
          <w:bCs/>
          <w:sz w:val="32"/>
          <w:szCs w:val="32"/>
          <w:rtl/>
        </w:rPr>
        <w:t xml:space="preserve"> במרשתת</w:t>
      </w:r>
      <w:r w:rsidRPr="00D37483">
        <w:rPr>
          <w:rFonts w:cs="David" w:hint="cs"/>
          <w:b/>
          <w:bCs/>
          <w:sz w:val="32"/>
          <w:szCs w:val="32"/>
          <w:rtl/>
        </w:rPr>
        <w:t xml:space="preserve"> בעבירות </w:t>
      </w:r>
      <w:r>
        <w:rPr>
          <w:rFonts w:cs="David" w:hint="cs"/>
          <w:b/>
          <w:bCs/>
          <w:sz w:val="32"/>
          <w:szCs w:val="32"/>
          <w:rtl/>
        </w:rPr>
        <w:t>ביטוי ו</w:t>
      </w:r>
      <w:r w:rsidRPr="00D37483">
        <w:rPr>
          <w:rFonts w:cs="David" w:hint="cs"/>
          <w:b/>
          <w:bCs/>
          <w:sz w:val="32"/>
          <w:szCs w:val="32"/>
          <w:rtl/>
        </w:rPr>
        <w:t>הסתה</w:t>
      </w:r>
      <w:r w:rsidR="007B0D1F">
        <w:rPr>
          <w:rFonts w:cs="David" w:hint="cs"/>
          <w:b/>
          <w:bCs/>
          <w:sz w:val="32"/>
          <w:szCs w:val="32"/>
          <w:rtl/>
        </w:rPr>
        <w:t xml:space="preserve">      </w:t>
      </w:r>
      <w:r>
        <w:rPr>
          <w:rFonts w:cs="David" w:hint="cs"/>
          <w:b/>
          <w:bCs/>
          <w:sz w:val="32"/>
          <w:szCs w:val="32"/>
          <w:rtl/>
        </w:rPr>
        <w:t xml:space="preserve">                                                                  </w:t>
      </w:r>
      <w:r w:rsidR="007B0D1F">
        <w:rPr>
          <w:rFonts w:cs="David" w:hint="cs"/>
          <w:b/>
          <w:bCs/>
          <w:sz w:val="32"/>
          <w:szCs w:val="32"/>
          <w:rtl/>
        </w:rPr>
        <w:t xml:space="preserve">                    </w:t>
      </w:r>
      <w:r>
        <w:rPr>
          <w:rFonts w:cs="David" w:hint="cs"/>
          <w:b/>
          <w:bCs/>
          <w:sz w:val="32"/>
          <w:szCs w:val="32"/>
          <w:rtl/>
        </w:rPr>
        <w:t xml:space="preserve">  </w:t>
      </w:r>
      <w:r w:rsidR="007B0D1F">
        <w:rPr>
          <w:rFonts w:cs="David" w:hint="cs"/>
          <w:b/>
          <w:bCs/>
          <w:sz w:val="32"/>
          <w:szCs w:val="32"/>
          <w:rtl/>
        </w:rPr>
        <w:t xml:space="preserve">  </w:t>
      </w:r>
      <w:r w:rsidR="007B0D1F">
        <w:rPr>
          <w:rFonts w:cs="David" w:hint="cs"/>
          <w:sz w:val="28"/>
          <w:szCs w:val="28"/>
          <w:rtl/>
        </w:rPr>
        <w:t xml:space="preserve">  </w:t>
      </w:r>
      <w:r w:rsidRPr="008027C6">
        <w:rPr>
          <w:rFonts w:cs="David" w:hint="cs"/>
          <w:sz w:val="28"/>
          <w:szCs w:val="28"/>
          <w:rtl/>
        </w:rPr>
        <w:t>59</w:t>
      </w:r>
      <w:r w:rsidR="007B0D1F">
        <w:rPr>
          <w:rFonts w:cs="David" w:hint="cs"/>
          <w:sz w:val="28"/>
          <w:szCs w:val="28"/>
          <w:rtl/>
        </w:rPr>
        <w:t xml:space="preserve">           </w:t>
      </w:r>
    </w:p>
    <w:p w:rsidR="00FA2B16" w:rsidRPr="00215DB0" w:rsidRDefault="00FA2B16" w:rsidP="00FA2B16">
      <w:pPr>
        <w:pStyle w:val="a6"/>
        <w:numPr>
          <w:ilvl w:val="0"/>
          <w:numId w:val="20"/>
        </w:numPr>
        <w:spacing w:line="360" w:lineRule="auto"/>
        <w:ind w:right="284"/>
        <w:jc w:val="both"/>
        <w:rPr>
          <w:rFonts w:cs="David"/>
          <w:b/>
          <w:bCs/>
          <w:sz w:val="28"/>
          <w:szCs w:val="28"/>
        </w:rPr>
      </w:pPr>
      <w:r w:rsidRPr="00215DB0">
        <w:rPr>
          <w:rFonts w:cs="David" w:hint="cs"/>
          <w:b/>
          <w:bCs/>
          <w:sz w:val="28"/>
          <w:szCs w:val="28"/>
          <w:rtl/>
        </w:rPr>
        <w:t>ההצדקה להגבלה של ביטויים גזעניים</w:t>
      </w:r>
      <w:r>
        <w:rPr>
          <w:rFonts w:cs="David" w:hint="cs"/>
          <w:b/>
          <w:bCs/>
          <w:sz w:val="28"/>
          <w:szCs w:val="28"/>
          <w:rtl/>
        </w:rPr>
        <w:t xml:space="preserve">                                                            </w:t>
      </w:r>
      <w:r w:rsidRPr="000266F6">
        <w:rPr>
          <w:rFonts w:cs="David" w:hint="cs"/>
          <w:sz w:val="28"/>
          <w:szCs w:val="28"/>
          <w:rtl/>
        </w:rPr>
        <w:t>59</w:t>
      </w:r>
    </w:p>
    <w:p w:rsidR="00FA2B16" w:rsidRPr="002D2885" w:rsidRDefault="00FA2B16" w:rsidP="00FA2B16">
      <w:pPr>
        <w:pStyle w:val="a6"/>
        <w:spacing w:line="360" w:lineRule="auto"/>
        <w:ind w:left="283" w:right="709"/>
        <w:jc w:val="both"/>
        <w:rPr>
          <w:rFonts w:cs="David"/>
          <w:sz w:val="28"/>
          <w:szCs w:val="28"/>
          <w:rtl/>
        </w:rPr>
      </w:pPr>
      <w:r w:rsidRPr="002D2885">
        <w:rPr>
          <w:rFonts w:cs="David" w:hint="cs"/>
          <w:sz w:val="28"/>
          <w:szCs w:val="28"/>
          <w:rtl/>
        </w:rPr>
        <w:t>א.1 שיקולים נגד ביטויים גזעניים</w:t>
      </w:r>
    </w:p>
    <w:p w:rsidR="00FA2B16" w:rsidRPr="002D2885" w:rsidRDefault="00FA2B16" w:rsidP="00FA2B16">
      <w:pPr>
        <w:pStyle w:val="a6"/>
        <w:spacing w:line="360" w:lineRule="auto"/>
        <w:ind w:left="283" w:right="284"/>
        <w:jc w:val="both"/>
        <w:rPr>
          <w:rFonts w:cs="David"/>
          <w:sz w:val="28"/>
          <w:szCs w:val="28"/>
          <w:rtl/>
        </w:rPr>
      </w:pPr>
      <w:r w:rsidRPr="002D2885">
        <w:rPr>
          <w:rFonts w:cs="David" w:hint="cs"/>
          <w:sz w:val="28"/>
          <w:szCs w:val="28"/>
          <w:rtl/>
        </w:rPr>
        <w:t>א.2 שיקולים בעד ביטויים גזעניים</w:t>
      </w:r>
      <w:r>
        <w:rPr>
          <w:rFonts w:cs="David" w:hint="cs"/>
          <w:sz w:val="28"/>
          <w:szCs w:val="28"/>
          <w:rtl/>
        </w:rPr>
        <w:t xml:space="preserve">                                                                    60</w:t>
      </w:r>
    </w:p>
    <w:p w:rsidR="00FA2B16" w:rsidRPr="00215DB0" w:rsidRDefault="00FA2B16" w:rsidP="00FA2B16">
      <w:pPr>
        <w:tabs>
          <w:tab w:val="left" w:pos="8022"/>
        </w:tabs>
        <w:spacing w:line="360" w:lineRule="auto"/>
        <w:ind w:right="284"/>
        <w:jc w:val="both"/>
        <w:rPr>
          <w:rFonts w:cs="David"/>
          <w:b/>
          <w:bCs/>
          <w:sz w:val="28"/>
          <w:szCs w:val="28"/>
          <w:rtl/>
        </w:rPr>
      </w:pPr>
      <w:r w:rsidRPr="00215DB0">
        <w:rPr>
          <w:rFonts w:cs="David" w:hint="cs"/>
          <w:b/>
          <w:bCs/>
          <w:sz w:val="28"/>
          <w:szCs w:val="28"/>
          <w:rtl/>
        </w:rPr>
        <w:t>ב. ההצדקה להגבלה על ביטויים העלולים להוליך לאלימות</w:t>
      </w:r>
      <w:r>
        <w:rPr>
          <w:rFonts w:cs="David" w:hint="cs"/>
          <w:b/>
          <w:bCs/>
          <w:sz w:val="28"/>
          <w:szCs w:val="28"/>
          <w:rtl/>
        </w:rPr>
        <w:t xml:space="preserve">                              </w:t>
      </w:r>
      <w:r w:rsidRPr="000266F6">
        <w:rPr>
          <w:rFonts w:cs="David" w:hint="cs"/>
          <w:sz w:val="28"/>
          <w:szCs w:val="28"/>
          <w:rtl/>
        </w:rPr>
        <w:t>61</w:t>
      </w:r>
      <w:r>
        <w:rPr>
          <w:rFonts w:cs="David" w:hint="cs"/>
          <w:b/>
          <w:bCs/>
          <w:sz w:val="28"/>
          <w:szCs w:val="28"/>
          <w:rtl/>
        </w:rPr>
        <w:t xml:space="preserve"> </w:t>
      </w:r>
    </w:p>
    <w:p w:rsidR="00FA2B16" w:rsidRPr="00215DB0" w:rsidRDefault="00FA2B16" w:rsidP="00FA2B16">
      <w:pPr>
        <w:spacing w:line="360" w:lineRule="auto"/>
        <w:ind w:right="284"/>
        <w:jc w:val="both"/>
        <w:rPr>
          <w:rFonts w:cs="David"/>
          <w:b/>
          <w:bCs/>
          <w:sz w:val="28"/>
          <w:szCs w:val="28"/>
          <w:rtl/>
        </w:rPr>
      </w:pPr>
      <w:r w:rsidRPr="00215DB0">
        <w:rPr>
          <w:rFonts w:cs="David" w:hint="cs"/>
          <w:b/>
          <w:bCs/>
          <w:sz w:val="28"/>
          <w:szCs w:val="28"/>
          <w:rtl/>
        </w:rPr>
        <w:t xml:space="preserve">ג. החלת נורמות כלליות על ביטויים במרשתת </w:t>
      </w:r>
      <w:r>
        <w:rPr>
          <w:rFonts w:cs="David" w:hint="cs"/>
          <w:b/>
          <w:bCs/>
          <w:sz w:val="28"/>
          <w:szCs w:val="28"/>
          <w:rtl/>
        </w:rPr>
        <w:t>-</w:t>
      </w:r>
      <w:r w:rsidRPr="00215DB0">
        <w:rPr>
          <w:rFonts w:cs="David" w:hint="cs"/>
          <w:b/>
          <w:bCs/>
          <w:sz w:val="28"/>
          <w:szCs w:val="28"/>
          <w:rtl/>
        </w:rPr>
        <w:t xml:space="preserve"> מתחים וגבולות</w:t>
      </w:r>
      <w:r>
        <w:rPr>
          <w:rFonts w:cs="David" w:hint="cs"/>
          <w:b/>
          <w:bCs/>
          <w:sz w:val="28"/>
          <w:szCs w:val="28"/>
          <w:rtl/>
        </w:rPr>
        <w:t xml:space="preserve">                      </w:t>
      </w:r>
      <w:r w:rsidRPr="00321BDB">
        <w:rPr>
          <w:rFonts w:cs="David" w:hint="cs"/>
          <w:sz w:val="28"/>
          <w:szCs w:val="28"/>
          <w:rtl/>
        </w:rPr>
        <w:t>63</w:t>
      </w:r>
    </w:p>
    <w:p w:rsidR="00FA2B16" w:rsidRPr="00215DB0" w:rsidRDefault="00FA2B16" w:rsidP="00FA2B16">
      <w:pPr>
        <w:spacing w:line="360" w:lineRule="auto"/>
        <w:ind w:right="284"/>
        <w:jc w:val="both"/>
        <w:rPr>
          <w:rFonts w:cs="David"/>
          <w:b/>
          <w:bCs/>
          <w:sz w:val="28"/>
          <w:szCs w:val="28"/>
          <w:rtl/>
        </w:rPr>
      </w:pPr>
      <w:r w:rsidRPr="00215DB0">
        <w:rPr>
          <w:rFonts w:cs="David" w:hint="cs"/>
          <w:b/>
          <w:bCs/>
          <w:sz w:val="28"/>
          <w:szCs w:val="28"/>
          <w:rtl/>
        </w:rPr>
        <w:t>ד. הסדרה ביחס לעבירות ההסתה במרשתת</w:t>
      </w:r>
      <w:r>
        <w:rPr>
          <w:rFonts w:cs="David" w:hint="cs"/>
          <w:b/>
          <w:bCs/>
          <w:sz w:val="28"/>
          <w:szCs w:val="28"/>
          <w:rtl/>
        </w:rPr>
        <w:t xml:space="preserve">                                                      </w:t>
      </w:r>
      <w:r w:rsidRPr="00B2775E">
        <w:rPr>
          <w:rFonts w:cs="David" w:hint="cs"/>
          <w:sz w:val="28"/>
          <w:szCs w:val="28"/>
          <w:rtl/>
        </w:rPr>
        <w:t>66</w:t>
      </w:r>
    </w:p>
    <w:p w:rsidR="00FA2B16" w:rsidRDefault="00FA2B16" w:rsidP="00FA2B16">
      <w:pPr>
        <w:spacing w:line="360" w:lineRule="auto"/>
        <w:ind w:left="283" w:right="284"/>
        <w:jc w:val="both"/>
        <w:rPr>
          <w:rFonts w:cs="David"/>
          <w:sz w:val="28"/>
          <w:szCs w:val="28"/>
          <w:rtl/>
        </w:rPr>
      </w:pPr>
      <w:r w:rsidRPr="00215DB0">
        <w:rPr>
          <w:rFonts w:cs="David" w:hint="cs"/>
          <w:sz w:val="28"/>
          <w:szCs w:val="28"/>
          <w:rtl/>
        </w:rPr>
        <w:t>ד.1 הסדרה חקיקתית מדינתית</w:t>
      </w:r>
      <w:r>
        <w:rPr>
          <w:rFonts w:cs="David" w:hint="cs"/>
          <w:sz w:val="28"/>
          <w:szCs w:val="28"/>
          <w:rtl/>
        </w:rPr>
        <w:t xml:space="preserve">                                                                        67</w:t>
      </w:r>
    </w:p>
    <w:p w:rsidR="00FA2B16" w:rsidRDefault="00FA2B16" w:rsidP="00FA2B16">
      <w:pPr>
        <w:spacing w:line="360" w:lineRule="auto"/>
        <w:ind w:left="283" w:right="284"/>
        <w:jc w:val="both"/>
        <w:rPr>
          <w:rFonts w:cs="David"/>
          <w:sz w:val="28"/>
          <w:szCs w:val="28"/>
          <w:rtl/>
        </w:rPr>
      </w:pPr>
      <w:r>
        <w:rPr>
          <w:rFonts w:cs="David" w:hint="cs"/>
          <w:sz w:val="28"/>
          <w:szCs w:val="28"/>
          <w:rtl/>
        </w:rPr>
        <w:t xml:space="preserve">ד.2 חלופה להסדרה מדינתית של המרשתת                                                             74  </w:t>
      </w:r>
    </w:p>
    <w:p w:rsidR="00FA2B16" w:rsidRDefault="00FA2B16" w:rsidP="00FA2B16">
      <w:pPr>
        <w:spacing w:line="360" w:lineRule="auto"/>
        <w:ind w:left="567" w:right="284"/>
        <w:jc w:val="both"/>
        <w:rPr>
          <w:rFonts w:cs="David"/>
          <w:sz w:val="28"/>
          <w:szCs w:val="28"/>
          <w:rtl/>
        </w:rPr>
      </w:pPr>
      <w:r>
        <w:rPr>
          <w:rFonts w:cs="David" w:hint="cs"/>
          <w:sz w:val="28"/>
          <w:szCs w:val="28"/>
          <w:rtl/>
        </w:rPr>
        <w:t xml:space="preserve">ד.2.1 הסדרה פרטית                                                                                      74 </w:t>
      </w:r>
    </w:p>
    <w:p w:rsidR="00FA2B16" w:rsidRPr="00215DB0" w:rsidRDefault="00FA2B16" w:rsidP="00FA2B16">
      <w:pPr>
        <w:spacing w:line="360" w:lineRule="auto"/>
        <w:ind w:left="283" w:right="284"/>
        <w:jc w:val="both"/>
        <w:rPr>
          <w:rFonts w:cs="David"/>
          <w:sz w:val="28"/>
          <w:szCs w:val="28"/>
          <w:rtl/>
        </w:rPr>
      </w:pPr>
      <w:r>
        <w:rPr>
          <w:rFonts w:cs="David" w:hint="cs"/>
          <w:sz w:val="28"/>
          <w:szCs w:val="28"/>
          <w:rtl/>
        </w:rPr>
        <w:t xml:space="preserve">ד.3 הסדרה בסביבה דיגיטלית-טכנולוגית                                                       77  </w:t>
      </w:r>
    </w:p>
    <w:p w:rsidR="00FA2B16" w:rsidRPr="00AB6203" w:rsidRDefault="00FA2B16" w:rsidP="007B0D1F">
      <w:pPr>
        <w:spacing w:line="360" w:lineRule="auto"/>
        <w:ind w:right="284"/>
        <w:rPr>
          <w:rFonts w:cs="David"/>
          <w:sz w:val="24"/>
          <w:szCs w:val="24"/>
          <w:rtl/>
        </w:rPr>
      </w:pPr>
      <w:r w:rsidRPr="00AB6203">
        <w:rPr>
          <w:rFonts w:cs="David" w:hint="cs"/>
          <w:b/>
          <w:bCs/>
          <w:sz w:val="32"/>
          <w:szCs w:val="32"/>
          <w:rtl/>
        </w:rPr>
        <w:t xml:space="preserve">פרק רביעי </w:t>
      </w:r>
      <w:r>
        <w:rPr>
          <w:rFonts w:cs="David" w:hint="cs"/>
          <w:b/>
          <w:bCs/>
          <w:sz w:val="32"/>
          <w:szCs w:val="32"/>
          <w:rtl/>
        </w:rPr>
        <w:t>-</w:t>
      </w:r>
      <w:r w:rsidRPr="00AB6203">
        <w:rPr>
          <w:rFonts w:cs="David" w:hint="cs"/>
          <w:b/>
          <w:bCs/>
          <w:sz w:val="32"/>
          <w:szCs w:val="32"/>
          <w:rtl/>
        </w:rPr>
        <w:t xml:space="preserve"> </w:t>
      </w:r>
      <w:r>
        <w:rPr>
          <w:rFonts w:cs="David" w:hint="cs"/>
          <w:b/>
          <w:bCs/>
          <w:sz w:val="32"/>
          <w:szCs w:val="32"/>
          <w:rtl/>
        </w:rPr>
        <w:t>מדיניות האכיפה ומימושה בעבירות ההסתה ברשתות החברתיות</w:t>
      </w:r>
      <w:r>
        <w:rPr>
          <w:rFonts w:cs="David" w:hint="cs"/>
          <w:sz w:val="24"/>
          <w:szCs w:val="24"/>
          <w:rtl/>
        </w:rPr>
        <w:t xml:space="preserve">                                                                                                   </w:t>
      </w:r>
      <w:r w:rsidR="007B0D1F">
        <w:rPr>
          <w:rFonts w:cs="David" w:hint="cs"/>
          <w:sz w:val="24"/>
          <w:szCs w:val="24"/>
          <w:rtl/>
        </w:rPr>
        <w:t xml:space="preserve">                   </w:t>
      </w:r>
      <w:r>
        <w:rPr>
          <w:rFonts w:cs="David" w:hint="cs"/>
          <w:sz w:val="24"/>
          <w:szCs w:val="24"/>
          <w:rtl/>
        </w:rPr>
        <w:t xml:space="preserve">     </w:t>
      </w:r>
      <w:r w:rsidRPr="00B2775E">
        <w:rPr>
          <w:rFonts w:cs="David" w:hint="cs"/>
          <w:sz w:val="28"/>
          <w:szCs w:val="28"/>
          <w:rtl/>
        </w:rPr>
        <w:t>81</w:t>
      </w:r>
    </w:p>
    <w:p w:rsidR="00FA2B16" w:rsidRPr="00B2775E" w:rsidRDefault="00FA2B16" w:rsidP="00FA2B16">
      <w:pPr>
        <w:tabs>
          <w:tab w:val="left" w:pos="7455"/>
          <w:tab w:val="left" w:pos="7739"/>
        </w:tabs>
        <w:spacing w:line="360" w:lineRule="auto"/>
        <w:ind w:right="284"/>
        <w:jc w:val="both"/>
        <w:rPr>
          <w:rFonts w:cs="David"/>
          <w:sz w:val="28"/>
          <w:szCs w:val="28"/>
          <w:rtl/>
        </w:rPr>
      </w:pPr>
      <w:r w:rsidRPr="008D3E99">
        <w:rPr>
          <w:rFonts w:cs="David" w:hint="cs"/>
          <w:b/>
          <w:bCs/>
          <w:sz w:val="28"/>
          <w:szCs w:val="28"/>
          <w:rtl/>
        </w:rPr>
        <w:t>א. מדיניות התביעה הכללית ומימושה בפועל</w:t>
      </w:r>
      <w:r>
        <w:rPr>
          <w:rFonts w:cs="David" w:hint="cs"/>
          <w:b/>
          <w:bCs/>
          <w:sz w:val="28"/>
          <w:szCs w:val="28"/>
          <w:rtl/>
        </w:rPr>
        <w:t xml:space="preserve">                                                          </w:t>
      </w:r>
      <w:r w:rsidRPr="00B2775E">
        <w:rPr>
          <w:rFonts w:cs="David" w:hint="cs"/>
          <w:sz w:val="28"/>
          <w:szCs w:val="28"/>
          <w:rtl/>
        </w:rPr>
        <w:t xml:space="preserve">81 </w:t>
      </w:r>
    </w:p>
    <w:p w:rsidR="00FA2B16" w:rsidRPr="008D3E99" w:rsidRDefault="00FA2B16" w:rsidP="00FA2B16">
      <w:pPr>
        <w:spacing w:line="360" w:lineRule="auto"/>
        <w:ind w:left="283" w:right="284"/>
        <w:jc w:val="both"/>
        <w:rPr>
          <w:rFonts w:cs="David"/>
          <w:sz w:val="28"/>
          <w:szCs w:val="28"/>
          <w:rtl/>
        </w:rPr>
      </w:pPr>
      <w:r w:rsidRPr="008D3E99">
        <w:rPr>
          <w:rFonts w:cs="David" w:hint="cs"/>
          <w:sz w:val="28"/>
          <w:szCs w:val="28"/>
          <w:rtl/>
        </w:rPr>
        <w:t>א.1 טכנולוגיה של אכיפה ומדיניות סינון תכנים</w:t>
      </w:r>
      <w:r>
        <w:rPr>
          <w:rFonts w:cs="David" w:hint="cs"/>
          <w:sz w:val="28"/>
          <w:szCs w:val="28"/>
          <w:rtl/>
        </w:rPr>
        <w:t xml:space="preserve">                                             86   </w:t>
      </w:r>
    </w:p>
    <w:p w:rsidR="00FA2B16" w:rsidRDefault="00FA2B16" w:rsidP="00FA2B16">
      <w:pPr>
        <w:tabs>
          <w:tab w:val="left" w:pos="8022"/>
        </w:tabs>
        <w:spacing w:line="360" w:lineRule="auto"/>
        <w:ind w:right="284"/>
        <w:jc w:val="both"/>
        <w:rPr>
          <w:rFonts w:cs="David"/>
          <w:sz w:val="28"/>
          <w:szCs w:val="28"/>
          <w:rtl/>
        </w:rPr>
      </w:pPr>
      <w:r w:rsidRPr="00FD1C6C">
        <w:rPr>
          <w:rFonts w:cs="David" w:hint="cs"/>
          <w:b/>
          <w:bCs/>
          <w:sz w:val="32"/>
          <w:szCs w:val="32"/>
          <w:rtl/>
        </w:rPr>
        <w:t xml:space="preserve">פרק חמישי </w:t>
      </w:r>
      <w:r>
        <w:rPr>
          <w:rFonts w:cs="David" w:hint="cs"/>
          <w:b/>
          <w:bCs/>
          <w:sz w:val="32"/>
          <w:szCs w:val="32"/>
          <w:rtl/>
        </w:rPr>
        <w:t>-</w:t>
      </w:r>
      <w:r w:rsidRPr="00FD1C6C">
        <w:rPr>
          <w:rFonts w:cs="David" w:hint="cs"/>
          <w:b/>
          <w:bCs/>
          <w:sz w:val="32"/>
          <w:szCs w:val="32"/>
          <w:rtl/>
        </w:rPr>
        <w:t xml:space="preserve"> סיכום והמלצות</w:t>
      </w:r>
      <w:r>
        <w:rPr>
          <w:rFonts w:cs="David" w:hint="cs"/>
          <w:sz w:val="28"/>
          <w:szCs w:val="28"/>
          <w:rtl/>
        </w:rPr>
        <w:t xml:space="preserve">                                                                                   91</w:t>
      </w:r>
    </w:p>
    <w:p w:rsidR="00FA2B16" w:rsidRDefault="00FA2B16" w:rsidP="00FA2B16">
      <w:pPr>
        <w:spacing w:line="360" w:lineRule="auto"/>
        <w:ind w:right="142"/>
        <w:jc w:val="both"/>
        <w:rPr>
          <w:rFonts w:cs="David"/>
          <w:b/>
          <w:bCs/>
          <w:sz w:val="32"/>
          <w:szCs w:val="32"/>
          <w:rtl/>
        </w:rPr>
      </w:pPr>
      <w:r w:rsidRPr="00C97C72">
        <w:rPr>
          <w:rFonts w:cs="David" w:hint="cs"/>
          <w:b/>
          <w:bCs/>
          <w:sz w:val="32"/>
          <w:szCs w:val="32"/>
          <w:rtl/>
        </w:rPr>
        <w:t>אחרית דבר</w:t>
      </w:r>
      <w:r>
        <w:rPr>
          <w:rFonts w:cs="David" w:hint="cs"/>
          <w:b/>
          <w:bCs/>
          <w:sz w:val="32"/>
          <w:szCs w:val="32"/>
          <w:rtl/>
        </w:rPr>
        <w:t xml:space="preserve">                                                                                          </w:t>
      </w:r>
      <w:r w:rsidRPr="00B2775E">
        <w:rPr>
          <w:rFonts w:cs="David" w:hint="cs"/>
          <w:sz w:val="28"/>
          <w:szCs w:val="28"/>
          <w:rtl/>
        </w:rPr>
        <w:t>104</w:t>
      </w:r>
    </w:p>
    <w:p w:rsidR="00FA2B16" w:rsidRPr="00C97C72" w:rsidRDefault="00FA2B16" w:rsidP="00FA2B16">
      <w:pPr>
        <w:spacing w:line="360" w:lineRule="auto"/>
        <w:ind w:right="284"/>
        <w:jc w:val="both"/>
        <w:rPr>
          <w:rFonts w:cs="David"/>
          <w:b/>
          <w:bCs/>
          <w:sz w:val="32"/>
          <w:szCs w:val="32"/>
          <w:rtl/>
        </w:rPr>
      </w:pPr>
      <w:r w:rsidRPr="00C97C72">
        <w:rPr>
          <w:rFonts w:cs="David" w:hint="cs"/>
          <w:b/>
          <w:bCs/>
          <w:sz w:val="32"/>
          <w:szCs w:val="32"/>
          <w:rtl/>
        </w:rPr>
        <w:t>נספח מספר 1</w:t>
      </w:r>
      <w:r>
        <w:rPr>
          <w:rFonts w:cs="David" w:hint="cs"/>
          <w:b/>
          <w:bCs/>
          <w:sz w:val="32"/>
          <w:szCs w:val="32"/>
          <w:rtl/>
        </w:rPr>
        <w:t xml:space="preserve">                                                                                        </w:t>
      </w:r>
      <w:r w:rsidRPr="00BD63E9">
        <w:rPr>
          <w:rFonts w:cs="David" w:hint="cs"/>
          <w:sz w:val="28"/>
          <w:szCs w:val="28"/>
          <w:rtl/>
        </w:rPr>
        <w:t>105</w:t>
      </w:r>
    </w:p>
    <w:p w:rsidR="00FA2B16" w:rsidRPr="00710C2C" w:rsidRDefault="00FA2B16" w:rsidP="00FA2B16">
      <w:pPr>
        <w:spacing w:line="360" w:lineRule="auto"/>
        <w:ind w:right="709"/>
        <w:jc w:val="both"/>
        <w:rPr>
          <w:rFonts w:cs="David"/>
          <w:b/>
          <w:bCs/>
          <w:sz w:val="32"/>
          <w:szCs w:val="32"/>
          <w:rtl/>
        </w:rPr>
      </w:pPr>
      <w:r w:rsidRPr="00710C2C">
        <w:rPr>
          <w:rFonts w:cs="David" w:hint="cs"/>
          <w:b/>
          <w:bCs/>
          <w:sz w:val="32"/>
          <w:szCs w:val="32"/>
          <w:rtl/>
        </w:rPr>
        <w:lastRenderedPageBreak/>
        <w:t>גרפים -</w:t>
      </w:r>
    </w:p>
    <w:p w:rsidR="00FA2B16" w:rsidRPr="00DA7058" w:rsidRDefault="00FA2B16" w:rsidP="00FA2B16">
      <w:pPr>
        <w:spacing w:line="360" w:lineRule="auto"/>
        <w:ind w:right="709"/>
        <w:rPr>
          <w:rFonts w:cs="David"/>
          <w:sz w:val="28"/>
          <w:szCs w:val="28"/>
        </w:rPr>
      </w:pPr>
      <w:r w:rsidRPr="000B0025">
        <w:rPr>
          <w:rFonts w:cs="David" w:hint="cs"/>
          <w:b/>
          <w:bCs/>
          <w:sz w:val="28"/>
          <w:szCs w:val="28"/>
          <w:rtl/>
        </w:rPr>
        <w:t>גרף מספר 1</w:t>
      </w:r>
      <w:r>
        <w:rPr>
          <w:rFonts w:cs="David" w:hint="cs"/>
          <w:sz w:val="28"/>
          <w:szCs w:val="28"/>
          <w:rtl/>
        </w:rPr>
        <w:t xml:space="preserve"> - </w:t>
      </w:r>
      <w:r w:rsidRPr="00DA7058">
        <w:rPr>
          <w:rFonts w:cs="David" w:hint="cs"/>
          <w:sz w:val="28"/>
          <w:szCs w:val="28"/>
          <w:rtl/>
        </w:rPr>
        <w:t xml:space="preserve">שיח גזעני והסתה לאלימות </w:t>
      </w:r>
      <w:r w:rsidRPr="00DA7058">
        <w:rPr>
          <w:rFonts w:cs="David"/>
          <w:sz w:val="28"/>
          <w:szCs w:val="28"/>
          <w:rtl/>
        </w:rPr>
        <w:t>–</w:t>
      </w:r>
      <w:r w:rsidRPr="00DA7058">
        <w:rPr>
          <w:rFonts w:cs="David" w:hint="cs"/>
          <w:sz w:val="28"/>
          <w:szCs w:val="28"/>
          <w:rtl/>
        </w:rPr>
        <w:t xml:space="preserve"> מגמות שנתיות 2016-2015</w:t>
      </w:r>
    </w:p>
    <w:p w:rsidR="00FA2B16" w:rsidRPr="00DA7058" w:rsidRDefault="00FA2B16" w:rsidP="00FA2B16">
      <w:pPr>
        <w:spacing w:line="360" w:lineRule="auto"/>
        <w:ind w:right="709"/>
        <w:rPr>
          <w:rFonts w:cs="David"/>
          <w:sz w:val="28"/>
          <w:szCs w:val="28"/>
          <w:rtl/>
        </w:rPr>
      </w:pPr>
      <w:r w:rsidRPr="000B0025">
        <w:rPr>
          <w:rFonts w:cs="David" w:hint="cs"/>
          <w:b/>
          <w:bCs/>
          <w:sz w:val="28"/>
          <w:szCs w:val="28"/>
          <w:rtl/>
        </w:rPr>
        <w:t>גרף מספר 2</w:t>
      </w:r>
      <w:r>
        <w:rPr>
          <w:rFonts w:cs="David" w:hint="cs"/>
          <w:sz w:val="28"/>
          <w:szCs w:val="28"/>
          <w:rtl/>
        </w:rPr>
        <w:t xml:space="preserve"> - </w:t>
      </w:r>
      <w:r w:rsidRPr="00DA7058">
        <w:rPr>
          <w:rFonts w:cs="David" w:hint="cs"/>
          <w:sz w:val="28"/>
          <w:szCs w:val="28"/>
          <w:rtl/>
        </w:rPr>
        <w:t xml:space="preserve">שיח גזעני והסתה לאלימות </w:t>
      </w:r>
      <w:r w:rsidRPr="00DA7058">
        <w:rPr>
          <w:rFonts w:cs="David"/>
          <w:sz w:val="28"/>
          <w:szCs w:val="28"/>
          <w:rtl/>
        </w:rPr>
        <w:t>–</w:t>
      </w:r>
      <w:r w:rsidRPr="00DA7058">
        <w:rPr>
          <w:rFonts w:cs="David" w:hint="cs"/>
          <w:sz w:val="28"/>
          <w:szCs w:val="28"/>
          <w:rtl/>
        </w:rPr>
        <w:t xml:space="preserve"> השוואה שנתית 2016-2015</w:t>
      </w:r>
    </w:p>
    <w:p w:rsidR="00FA2B16" w:rsidRPr="00DA7058" w:rsidRDefault="00FA2B16" w:rsidP="00FA2B16">
      <w:pPr>
        <w:spacing w:line="360" w:lineRule="auto"/>
        <w:ind w:right="709"/>
        <w:rPr>
          <w:rFonts w:cs="David"/>
          <w:sz w:val="28"/>
          <w:szCs w:val="28"/>
          <w:rtl/>
        </w:rPr>
      </w:pPr>
      <w:r w:rsidRPr="000B0025">
        <w:rPr>
          <w:rFonts w:cs="David" w:hint="cs"/>
          <w:b/>
          <w:bCs/>
          <w:sz w:val="28"/>
          <w:szCs w:val="28"/>
          <w:rtl/>
        </w:rPr>
        <w:t>גרף מספר 3</w:t>
      </w:r>
      <w:r>
        <w:rPr>
          <w:rFonts w:cs="David" w:hint="cs"/>
          <w:sz w:val="28"/>
          <w:szCs w:val="28"/>
          <w:rtl/>
        </w:rPr>
        <w:t xml:space="preserve"> - ה</w:t>
      </w:r>
      <w:r w:rsidRPr="00DA7058">
        <w:rPr>
          <w:rFonts w:cs="David" w:hint="cs"/>
          <w:sz w:val="28"/>
          <w:szCs w:val="28"/>
          <w:rtl/>
        </w:rPr>
        <w:t>שיח גזעני והסתה לאלימות לפי חודשים 2016-2015</w:t>
      </w:r>
    </w:p>
    <w:p w:rsidR="00FA2B16" w:rsidRDefault="00FA2B16" w:rsidP="00FA2B16">
      <w:pPr>
        <w:spacing w:line="360" w:lineRule="auto"/>
        <w:ind w:right="709"/>
        <w:jc w:val="both"/>
        <w:rPr>
          <w:rFonts w:cs="David"/>
          <w:sz w:val="28"/>
          <w:szCs w:val="28"/>
          <w:rtl/>
        </w:rPr>
      </w:pPr>
      <w:r w:rsidRPr="000B0025">
        <w:rPr>
          <w:rFonts w:cs="David" w:hint="cs"/>
          <w:b/>
          <w:bCs/>
          <w:sz w:val="28"/>
          <w:szCs w:val="28"/>
          <w:rtl/>
        </w:rPr>
        <w:t>גרף מספר 4</w:t>
      </w:r>
      <w:r>
        <w:rPr>
          <w:rFonts w:cs="David" w:hint="cs"/>
          <w:sz w:val="28"/>
          <w:szCs w:val="28"/>
          <w:rtl/>
        </w:rPr>
        <w:t xml:space="preserve"> - </w:t>
      </w:r>
      <w:r w:rsidRPr="00DA7058">
        <w:rPr>
          <w:rFonts w:cs="David" w:hint="cs"/>
          <w:sz w:val="28"/>
          <w:szCs w:val="28"/>
          <w:rtl/>
        </w:rPr>
        <w:t>שיח גזעני לפי חודשים 2016-2015</w:t>
      </w:r>
    </w:p>
    <w:p w:rsidR="00FA2B16" w:rsidRPr="00DA7058" w:rsidRDefault="00FA2B16" w:rsidP="00FA2B16">
      <w:pPr>
        <w:spacing w:line="360" w:lineRule="auto"/>
        <w:ind w:right="709"/>
        <w:rPr>
          <w:rFonts w:cs="David"/>
          <w:sz w:val="28"/>
          <w:szCs w:val="28"/>
          <w:rtl/>
        </w:rPr>
      </w:pPr>
      <w:r w:rsidRPr="000B0025">
        <w:rPr>
          <w:rFonts w:cs="David" w:hint="cs"/>
          <w:b/>
          <w:bCs/>
          <w:sz w:val="28"/>
          <w:szCs w:val="28"/>
          <w:rtl/>
        </w:rPr>
        <w:t>גרף מספר 5</w:t>
      </w:r>
      <w:r>
        <w:rPr>
          <w:rFonts w:cs="David" w:hint="cs"/>
          <w:sz w:val="28"/>
          <w:szCs w:val="28"/>
          <w:rtl/>
        </w:rPr>
        <w:t xml:space="preserve"> - </w:t>
      </w:r>
      <w:r w:rsidRPr="00DA7058">
        <w:rPr>
          <w:rFonts w:cs="David" w:hint="cs"/>
          <w:sz w:val="28"/>
          <w:szCs w:val="28"/>
          <w:rtl/>
        </w:rPr>
        <w:t>הסתה לאלימות לפי חודשים 2016-2015</w:t>
      </w:r>
    </w:p>
    <w:p w:rsidR="00FA2B16" w:rsidRPr="00721492" w:rsidRDefault="00FA2B16" w:rsidP="00FA2B16">
      <w:pPr>
        <w:spacing w:line="360" w:lineRule="auto"/>
        <w:ind w:right="709"/>
        <w:rPr>
          <w:rFonts w:cs="David"/>
          <w:sz w:val="28"/>
          <w:szCs w:val="28"/>
          <w:rtl/>
        </w:rPr>
      </w:pPr>
      <w:r w:rsidRPr="000B0025">
        <w:rPr>
          <w:rFonts w:cs="David" w:hint="cs"/>
          <w:b/>
          <w:bCs/>
          <w:noProof/>
          <w:sz w:val="28"/>
          <w:szCs w:val="28"/>
          <w:rtl/>
        </w:rPr>
        <w:t>גרף מספר 6</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'פייסבוק', מרשתת ואוכלוסייה עולמית.</w:t>
      </w:r>
    </w:p>
    <w:p w:rsidR="00FA2B16" w:rsidRPr="00721492" w:rsidRDefault="00FA2B16" w:rsidP="00FA2B16">
      <w:pPr>
        <w:spacing w:line="360" w:lineRule="auto"/>
        <w:ind w:right="709"/>
        <w:jc w:val="both"/>
        <w:rPr>
          <w:rFonts w:cs="David"/>
          <w:sz w:val="28"/>
          <w:szCs w:val="28"/>
          <w:rtl/>
        </w:rPr>
      </w:pPr>
      <w:r w:rsidRPr="000B0025">
        <w:rPr>
          <w:rFonts w:cs="David" w:hint="cs"/>
          <w:b/>
          <w:bCs/>
          <w:sz w:val="28"/>
          <w:szCs w:val="28"/>
          <w:rtl/>
        </w:rPr>
        <w:t xml:space="preserve">גרף מספר 7 </w:t>
      </w:r>
      <w:r w:rsidRPr="00721492">
        <w:rPr>
          <w:rFonts w:cs="David"/>
          <w:sz w:val="28"/>
          <w:szCs w:val="28"/>
          <w:rtl/>
        </w:rPr>
        <w:t>–</w:t>
      </w:r>
      <w:r w:rsidRPr="00721492">
        <w:rPr>
          <w:rFonts w:cs="David" w:hint="cs"/>
          <w:sz w:val="28"/>
          <w:szCs w:val="28"/>
          <w:rtl/>
        </w:rPr>
        <w:t xml:space="preserve"> יחס בין האוכלוסייה למספר המינויים בטלפון הנייד.</w:t>
      </w:r>
    </w:p>
    <w:p w:rsidR="00FA2B16" w:rsidRPr="00721492" w:rsidRDefault="00FA2B16" w:rsidP="00FA2B16">
      <w:pPr>
        <w:spacing w:line="360" w:lineRule="auto"/>
        <w:ind w:right="709"/>
        <w:jc w:val="both"/>
        <w:rPr>
          <w:rFonts w:cs="David"/>
          <w:sz w:val="28"/>
          <w:szCs w:val="28"/>
          <w:rtl/>
        </w:rPr>
      </w:pPr>
      <w:r w:rsidRPr="000B0025">
        <w:rPr>
          <w:rFonts w:cs="David" w:hint="cs"/>
          <w:b/>
          <w:bCs/>
          <w:sz w:val="28"/>
          <w:szCs w:val="28"/>
          <w:rtl/>
        </w:rPr>
        <w:t>גרף מספר 8</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משתמשי 'פייסבוק' בישראל</w:t>
      </w:r>
    </w:p>
    <w:p w:rsidR="00FA2B16" w:rsidRPr="00721492" w:rsidRDefault="00FA2B16" w:rsidP="00FA2B16">
      <w:pPr>
        <w:spacing w:line="360" w:lineRule="auto"/>
        <w:ind w:left="226" w:right="709" w:hanging="226"/>
        <w:jc w:val="both"/>
        <w:rPr>
          <w:rFonts w:cs="David"/>
          <w:sz w:val="28"/>
          <w:szCs w:val="28"/>
          <w:rtl/>
        </w:rPr>
      </w:pPr>
      <w:r w:rsidRPr="000B0025">
        <w:rPr>
          <w:rFonts w:cs="David" w:hint="cs"/>
          <w:b/>
          <w:bCs/>
          <w:sz w:val="28"/>
          <w:szCs w:val="28"/>
          <w:rtl/>
        </w:rPr>
        <w:t>גרף מספר 9</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רמת ההשכלה בקרב גולשי 'פייסבוק'</w:t>
      </w:r>
    </w:p>
    <w:p w:rsidR="00FA2B16" w:rsidRPr="00721492" w:rsidRDefault="00FA2B16" w:rsidP="00FA2B16">
      <w:pPr>
        <w:spacing w:line="360" w:lineRule="auto"/>
        <w:ind w:right="709"/>
        <w:jc w:val="both"/>
        <w:rPr>
          <w:rFonts w:cs="David"/>
          <w:sz w:val="28"/>
          <w:szCs w:val="28"/>
          <w:rtl/>
        </w:rPr>
      </w:pPr>
      <w:r w:rsidRPr="000B0025">
        <w:rPr>
          <w:rFonts w:cs="David" w:hint="cs"/>
          <w:b/>
          <w:bCs/>
          <w:sz w:val="28"/>
          <w:szCs w:val="28"/>
          <w:rtl/>
        </w:rPr>
        <w:t>גרף מספר 10</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אופן הגלישה</w:t>
      </w:r>
    </w:p>
    <w:p w:rsidR="00FA2B16" w:rsidRPr="000D4C54" w:rsidRDefault="00FA2B16" w:rsidP="00FA2B16">
      <w:pPr>
        <w:spacing w:line="360" w:lineRule="auto"/>
        <w:ind w:right="709"/>
        <w:jc w:val="both"/>
        <w:rPr>
          <w:rFonts w:cs="David"/>
          <w:sz w:val="28"/>
          <w:szCs w:val="28"/>
          <w:rtl/>
        </w:rPr>
      </w:pPr>
      <w:r>
        <w:rPr>
          <w:rFonts w:cs="David" w:hint="cs"/>
          <w:b/>
          <w:bCs/>
          <w:sz w:val="28"/>
          <w:szCs w:val="28"/>
          <w:rtl/>
        </w:rPr>
        <w:t xml:space="preserve">גרף מספר 11 </w:t>
      </w:r>
      <w:r>
        <w:rPr>
          <w:rFonts w:cs="David"/>
          <w:b/>
          <w:bCs/>
          <w:sz w:val="28"/>
          <w:szCs w:val="28"/>
          <w:rtl/>
        </w:rPr>
        <w:t>–</w:t>
      </w:r>
      <w:r>
        <w:rPr>
          <w:rFonts w:cs="David" w:hint="cs"/>
          <w:b/>
          <w:bCs/>
          <w:sz w:val="28"/>
          <w:szCs w:val="28"/>
          <w:rtl/>
        </w:rPr>
        <w:t xml:space="preserve"> </w:t>
      </w:r>
      <w:r w:rsidRPr="000D4C54">
        <w:rPr>
          <w:rFonts w:cs="David" w:hint="cs"/>
          <w:sz w:val="28"/>
          <w:szCs w:val="28"/>
          <w:rtl/>
        </w:rPr>
        <w:t>אחוז השימוש ב'פייסבוק' לשיח גזעני ומסית</w:t>
      </w:r>
    </w:p>
    <w:p w:rsidR="00FA2B16" w:rsidRDefault="00FA2B16" w:rsidP="00FA2B16">
      <w:pPr>
        <w:spacing w:line="360" w:lineRule="auto"/>
        <w:ind w:right="709"/>
        <w:jc w:val="both"/>
        <w:rPr>
          <w:rFonts w:cs="David"/>
          <w:sz w:val="28"/>
          <w:szCs w:val="28"/>
          <w:rtl/>
        </w:rPr>
      </w:pPr>
      <w:r w:rsidRPr="001E767D">
        <w:rPr>
          <w:rFonts w:cs="David" w:hint="cs"/>
          <w:b/>
          <w:bCs/>
          <w:sz w:val="28"/>
          <w:szCs w:val="28"/>
          <w:rtl/>
        </w:rPr>
        <w:t>גרף מספר 12</w:t>
      </w:r>
      <w:r>
        <w:rPr>
          <w:rFonts w:cs="David" w:hint="cs"/>
          <w:sz w:val="28"/>
          <w:szCs w:val="28"/>
          <w:rtl/>
        </w:rPr>
        <w:t xml:space="preserve"> </w:t>
      </w:r>
      <w:r>
        <w:rPr>
          <w:rFonts w:cs="David"/>
          <w:sz w:val="28"/>
          <w:szCs w:val="28"/>
          <w:rtl/>
        </w:rPr>
        <w:t>–</w:t>
      </w:r>
      <w:r>
        <w:rPr>
          <w:rFonts w:cs="David" w:hint="cs"/>
          <w:sz w:val="28"/>
          <w:szCs w:val="28"/>
          <w:rtl/>
        </w:rPr>
        <w:t xml:space="preserve"> אכיפה מול יהודים בעבירות הסתה לגזענות ולאלימות</w:t>
      </w:r>
    </w:p>
    <w:p w:rsidR="00FA2B16" w:rsidRPr="0092277B" w:rsidRDefault="00FA2B16" w:rsidP="00FA2B16">
      <w:pPr>
        <w:spacing w:line="360" w:lineRule="auto"/>
        <w:ind w:right="709"/>
        <w:jc w:val="both"/>
        <w:rPr>
          <w:rFonts w:cs="David"/>
          <w:b/>
          <w:bCs/>
          <w:sz w:val="32"/>
          <w:szCs w:val="32"/>
          <w:rtl/>
        </w:rPr>
      </w:pPr>
      <w:r w:rsidRPr="0092277B">
        <w:rPr>
          <w:rFonts w:cs="David" w:hint="cs"/>
          <w:b/>
          <w:bCs/>
          <w:sz w:val="32"/>
          <w:szCs w:val="32"/>
          <w:rtl/>
        </w:rPr>
        <w:t>טבלאות -</w:t>
      </w:r>
    </w:p>
    <w:p w:rsidR="00FA2B16" w:rsidRPr="00942404" w:rsidRDefault="00FA2B16" w:rsidP="00FA2B16">
      <w:pPr>
        <w:spacing w:line="360" w:lineRule="auto"/>
        <w:ind w:right="709"/>
        <w:rPr>
          <w:rFonts w:cs="David"/>
          <w:b/>
          <w:bCs/>
          <w:sz w:val="28"/>
          <w:szCs w:val="28"/>
          <w:rtl/>
        </w:rPr>
      </w:pPr>
      <w:r w:rsidRPr="00942404">
        <w:rPr>
          <w:rFonts w:ascii="Verdana" w:eastAsia="Times New Roman" w:hAnsi="Verdana" w:cs="David" w:hint="cs"/>
          <w:b/>
          <w:bCs/>
          <w:color w:val="000000"/>
          <w:sz w:val="28"/>
          <w:szCs w:val="28"/>
          <w:rtl/>
        </w:rPr>
        <w:t xml:space="preserve">טבלה מספר 1 </w:t>
      </w:r>
      <w:r w:rsidRPr="00942404">
        <w:rPr>
          <w:rFonts w:ascii="Verdana" w:eastAsia="Times New Roman" w:hAnsi="Verdana" w:cs="David" w:hint="cs"/>
          <w:b/>
          <w:bCs/>
          <w:color w:val="000000"/>
          <w:sz w:val="24"/>
          <w:szCs w:val="24"/>
          <w:rtl/>
        </w:rPr>
        <w:t xml:space="preserve">- </w:t>
      </w:r>
      <w:r w:rsidRPr="0092277B">
        <w:rPr>
          <w:rFonts w:ascii="Verdana" w:eastAsia="Times New Roman" w:hAnsi="Verdana" w:cs="David"/>
          <w:color w:val="000000"/>
          <w:sz w:val="24"/>
          <w:szCs w:val="24"/>
        </w:rPr>
        <w:t>INTERNET USAGE STATISTICS</w:t>
      </w:r>
    </w:p>
    <w:p w:rsidR="00FA2B16" w:rsidRDefault="00FA2B16" w:rsidP="00FA2B16">
      <w:pPr>
        <w:spacing w:line="360" w:lineRule="auto"/>
        <w:ind w:right="709"/>
        <w:jc w:val="both"/>
        <w:rPr>
          <w:rFonts w:cs="David"/>
          <w:sz w:val="28"/>
          <w:szCs w:val="28"/>
          <w:rtl/>
        </w:rPr>
      </w:pPr>
      <w:r w:rsidRPr="005A293A">
        <w:rPr>
          <w:rFonts w:cs="David" w:hint="cs"/>
          <w:b/>
          <w:bCs/>
          <w:sz w:val="28"/>
          <w:szCs w:val="28"/>
          <w:rtl/>
        </w:rPr>
        <w:t>טבלה מספר 2</w:t>
      </w:r>
      <w:r w:rsidRPr="005A293A">
        <w:rPr>
          <w:rFonts w:cs="David" w:hint="cs"/>
          <w:sz w:val="28"/>
          <w:szCs w:val="28"/>
          <w:rtl/>
        </w:rPr>
        <w:t xml:space="preserve"> </w:t>
      </w:r>
      <w:r w:rsidRPr="005A293A">
        <w:rPr>
          <w:rFonts w:cs="David"/>
          <w:sz w:val="28"/>
          <w:szCs w:val="28"/>
          <w:rtl/>
        </w:rPr>
        <w:t>–</w:t>
      </w:r>
      <w:r w:rsidRPr="005A293A">
        <w:rPr>
          <w:rFonts w:cs="David" w:hint="cs"/>
          <w:sz w:val="28"/>
          <w:szCs w:val="28"/>
          <w:rtl/>
        </w:rPr>
        <w:t xml:space="preserve"> גלישה במרשתת לפי מגדר</w:t>
      </w:r>
    </w:p>
    <w:p w:rsidR="00FA2B16" w:rsidRDefault="00FA2B16" w:rsidP="00FA2B16">
      <w:pPr>
        <w:spacing w:line="360" w:lineRule="auto"/>
        <w:ind w:right="709"/>
        <w:jc w:val="both"/>
        <w:rPr>
          <w:rFonts w:cs="David"/>
          <w:b/>
          <w:bCs/>
          <w:sz w:val="28"/>
          <w:szCs w:val="28"/>
          <w:rtl/>
        </w:rPr>
      </w:pPr>
      <w:r w:rsidRPr="00F11A4E">
        <w:rPr>
          <w:rFonts w:cs="David" w:hint="cs"/>
          <w:b/>
          <w:bCs/>
          <w:sz w:val="28"/>
          <w:szCs w:val="28"/>
          <w:rtl/>
        </w:rPr>
        <w:t>טבלה מספר 3</w:t>
      </w:r>
      <w:r>
        <w:rPr>
          <w:rFonts w:cs="David" w:hint="cs"/>
          <w:sz w:val="28"/>
          <w:szCs w:val="28"/>
          <w:rtl/>
        </w:rPr>
        <w:t xml:space="preserve"> - גלישה במרשתת לפי השכלת המרואיין</w:t>
      </w:r>
    </w:p>
    <w:p w:rsidR="00125981" w:rsidRPr="002C07E8" w:rsidRDefault="00125981" w:rsidP="002652B1">
      <w:pPr>
        <w:spacing w:line="360" w:lineRule="auto"/>
        <w:jc w:val="both"/>
        <w:rPr>
          <w:rFonts w:cs="David"/>
          <w:b/>
          <w:bCs/>
          <w:sz w:val="36"/>
          <w:szCs w:val="36"/>
          <w:rtl/>
        </w:rPr>
      </w:pPr>
    </w:p>
    <w:p w:rsidR="002C07E8" w:rsidRDefault="002C07E8" w:rsidP="002652B1">
      <w:pPr>
        <w:spacing w:line="360" w:lineRule="auto"/>
        <w:jc w:val="both"/>
        <w:rPr>
          <w:rFonts w:cs="David"/>
          <w:b/>
          <w:bCs/>
          <w:sz w:val="36"/>
          <w:szCs w:val="36"/>
          <w:rtl/>
        </w:rPr>
      </w:pPr>
    </w:p>
    <w:p w:rsidR="002C07E8" w:rsidRDefault="002C07E8" w:rsidP="002652B1">
      <w:pPr>
        <w:spacing w:line="360" w:lineRule="auto"/>
        <w:jc w:val="both"/>
        <w:rPr>
          <w:rFonts w:cs="David"/>
          <w:b/>
          <w:bCs/>
          <w:sz w:val="36"/>
          <w:szCs w:val="36"/>
          <w:rtl/>
        </w:rPr>
      </w:pPr>
    </w:p>
    <w:p w:rsidR="002C07E8" w:rsidRDefault="002C07E8" w:rsidP="002652B1">
      <w:pPr>
        <w:spacing w:line="360" w:lineRule="auto"/>
        <w:jc w:val="both"/>
        <w:rPr>
          <w:rFonts w:cs="David"/>
          <w:b/>
          <w:bCs/>
          <w:sz w:val="36"/>
          <w:szCs w:val="36"/>
          <w:rtl/>
        </w:rPr>
      </w:pPr>
    </w:p>
    <w:p w:rsidR="000A1F18" w:rsidRDefault="000A1F18" w:rsidP="002652B1">
      <w:pPr>
        <w:spacing w:line="360" w:lineRule="auto"/>
        <w:jc w:val="both"/>
        <w:rPr>
          <w:rFonts w:cs="David"/>
          <w:b/>
          <w:bCs/>
          <w:sz w:val="36"/>
          <w:szCs w:val="36"/>
          <w:rtl/>
        </w:rPr>
      </w:pPr>
    </w:p>
    <w:p w:rsidR="008814BA" w:rsidRDefault="008814BA" w:rsidP="002652B1">
      <w:pPr>
        <w:spacing w:line="360" w:lineRule="auto"/>
        <w:jc w:val="both"/>
        <w:rPr>
          <w:rFonts w:cs="David"/>
          <w:b/>
          <w:bCs/>
          <w:sz w:val="36"/>
          <w:szCs w:val="36"/>
          <w:rtl/>
        </w:rPr>
      </w:pPr>
    </w:p>
    <w:p w:rsidR="002652B1" w:rsidRPr="002B6819" w:rsidRDefault="002652B1" w:rsidP="002652B1">
      <w:pPr>
        <w:spacing w:line="360" w:lineRule="auto"/>
        <w:jc w:val="both"/>
        <w:rPr>
          <w:rFonts w:cs="David"/>
          <w:b/>
          <w:bCs/>
          <w:sz w:val="36"/>
          <w:szCs w:val="36"/>
          <w:rtl/>
        </w:rPr>
      </w:pPr>
      <w:r w:rsidRPr="002B6819">
        <w:rPr>
          <w:rFonts w:cs="David" w:hint="cs"/>
          <w:b/>
          <w:bCs/>
          <w:sz w:val="36"/>
          <w:szCs w:val="36"/>
          <w:rtl/>
        </w:rPr>
        <w:lastRenderedPageBreak/>
        <w:t>מבוא</w:t>
      </w:r>
    </w:p>
    <w:p w:rsidR="002652B1" w:rsidRDefault="00F704C9" w:rsidP="00F704C9">
      <w:pPr>
        <w:spacing w:line="360" w:lineRule="auto"/>
        <w:jc w:val="both"/>
        <w:rPr>
          <w:rFonts w:cs="David"/>
          <w:sz w:val="28"/>
          <w:szCs w:val="28"/>
          <w:rtl/>
        </w:rPr>
      </w:pPr>
      <w:r>
        <w:rPr>
          <w:rFonts w:cs="David" w:hint="cs"/>
          <w:sz w:val="28"/>
          <w:szCs w:val="28"/>
          <w:rtl/>
        </w:rPr>
        <w:t>עניינה של עבודה זו הו</w:t>
      </w:r>
      <w:r w:rsidR="002652B1" w:rsidRPr="002B2535">
        <w:rPr>
          <w:rFonts w:cs="David" w:hint="cs"/>
          <w:sz w:val="28"/>
          <w:szCs w:val="28"/>
          <w:rtl/>
        </w:rPr>
        <w:t>א בהסתה לגזענות ולאלימות</w:t>
      </w:r>
      <w:r>
        <w:rPr>
          <w:rFonts w:cs="David" w:hint="cs"/>
          <w:sz w:val="28"/>
          <w:szCs w:val="28"/>
          <w:rtl/>
        </w:rPr>
        <w:t xml:space="preserve"> של יהודים כלפי ערבים</w:t>
      </w:r>
      <w:r w:rsidR="002652B1" w:rsidRPr="002B2535">
        <w:rPr>
          <w:rFonts w:cs="David" w:hint="cs"/>
          <w:sz w:val="28"/>
          <w:szCs w:val="28"/>
          <w:rtl/>
        </w:rPr>
        <w:t xml:space="preserve"> ברשתות החברתיות בישראל. </w:t>
      </w:r>
      <w:r w:rsidR="002B2535" w:rsidRPr="002B2535">
        <w:rPr>
          <w:rFonts w:cs="David" w:hint="cs"/>
          <w:sz w:val="28"/>
          <w:szCs w:val="28"/>
          <w:rtl/>
        </w:rPr>
        <w:t xml:space="preserve">מטרותיה הן </w:t>
      </w:r>
      <w:r w:rsidR="002B2535">
        <w:rPr>
          <w:rFonts w:cs="David" w:hint="cs"/>
          <w:sz w:val="28"/>
          <w:szCs w:val="28"/>
          <w:rtl/>
        </w:rPr>
        <w:t>בחינת</w:t>
      </w:r>
      <w:r w:rsidR="002B2535" w:rsidRPr="002B2535">
        <w:rPr>
          <w:rFonts w:cs="David" w:hint="cs"/>
          <w:sz w:val="28"/>
          <w:szCs w:val="28"/>
          <w:rtl/>
        </w:rPr>
        <w:t xml:space="preserve"> הכלים המשפטיים</w:t>
      </w:r>
      <w:r w:rsidR="008814BA">
        <w:rPr>
          <w:rFonts w:cs="David" w:hint="cs"/>
          <w:sz w:val="28"/>
          <w:szCs w:val="28"/>
          <w:rtl/>
        </w:rPr>
        <w:t>,</w:t>
      </w:r>
      <w:r w:rsidR="002B2535" w:rsidRPr="002B2535">
        <w:rPr>
          <w:rFonts w:cs="David" w:hint="cs"/>
          <w:sz w:val="28"/>
          <w:szCs w:val="28"/>
          <w:rtl/>
        </w:rPr>
        <w:t xml:space="preserve"> </w:t>
      </w:r>
      <w:r w:rsidR="008814BA">
        <w:rPr>
          <w:rFonts w:cs="David"/>
          <w:sz w:val="28"/>
          <w:szCs w:val="28"/>
          <w:rtl/>
        </w:rPr>
        <w:br/>
      </w:r>
      <w:r w:rsidR="008814BA">
        <w:rPr>
          <w:rFonts w:cs="David" w:hint="cs"/>
          <w:sz w:val="28"/>
          <w:szCs w:val="28"/>
          <w:rtl/>
        </w:rPr>
        <w:t xml:space="preserve">הלבר-משפטיים </w:t>
      </w:r>
      <w:r w:rsidR="002B2535">
        <w:rPr>
          <w:rFonts w:cs="David" w:hint="cs"/>
          <w:sz w:val="28"/>
          <w:szCs w:val="28"/>
          <w:rtl/>
        </w:rPr>
        <w:t xml:space="preserve">ומדיניות האכיפה </w:t>
      </w:r>
      <w:r w:rsidR="002B2535" w:rsidRPr="002B2535">
        <w:rPr>
          <w:rFonts w:cs="David" w:hint="cs"/>
          <w:sz w:val="28"/>
          <w:szCs w:val="28"/>
          <w:rtl/>
        </w:rPr>
        <w:t>לצ</w:t>
      </w:r>
      <w:r w:rsidR="002B2535">
        <w:rPr>
          <w:rFonts w:cs="David" w:hint="cs"/>
          <w:sz w:val="28"/>
          <w:szCs w:val="28"/>
          <w:rtl/>
        </w:rPr>
        <w:t>מצום ולמניעת התופעה</w:t>
      </w:r>
      <w:r>
        <w:rPr>
          <w:rFonts w:cs="David" w:hint="cs"/>
          <w:sz w:val="28"/>
          <w:szCs w:val="28"/>
          <w:rtl/>
        </w:rPr>
        <w:t>, על רקע המתחים המתקיי</w:t>
      </w:r>
      <w:r w:rsidR="00D74C1D">
        <w:rPr>
          <w:rFonts w:cs="David" w:hint="cs"/>
          <w:sz w:val="28"/>
          <w:szCs w:val="28"/>
          <w:rtl/>
        </w:rPr>
        <w:t>מים במדינה דמוקרטית.</w:t>
      </w:r>
    </w:p>
    <w:p w:rsidR="002652B1" w:rsidRPr="00880826" w:rsidRDefault="002652B1" w:rsidP="002A38C9">
      <w:pPr>
        <w:spacing w:line="360" w:lineRule="auto"/>
        <w:jc w:val="both"/>
        <w:rPr>
          <w:rFonts w:cs="David"/>
          <w:color w:val="FF0000"/>
          <w:sz w:val="28"/>
          <w:szCs w:val="28"/>
          <w:rtl/>
        </w:rPr>
      </w:pPr>
      <w:r w:rsidRPr="00880826">
        <w:rPr>
          <w:rFonts w:cs="David" w:hint="cs"/>
          <w:sz w:val="28"/>
          <w:szCs w:val="28"/>
          <w:rtl/>
        </w:rPr>
        <w:t>מהפכת הרשתות החברתיות החלה בשנת 2005, עת הסתיימה תקופת הווב</w:t>
      </w:r>
      <w:r>
        <w:rPr>
          <w:rFonts w:cs="David" w:hint="cs"/>
          <w:sz w:val="28"/>
          <w:szCs w:val="28"/>
          <w:rtl/>
        </w:rPr>
        <w:t xml:space="preserve"> </w:t>
      </w:r>
      <w:r w:rsidRPr="00940BA3">
        <w:rPr>
          <w:rFonts w:cs="David" w:hint="cs"/>
          <w:sz w:val="24"/>
          <w:szCs w:val="24"/>
          <w:rtl/>
        </w:rPr>
        <w:t>(</w:t>
      </w:r>
      <w:r w:rsidRPr="00940BA3">
        <w:rPr>
          <w:rFonts w:cs="David"/>
          <w:sz w:val="24"/>
          <w:szCs w:val="24"/>
        </w:rPr>
        <w:t>(</w:t>
      </w:r>
      <w:r w:rsidRPr="00940BA3">
        <w:rPr>
          <w:rFonts w:cs="David" w:hint="cs"/>
          <w:sz w:val="24"/>
          <w:szCs w:val="24"/>
        </w:rPr>
        <w:t>WE</w:t>
      </w:r>
      <w:r w:rsidRPr="00940BA3">
        <w:rPr>
          <w:rFonts w:cs="David"/>
          <w:sz w:val="24"/>
          <w:szCs w:val="24"/>
        </w:rPr>
        <w:t>B</w:t>
      </w:r>
      <w:r w:rsidRPr="00880826">
        <w:rPr>
          <w:rFonts w:cs="David" w:hint="cs"/>
          <w:sz w:val="28"/>
          <w:szCs w:val="28"/>
          <w:rtl/>
        </w:rPr>
        <w:t xml:space="preserve"> 1.0 והחל המעבר לשלב השני של המרשתת (האינטרנט), </w:t>
      </w:r>
      <w:r w:rsidR="002A38C9">
        <w:rPr>
          <w:rFonts w:cs="David" w:hint="cs"/>
          <w:sz w:val="28"/>
          <w:szCs w:val="28"/>
          <w:rtl/>
        </w:rPr>
        <w:t>שלב הווב</w:t>
      </w:r>
      <w:r>
        <w:rPr>
          <w:rFonts w:cs="David" w:hint="cs"/>
          <w:sz w:val="28"/>
          <w:szCs w:val="28"/>
          <w:rtl/>
        </w:rPr>
        <w:t xml:space="preserve"> </w:t>
      </w:r>
      <w:r w:rsidRPr="00940BA3">
        <w:rPr>
          <w:rFonts w:cs="David" w:hint="cs"/>
          <w:sz w:val="24"/>
          <w:szCs w:val="24"/>
          <w:rtl/>
        </w:rPr>
        <w:t>(</w:t>
      </w:r>
      <w:r w:rsidRPr="00940BA3">
        <w:rPr>
          <w:rFonts w:cs="David"/>
          <w:sz w:val="24"/>
          <w:szCs w:val="24"/>
        </w:rPr>
        <w:t>(</w:t>
      </w:r>
      <w:r w:rsidRPr="00940BA3">
        <w:rPr>
          <w:rFonts w:cs="David" w:hint="cs"/>
          <w:sz w:val="24"/>
          <w:szCs w:val="24"/>
        </w:rPr>
        <w:t>WEB</w:t>
      </w:r>
      <w:r w:rsidRPr="00880826">
        <w:rPr>
          <w:rFonts w:cs="David" w:hint="cs"/>
          <w:sz w:val="28"/>
          <w:szCs w:val="28"/>
          <w:rtl/>
        </w:rPr>
        <w:t xml:space="preserve"> 2.0. הופעת הדפדפן כמוצר צרכני המוני בשנת 1995 הי</w:t>
      </w:r>
      <w:r>
        <w:rPr>
          <w:rFonts w:cs="David" w:hint="cs"/>
          <w:sz w:val="28"/>
          <w:szCs w:val="28"/>
          <w:rtl/>
        </w:rPr>
        <w:t>ית</w:t>
      </w:r>
      <w:r w:rsidRPr="00880826">
        <w:rPr>
          <w:rFonts w:cs="David" w:hint="cs"/>
          <w:sz w:val="28"/>
          <w:szCs w:val="28"/>
          <w:rtl/>
        </w:rPr>
        <w:t>ה למעשה רק חיקוי של צורות התקשורת הישנות</w:t>
      </w:r>
      <w:r>
        <w:rPr>
          <w:rFonts w:cs="David" w:hint="cs"/>
          <w:sz w:val="28"/>
          <w:szCs w:val="28"/>
          <w:rtl/>
        </w:rPr>
        <w:t>:</w:t>
      </w:r>
      <w:r w:rsidRPr="00880826">
        <w:rPr>
          <w:rFonts w:cs="David" w:hint="cs"/>
          <w:sz w:val="28"/>
          <w:szCs w:val="28"/>
          <w:rtl/>
        </w:rPr>
        <w:t xml:space="preserve"> </w:t>
      </w:r>
      <w:r>
        <w:rPr>
          <w:rFonts w:cs="David" w:hint="cs"/>
          <w:sz w:val="28"/>
          <w:szCs w:val="28"/>
          <w:rtl/>
        </w:rPr>
        <w:t xml:space="preserve">את פרסומו של </w:t>
      </w:r>
      <w:r w:rsidRPr="00880826">
        <w:rPr>
          <w:rFonts w:cs="David" w:hint="cs"/>
          <w:sz w:val="28"/>
          <w:szCs w:val="28"/>
          <w:rtl/>
        </w:rPr>
        <w:t xml:space="preserve">מאמר </w:t>
      </w:r>
      <w:r>
        <w:rPr>
          <w:rFonts w:cs="David" w:hint="cs"/>
          <w:sz w:val="28"/>
          <w:szCs w:val="28"/>
          <w:rtl/>
        </w:rPr>
        <w:t>ב</w:t>
      </w:r>
      <w:r w:rsidRPr="00880826">
        <w:rPr>
          <w:rFonts w:cs="David" w:hint="cs"/>
          <w:sz w:val="28"/>
          <w:szCs w:val="28"/>
          <w:rtl/>
        </w:rPr>
        <w:t>עיתון</w:t>
      </w:r>
      <w:r>
        <w:rPr>
          <w:rFonts w:cs="David" w:hint="cs"/>
          <w:sz w:val="28"/>
          <w:szCs w:val="28"/>
          <w:rtl/>
        </w:rPr>
        <w:t xml:space="preserve"> החליף הפרסום </w:t>
      </w:r>
      <w:r w:rsidRPr="00880826">
        <w:rPr>
          <w:rFonts w:cs="David" w:hint="cs"/>
          <w:sz w:val="28"/>
          <w:szCs w:val="28"/>
          <w:rtl/>
        </w:rPr>
        <w:t>ברשת ו</w:t>
      </w:r>
      <w:r>
        <w:rPr>
          <w:rFonts w:cs="David" w:hint="cs"/>
          <w:sz w:val="28"/>
          <w:szCs w:val="28"/>
          <w:rtl/>
        </w:rPr>
        <w:t>הצגתו</w:t>
      </w:r>
      <w:r w:rsidRPr="00880826">
        <w:rPr>
          <w:rFonts w:cs="David" w:hint="cs"/>
          <w:sz w:val="28"/>
          <w:szCs w:val="28"/>
          <w:rtl/>
        </w:rPr>
        <w:t xml:space="preserve"> על מסך מחשב. התכנים עדיין נוצרו על ידי המקורות המסורתיים, העיתונות הכתובה או הטלוויזיה וההמון היה פסיבי. בשנת 2005 השתנו יצרני התוכן וההמון הפך לגורם חדש של ייצור וסינון תוכן. כך קמו פייסבוק, יוטיוב, טוויטר, גוגל, ויקיפדיה ואתרים נוספים שהביאו לידי ביטוי את הכוח המהפכני של הרשתות החברתיות</w:t>
      </w:r>
      <w:r>
        <w:rPr>
          <w:rFonts w:cs="David" w:hint="cs"/>
          <w:sz w:val="28"/>
          <w:szCs w:val="28"/>
          <w:rtl/>
        </w:rPr>
        <w:t>.</w:t>
      </w:r>
      <w:r>
        <w:rPr>
          <w:rStyle w:val="a5"/>
          <w:rFonts w:cs="David"/>
          <w:sz w:val="28"/>
          <w:szCs w:val="28"/>
          <w:rtl/>
        </w:rPr>
        <w:footnoteReference w:id="1"/>
      </w:r>
    </w:p>
    <w:p w:rsidR="002A38C9" w:rsidRDefault="002652B1" w:rsidP="00BD29BC">
      <w:pPr>
        <w:spacing w:line="360" w:lineRule="auto"/>
        <w:jc w:val="both"/>
        <w:rPr>
          <w:rFonts w:cs="David"/>
          <w:sz w:val="28"/>
          <w:szCs w:val="28"/>
          <w:rtl/>
        </w:rPr>
      </w:pPr>
      <w:r w:rsidRPr="00880826">
        <w:rPr>
          <w:rFonts w:cs="David" w:hint="cs"/>
          <w:sz w:val="28"/>
          <w:szCs w:val="28"/>
          <w:rtl/>
        </w:rPr>
        <w:t>אין עוררין על עוצמתן של הרשתות החברתיות</w:t>
      </w:r>
      <w:r w:rsidR="00BD29BC">
        <w:rPr>
          <w:rFonts w:cs="David" w:hint="cs"/>
          <w:sz w:val="28"/>
          <w:szCs w:val="28"/>
          <w:rtl/>
        </w:rPr>
        <w:t>.</w:t>
      </w:r>
      <w:r w:rsidRPr="00880826">
        <w:rPr>
          <w:rFonts w:cs="David" w:hint="cs"/>
          <w:sz w:val="28"/>
          <w:szCs w:val="28"/>
          <w:rtl/>
        </w:rPr>
        <w:t xml:space="preserve"> רשתות </w:t>
      </w:r>
      <w:r>
        <w:rPr>
          <w:rFonts w:cs="David" w:hint="cs"/>
          <w:sz w:val="28"/>
          <w:szCs w:val="28"/>
          <w:rtl/>
        </w:rPr>
        <w:t>ש</w:t>
      </w:r>
      <w:r w:rsidRPr="00880826">
        <w:rPr>
          <w:rFonts w:cs="David" w:hint="cs"/>
          <w:sz w:val="28"/>
          <w:szCs w:val="28"/>
          <w:rtl/>
        </w:rPr>
        <w:t xml:space="preserve">כאלו </w:t>
      </w:r>
      <w:r>
        <w:rPr>
          <w:rFonts w:cs="David" w:hint="cs"/>
          <w:sz w:val="28"/>
          <w:szCs w:val="28"/>
          <w:rtl/>
        </w:rPr>
        <w:t>התקיימו</w:t>
      </w:r>
      <w:r w:rsidRPr="00880826">
        <w:rPr>
          <w:rFonts w:cs="David" w:hint="cs"/>
          <w:sz w:val="28"/>
          <w:szCs w:val="28"/>
          <w:rtl/>
        </w:rPr>
        <w:t xml:space="preserve"> מאז ו</w:t>
      </w:r>
      <w:r>
        <w:rPr>
          <w:rFonts w:cs="David" w:hint="cs"/>
          <w:sz w:val="28"/>
          <w:szCs w:val="28"/>
          <w:rtl/>
        </w:rPr>
        <w:t>מעולם במרחב הביולוגי והאנושי, אך הה</w:t>
      </w:r>
      <w:r w:rsidRPr="00880826">
        <w:rPr>
          <w:rFonts w:cs="David" w:hint="cs"/>
          <w:sz w:val="28"/>
          <w:szCs w:val="28"/>
          <w:rtl/>
        </w:rPr>
        <w:t>תפתחות הטכנולוגית הביאה למהפכה איכותית דרמטית ב</w:t>
      </w:r>
      <w:r>
        <w:rPr>
          <w:rFonts w:cs="David" w:hint="cs"/>
          <w:sz w:val="28"/>
          <w:szCs w:val="28"/>
          <w:rtl/>
        </w:rPr>
        <w:t>שימוש בהן</w:t>
      </w:r>
      <w:r w:rsidRPr="00880826">
        <w:rPr>
          <w:rFonts w:cs="David" w:hint="cs"/>
          <w:sz w:val="28"/>
          <w:szCs w:val="28"/>
          <w:rtl/>
        </w:rPr>
        <w:t xml:space="preserve">. </w:t>
      </w:r>
      <w:r>
        <w:rPr>
          <w:rFonts w:cs="David" w:hint="cs"/>
          <w:sz w:val="28"/>
          <w:szCs w:val="28"/>
          <w:rtl/>
        </w:rPr>
        <w:t xml:space="preserve">אשר </w:t>
      </w:r>
      <w:r w:rsidRPr="00880826">
        <w:rPr>
          <w:rFonts w:cs="David" w:hint="cs"/>
          <w:sz w:val="28"/>
          <w:szCs w:val="28"/>
          <w:rtl/>
        </w:rPr>
        <w:t>עידן מגדיר מהפכה זו כ"פצצת אטום פוליטית, מערכת תקשורת איכותית בדמות סמארטפונים, שמובנית בה רשת קשר מבצעית בדמות פייסבוק</w:t>
      </w:r>
      <w:r w:rsidR="006506F6">
        <w:rPr>
          <w:rFonts w:cs="David" w:hint="cs"/>
          <w:sz w:val="28"/>
          <w:szCs w:val="28"/>
          <w:rtl/>
        </w:rPr>
        <w:t>-</w:t>
      </w:r>
      <w:r w:rsidRPr="00880826">
        <w:rPr>
          <w:rFonts w:cs="David" w:hint="cs"/>
          <w:sz w:val="28"/>
          <w:szCs w:val="28"/>
          <w:rtl/>
        </w:rPr>
        <w:t>יוטיוב-טוויטר ומצורפת אליהם רשת מודיעינית חסרת תקדים בדמות מנוע החיפוש של גוגל".</w:t>
      </w:r>
      <w:r>
        <w:rPr>
          <w:rStyle w:val="a5"/>
          <w:rFonts w:cs="David"/>
          <w:sz w:val="28"/>
          <w:szCs w:val="28"/>
          <w:rtl/>
        </w:rPr>
        <w:footnoteReference w:id="2"/>
      </w:r>
      <w:r w:rsidR="002A38C9">
        <w:rPr>
          <w:rFonts w:cs="David" w:hint="cs"/>
          <w:sz w:val="28"/>
          <w:szCs w:val="28"/>
          <w:rtl/>
        </w:rPr>
        <w:t xml:space="preserve"> עוצמת הרשתות החברתיות מוחזקת כיום</w:t>
      </w:r>
      <w:r>
        <w:rPr>
          <w:rFonts w:cs="David" w:hint="cs"/>
          <w:sz w:val="28"/>
          <w:szCs w:val="28"/>
          <w:rtl/>
        </w:rPr>
        <w:t>,</w:t>
      </w:r>
      <w:r w:rsidRPr="00880826">
        <w:rPr>
          <w:rFonts w:cs="David" w:hint="cs"/>
          <w:sz w:val="28"/>
          <w:szCs w:val="28"/>
          <w:rtl/>
        </w:rPr>
        <w:t xml:space="preserve"> ברמה כזו או אחרת</w:t>
      </w:r>
      <w:r>
        <w:rPr>
          <w:rFonts w:cs="David" w:hint="cs"/>
          <w:sz w:val="28"/>
          <w:szCs w:val="28"/>
          <w:rtl/>
        </w:rPr>
        <w:t>,</w:t>
      </w:r>
      <w:r w:rsidRPr="00880826">
        <w:rPr>
          <w:rFonts w:cs="David" w:hint="cs"/>
          <w:sz w:val="28"/>
          <w:szCs w:val="28"/>
          <w:rtl/>
        </w:rPr>
        <w:t xml:space="preserve"> בידי מיליארדי אנשים ומשנה מן היסוד את כללי המשחק במגוון מגרשים.</w:t>
      </w:r>
    </w:p>
    <w:p w:rsidR="002652B1" w:rsidRDefault="002652B1" w:rsidP="002A38C9">
      <w:pPr>
        <w:spacing w:line="360" w:lineRule="auto"/>
        <w:jc w:val="both"/>
        <w:rPr>
          <w:rFonts w:cs="David"/>
          <w:color w:val="FF0000"/>
          <w:sz w:val="28"/>
          <w:szCs w:val="28"/>
          <w:rtl/>
        </w:rPr>
      </w:pPr>
      <w:r w:rsidRPr="00880826">
        <w:rPr>
          <w:rFonts w:cs="David" w:hint="cs"/>
          <w:sz w:val="28"/>
          <w:szCs w:val="28"/>
          <w:rtl/>
        </w:rPr>
        <w:t xml:space="preserve">כבר מימיה הראשונים נתקלה המרשתת ביחס דואלי </w:t>
      </w:r>
      <w:r>
        <w:rPr>
          <w:rFonts w:cs="David" w:hint="cs"/>
          <w:sz w:val="28"/>
          <w:szCs w:val="28"/>
          <w:rtl/>
        </w:rPr>
        <w:t>ב</w:t>
      </w:r>
      <w:r w:rsidRPr="00880826">
        <w:rPr>
          <w:rFonts w:cs="David" w:hint="cs"/>
          <w:sz w:val="28"/>
          <w:szCs w:val="28"/>
          <w:rtl/>
        </w:rPr>
        <w:t>חברה, ו</w:t>
      </w:r>
      <w:r>
        <w:rPr>
          <w:rFonts w:cs="David" w:hint="cs"/>
          <w:sz w:val="28"/>
          <w:szCs w:val="28"/>
          <w:rtl/>
        </w:rPr>
        <w:t>ל</w:t>
      </w:r>
      <w:r w:rsidRPr="00880826">
        <w:rPr>
          <w:rFonts w:cs="David" w:hint="cs"/>
          <w:sz w:val="28"/>
          <w:szCs w:val="28"/>
          <w:rtl/>
        </w:rPr>
        <w:t>צד האופטימיות הגדולה ששידרה</w:t>
      </w:r>
      <w:r>
        <w:rPr>
          <w:rFonts w:cs="David" w:hint="cs"/>
          <w:sz w:val="28"/>
          <w:szCs w:val="28"/>
          <w:rtl/>
        </w:rPr>
        <w:t>,</w:t>
      </w:r>
      <w:r w:rsidRPr="00880826">
        <w:rPr>
          <w:rFonts w:cs="David" w:hint="cs"/>
          <w:sz w:val="28"/>
          <w:szCs w:val="28"/>
          <w:rtl/>
        </w:rPr>
        <w:t xml:space="preserve"> היא גם עוררה פחדים עמוקים. היו שהאמינו כי הטכנולוגיה החדשה תחזק את הדמוקרטיה ותביא לשווי</w:t>
      </w:r>
      <w:r>
        <w:rPr>
          <w:rFonts w:cs="David" w:hint="cs"/>
          <w:sz w:val="28"/>
          <w:szCs w:val="28"/>
          <w:rtl/>
        </w:rPr>
        <w:t>ו</w:t>
      </w:r>
      <w:r w:rsidRPr="00880826">
        <w:rPr>
          <w:rFonts w:cs="David" w:hint="cs"/>
          <w:sz w:val="28"/>
          <w:szCs w:val="28"/>
          <w:rtl/>
        </w:rPr>
        <w:t>ן חברתי, כלכלי ופוליטי. ה</w:t>
      </w:r>
      <w:r>
        <w:rPr>
          <w:rFonts w:cs="David" w:hint="cs"/>
          <w:sz w:val="28"/>
          <w:szCs w:val="28"/>
          <w:rtl/>
        </w:rPr>
        <w:t>י</w:t>
      </w:r>
      <w:r w:rsidRPr="00880826">
        <w:rPr>
          <w:rFonts w:cs="David" w:hint="cs"/>
          <w:sz w:val="28"/>
          <w:szCs w:val="28"/>
          <w:rtl/>
        </w:rPr>
        <w:t xml:space="preserve">טיב להביע זאת קליי שירקי, חוקר מוביל בתחום הרשתות החברתיות, </w:t>
      </w:r>
      <w:r w:rsidRPr="0059787D">
        <w:rPr>
          <w:rFonts w:cs="David" w:hint="cs"/>
          <w:sz w:val="28"/>
          <w:szCs w:val="28"/>
          <w:rtl/>
        </w:rPr>
        <w:t>שאמר "מה שגוגל מייצאת אינו מוצר או שירות, אלא חירות".</w:t>
      </w:r>
      <w:r>
        <w:rPr>
          <w:rStyle w:val="a5"/>
          <w:rFonts w:cs="David"/>
          <w:sz w:val="28"/>
          <w:szCs w:val="28"/>
          <w:rtl/>
        </w:rPr>
        <w:footnoteReference w:id="3"/>
      </w:r>
      <w:r w:rsidRPr="0059787D">
        <w:rPr>
          <w:rFonts w:cs="David" w:hint="cs"/>
          <w:sz w:val="28"/>
          <w:szCs w:val="28"/>
          <w:rtl/>
        </w:rPr>
        <w:t xml:space="preserve"> מ</w:t>
      </w:r>
      <w:r w:rsidR="00B86E97">
        <w:rPr>
          <w:rFonts w:cs="David" w:hint="cs"/>
          <w:sz w:val="28"/>
          <w:szCs w:val="28"/>
          <w:rtl/>
        </w:rPr>
        <w:t>נגד</w:t>
      </w:r>
      <w:r w:rsidRPr="00880826">
        <w:rPr>
          <w:rFonts w:cs="David" w:hint="cs"/>
          <w:sz w:val="28"/>
          <w:szCs w:val="28"/>
          <w:rtl/>
        </w:rPr>
        <w:t>, היו מי שהזהירו מפני תופעות הפוכות והביעו חשש כי המרחב המקוון יביא לניכור פוליטי, כלכלי ויוביל לפיצול בחברה</w:t>
      </w:r>
      <w:r>
        <w:rPr>
          <w:rFonts w:cs="David" w:hint="cs"/>
          <w:sz w:val="28"/>
          <w:szCs w:val="28"/>
          <w:rtl/>
        </w:rPr>
        <w:t>.</w:t>
      </w:r>
      <w:r>
        <w:rPr>
          <w:rStyle w:val="a5"/>
          <w:rFonts w:cs="David"/>
          <w:sz w:val="28"/>
          <w:szCs w:val="28"/>
          <w:rtl/>
        </w:rPr>
        <w:footnoteReference w:id="4"/>
      </w:r>
      <w:r w:rsidRPr="00880826">
        <w:rPr>
          <w:rFonts w:cs="David" w:hint="cs"/>
          <w:sz w:val="28"/>
          <w:szCs w:val="28"/>
          <w:rtl/>
        </w:rPr>
        <w:t xml:space="preserve"> </w:t>
      </w:r>
    </w:p>
    <w:p w:rsidR="002652B1" w:rsidRPr="00DE3C21" w:rsidRDefault="002652B1" w:rsidP="002652B1">
      <w:pPr>
        <w:spacing w:line="360" w:lineRule="auto"/>
        <w:jc w:val="both"/>
        <w:rPr>
          <w:rFonts w:cs="David"/>
          <w:sz w:val="28"/>
          <w:szCs w:val="28"/>
          <w:rtl/>
        </w:rPr>
      </w:pPr>
      <w:r w:rsidRPr="00880826">
        <w:rPr>
          <w:rFonts w:cs="David" w:hint="cs"/>
          <w:sz w:val="28"/>
          <w:szCs w:val="28"/>
          <w:rtl/>
        </w:rPr>
        <w:lastRenderedPageBreak/>
        <w:t xml:space="preserve">כך, לצד היתרונות המוכחים של המרשתת </w:t>
      </w:r>
      <w:r>
        <w:rPr>
          <w:rFonts w:cs="David" w:hint="cs"/>
          <w:sz w:val="28"/>
          <w:szCs w:val="28"/>
          <w:rtl/>
        </w:rPr>
        <w:t>-</w:t>
      </w:r>
      <w:r w:rsidRPr="00880826">
        <w:rPr>
          <w:rFonts w:cs="David" w:hint="cs"/>
          <w:sz w:val="28"/>
          <w:szCs w:val="28"/>
          <w:rtl/>
        </w:rPr>
        <w:t xml:space="preserve"> </w:t>
      </w:r>
      <w:r>
        <w:rPr>
          <w:rFonts w:cs="David" w:hint="cs"/>
          <w:sz w:val="28"/>
          <w:szCs w:val="28"/>
          <w:rtl/>
        </w:rPr>
        <w:t>קלה לשימוש, מקדמת את היכולת לרכוש מידע, מפתחת, ללא גבולות גאוגרפיים, מ</w:t>
      </w:r>
      <w:r w:rsidRPr="00880826">
        <w:rPr>
          <w:rFonts w:cs="David" w:hint="cs"/>
          <w:sz w:val="28"/>
          <w:szCs w:val="28"/>
          <w:rtl/>
        </w:rPr>
        <w:t>עצימה את חופש הביטוי ואת קולו של הבודד ובכך ת</w:t>
      </w:r>
      <w:r>
        <w:rPr>
          <w:rFonts w:cs="David" w:hint="cs"/>
          <w:sz w:val="28"/>
          <w:szCs w:val="28"/>
          <w:rtl/>
        </w:rPr>
        <w:t>ורמת</w:t>
      </w:r>
      <w:r w:rsidRPr="00880826">
        <w:rPr>
          <w:rFonts w:cs="David" w:hint="cs"/>
          <w:sz w:val="28"/>
          <w:szCs w:val="28"/>
          <w:rtl/>
        </w:rPr>
        <w:t xml:space="preserve"> לחיזוק הדמוקרטיה </w:t>
      </w:r>
      <w:r>
        <w:rPr>
          <w:rFonts w:cs="David" w:hint="cs"/>
          <w:sz w:val="28"/>
          <w:szCs w:val="28"/>
          <w:rtl/>
        </w:rPr>
        <w:t>-</w:t>
      </w:r>
      <w:r w:rsidRPr="00880826">
        <w:rPr>
          <w:rFonts w:cs="David" w:hint="cs"/>
          <w:sz w:val="28"/>
          <w:szCs w:val="28"/>
          <w:rtl/>
        </w:rPr>
        <w:t xml:space="preserve"> </w:t>
      </w:r>
      <w:r>
        <w:rPr>
          <w:rFonts w:cs="David" w:hint="cs"/>
          <w:sz w:val="28"/>
          <w:szCs w:val="28"/>
          <w:rtl/>
        </w:rPr>
        <w:t>זהו</w:t>
      </w:r>
      <w:r w:rsidRPr="00880826">
        <w:rPr>
          <w:rFonts w:cs="David" w:hint="cs"/>
          <w:sz w:val="28"/>
          <w:szCs w:val="28"/>
          <w:rtl/>
        </w:rPr>
        <w:t xml:space="preserve"> </w:t>
      </w:r>
      <w:r>
        <w:rPr>
          <w:rFonts w:cs="David" w:hint="cs"/>
          <w:sz w:val="28"/>
          <w:szCs w:val="28"/>
          <w:rtl/>
        </w:rPr>
        <w:t xml:space="preserve">גם </w:t>
      </w:r>
      <w:r w:rsidRPr="00DE3C21">
        <w:rPr>
          <w:rFonts w:cs="David" w:hint="cs"/>
          <w:sz w:val="28"/>
          <w:szCs w:val="28"/>
          <w:rtl/>
        </w:rPr>
        <w:t>אמצעי להפצת אמירות גזעניות המהווה במה רחבה לשיח מסית ואלים נגד קבוצות בציבור וחלקים מהאוכלוסייה.</w:t>
      </w:r>
    </w:p>
    <w:p w:rsidR="002652B1" w:rsidRPr="00DE3C21" w:rsidRDefault="002652B1" w:rsidP="00B86E97">
      <w:pPr>
        <w:spacing w:line="360" w:lineRule="auto"/>
        <w:jc w:val="both"/>
        <w:rPr>
          <w:rFonts w:cs="David"/>
          <w:sz w:val="28"/>
          <w:szCs w:val="28"/>
          <w:rtl/>
        </w:rPr>
      </w:pPr>
      <w:r w:rsidRPr="00DE3C21">
        <w:rPr>
          <w:rFonts w:cs="David" w:hint="cs"/>
          <w:sz w:val="28"/>
          <w:szCs w:val="28"/>
          <w:rtl/>
        </w:rPr>
        <w:t>יודגש</w:t>
      </w:r>
      <w:r w:rsidR="00B86E97">
        <w:rPr>
          <w:rFonts w:cs="David" w:hint="cs"/>
          <w:sz w:val="28"/>
          <w:szCs w:val="28"/>
          <w:rtl/>
        </w:rPr>
        <w:t>,</w:t>
      </w:r>
      <w:r w:rsidRPr="00DE3C21">
        <w:rPr>
          <w:rFonts w:cs="David" w:hint="cs"/>
          <w:sz w:val="28"/>
          <w:szCs w:val="28"/>
          <w:rtl/>
        </w:rPr>
        <w:t xml:space="preserve"> כי השיח הגזעני, הפוגעני והמסית לא בא לעולם רק עם הופעת המרשתת, שכן שיח זה היה קיים מקדמת דנא, אך נכון יהיה לטעון, כפי שטוענת נגבי</w:t>
      </w:r>
      <w:r w:rsidRPr="00DE3C21">
        <w:rPr>
          <w:rStyle w:val="a5"/>
          <w:rFonts w:cs="David"/>
          <w:sz w:val="28"/>
          <w:szCs w:val="28"/>
          <w:rtl/>
        </w:rPr>
        <w:footnoteReference w:id="5"/>
      </w:r>
      <w:r w:rsidRPr="00DE3C21">
        <w:rPr>
          <w:rFonts w:cs="David" w:hint="cs"/>
          <w:sz w:val="28"/>
          <w:szCs w:val="28"/>
          <w:rtl/>
        </w:rPr>
        <w:t xml:space="preserve"> בהקשר אחר אך דומה, כי המרשתת הפיחה חיים חדשים בכל הדעות הקדומות, העמדות העוינות והתפיסות המפלות ביחס ל'אחר'. כך, עמדות גזעניות, אלימות, פוגעניות, משפילות ומבזות מול אלו שמוצאם הלאומי-אתני שונה מצאו להן במה במרשתת. רבים נוספים מקבלים מכך חיזוק ולגיטימציה לדעותיהם, שאולי עד אותה עת היו חבויות עמוק בתוך תוכם, וכעת משראו כי יש נוספים המחזיקים בדעה דומה לזו שלהם, הם מרגישים חופשיים להביע את </w:t>
      </w:r>
      <w:r w:rsidR="00B86E97">
        <w:rPr>
          <w:rFonts w:cs="David" w:hint="cs"/>
          <w:sz w:val="28"/>
          <w:szCs w:val="28"/>
          <w:rtl/>
        </w:rPr>
        <w:t>עמדתם</w:t>
      </w:r>
      <w:r w:rsidRPr="00DE3C21">
        <w:rPr>
          <w:rFonts w:cs="David" w:hint="cs"/>
          <w:sz w:val="28"/>
          <w:szCs w:val="28"/>
          <w:rtl/>
        </w:rPr>
        <w:t xml:space="preserve"> הגזענית ואולי אף המסיתה.</w:t>
      </w:r>
    </w:p>
    <w:p w:rsidR="002652B1" w:rsidRPr="00880826" w:rsidRDefault="002652B1" w:rsidP="002652B1">
      <w:pPr>
        <w:spacing w:line="360" w:lineRule="auto"/>
        <w:jc w:val="both"/>
        <w:rPr>
          <w:rFonts w:cs="David"/>
          <w:sz w:val="28"/>
          <w:szCs w:val="28"/>
          <w:rtl/>
        </w:rPr>
      </w:pPr>
      <w:r w:rsidRPr="00DE3C21">
        <w:rPr>
          <w:rFonts w:cs="David" w:hint="cs"/>
          <w:sz w:val="28"/>
          <w:szCs w:val="28"/>
          <w:rtl/>
        </w:rPr>
        <w:t>ראוי לשים לב לדברי כריסטופר וולף, יו"ר כוח המשימה לענייני אינטרנט בליגה נגד השמצה, אשר טוען כי קיימות עדויות ברורות כי שנאה ברשת תורמת ומעודדת לפשעי שנאה. הביטוי הגזעני והמסית לא נשאר אך בחזקת ביטוי. הוא מיתרגם למעשי אלימות.</w:t>
      </w:r>
      <w:r w:rsidRPr="00DE3C21">
        <w:rPr>
          <w:rStyle w:val="a5"/>
          <w:rFonts w:cs="David"/>
          <w:sz w:val="28"/>
          <w:szCs w:val="28"/>
          <w:rtl/>
        </w:rPr>
        <w:footnoteReference w:id="6"/>
      </w:r>
    </w:p>
    <w:p w:rsidR="002652B1" w:rsidRDefault="002652B1" w:rsidP="002652B1">
      <w:pPr>
        <w:spacing w:line="360" w:lineRule="auto"/>
        <w:jc w:val="both"/>
        <w:rPr>
          <w:rFonts w:cs="David"/>
          <w:sz w:val="28"/>
          <w:szCs w:val="28"/>
          <w:rtl/>
        </w:rPr>
      </w:pPr>
      <w:r>
        <w:rPr>
          <w:rFonts w:cs="David" w:hint="cs"/>
          <w:sz w:val="28"/>
          <w:szCs w:val="28"/>
          <w:rtl/>
        </w:rPr>
        <w:t>אין בדברים שלעיל כדי לטעון כמובן לדטרמיניזם טכנולוגי, המייחס למרשתת את האחריות ליצירת שיח גזעני ומסית. ההשפעה של טכנולוגיית המידע על תהליכים חברתיים אינה מוטלת בספק, אך כבר קיימת ההבנה כי ישנם יחסי גומלין בין החברה ובין ההתפתחות הטכנולוגית.</w:t>
      </w:r>
      <w:r w:rsidRPr="002D7D64">
        <w:rPr>
          <w:rStyle w:val="a5"/>
          <w:rFonts w:cs="David"/>
          <w:sz w:val="28"/>
          <w:szCs w:val="28"/>
          <w:rtl/>
        </w:rPr>
        <w:footnoteReference w:id="7"/>
      </w:r>
      <w:r w:rsidRPr="002216EF">
        <w:rPr>
          <w:rFonts w:cs="David" w:hint="cs"/>
          <w:color w:val="FF0000"/>
          <w:sz w:val="28"/>
          <w:szCs w:val="28"/>
          <w:rtl/>
        </w:rPr>
        <w:t xml:space="preserve"> </w:t>
      </w:r>
    </w:p>
    <w:p w:rsidR="002652B1" w:rsidRDefault="002652B1" w:rsidP="006A57BA">
      <w:pPr>
        <w:spacing w:line="360" w:lineRule="auto"/>
        <w:jc w:val="both"/>
        <w:rPr>
          <w:rFonts w:cs="David"/>
          <w:color w:val="FF0000"/>
          <w:sz w:val="28"/>
          <w:szCs w:val="28"/>
          <w:rtl/>
        </w:rPr>
      </w:pPr>
      <w:r>
        <w:rPr>
          <w:rFonts w:cs="David" w:hint="cs"/>
          <w:sz w:val="28"/>
          <w:szCs w:val="28"/>
          <w:rtl/>
        </w:rPr>
        <w:t xml:space="preserve">תופעת השנאה, שהגזענות היא מקרה פרטני בתוכה, הינה גלובאלית. במרשתת קיימים עשרות אלפי אתרי שטנה </w:t>
      </w:r>
      <w:r w:rsidR="006A57BA">
        <w:rPr>
          <w:rFonts w:cs="David" w:hint="cs"/>
          <w:sz w:val="28"/>
          <w:szCs w:val="28"/>
          <w:rtl/>
        </w:rPr>
        <w:t>ומספרם גדל לאורך השנים.</w:t>
      </w:r>
      <w:r>
        <w:rPr>
          <w:rFonts w:cs="David" w:hint="cs"/>
          <w:sz w:val="28"/>
          <w:szCs w:val="28"/>
          <w:rtl/>
        </w:rPr>
        <w:t xml:space="preserve"> חלק ממדינות אירופה פועלות בשיתוף פעולה כדי להילחם באנשים המפיצים גזענות ושנאה באמצעות המרשתת. בשנת 2002, </w:t>
      </w:r>
      <w:r w:rsidR="00B86E97">
        <w:rPr>
          <w:rFonts w:cs="David" w:hint="cs"/>
          <w:sz w:val="28"/>
          <w:szCs w:val="28"/>
          <w:rtl/>
        </w:rPr>
        <w:t xml:space="preserve">אף אימצה </w:t>
      </w:r>
      <w:r>
        <w:rPr>
          <w:rFonts w:cs="David" w:hint="cs"/>
          <w:sz w:val="28"/>
          <w:szCs w:val="28"/>
          <w:rtl/>
        </w:rPr>
        <w:t>ועדת שרים של מועצת אירופה החלטה הרואה בביטויי שטנה המופצים באמצעות המרשתת מעשה פשע. החלטה זו אוסרת על כל חומר כתוב, כל תמונה או דמות, כל מגלם של דעות או תאוריות, אשר מטיף, מקדם או מסית לשנאה, אפליה לרעה או אלימות נגד פרטים או קבוצות, על בסיס גזע, צבע עור, דת ומוצא לאומי-אתני</w:t>
      </w:r>
      <w:r>
        <w:rPr>
          <w:rStyle w:val="a5"/>
          <w:rFonts w:cs="David"/>
          <w:sz w:val="28"/>
          <w:szCs w:val="28"/>
          <w:rtl/>
        </w:rPr>
        <w:footnoteReference w:id="8"/>
      </w:r>
      <w:r w:rsidRPr="002F067B">
        <w:rPr>
          <w:rFonts w:cs="David" w:hint="cs"/>
          <w:sz w:val="28"/>
          <w:szCs w:val="28"/>
          <w:rtl/>
        </w:rPr>
        <w:t>.</w:t>
      </w:r>
    </w:p>
    <w:p w:rsidR="002652B1" w:rsidRPr="00A0791E" w:rsidRDefault="00B86E97" w:rsidP="002652B1">
      <w:pPr>
        <w:spacing w:line="360" w:lineRule="auto"/>
        <w:jc w:val="both"/>
        <w:rPr>
          <w:rFonts w:cs="David"/>
          <w:b/>
          <w:bCs/>
          <w:sz w:val="28"/>
          <w:szCs w:val="28"/>
          <w:rtl/>
        </w:rPr>
      </w:pPr>
      <w:r>
        <w:rPr>
          <w:rFonts w:cs="David" w:hint="cs"/>
          <w:b/>
          <w:bCs/>
          <w:sz w:val="28"/>
          <w:szCs w:val="28"/>
          <w:rtl/>
        </w:rPr>
        <w:lastRenderedPageBreak/>
        <w:t xml:space="preserve">גם </w:t>
      </w:r>
      <w:r w:rsidR="002652B1" w:rsidRPr="00A0791E">
        <w:rPr>
          <w:rFonts w:cs="David" w:hint="cs"/>
          <w:b/>
          <w:bCs/>
          <w:sz w:val="28"/>
          <w:szCs w:val="28"/>
          <w:rtl/>
        </w:rPr>
        <w:t>בבחינת המתרחש בתחום זה במדינת ישראל עולה כי</w:t>
      </w:r>
      <w:r w:rsidR="002652B1">
        <w:rPr>
          <w:rFonts w:cs="David" w:hint="cs"/>
          <w:b/>
          <w:bCs/>
          <w:sz w:val="28"/>
          <w:szCs w:val="28"/>
          <w:rtl/>
        </w:rPr>
        <w:t xml:space="preserve"> </w:t>
      </w:r>
      <w:r w:rsidR="002652B1" w:rsidRPr="00A0791E">
        <w:rPr>
          <w:rFonts w:cs="David" w:hint="cs"/>
          <w:b/>
          <w:bCs/>
          <w:sz w:val="28"/>
          <w:szCs w:val="28"/>
          <w:rtl/>
        </w:rPr>
        <w:t>יש מקום לדאגה.</w:t>
      </w:r>
    </w:p>
    <w:p w:rsidR="002652B1" w:rsidRDefault="002652B1" w:rsidP="00D075DE">
      <w:pPr>
        <w:spacing w:line="360" w:lineRule="auto"/>
        <w:jc w:val="both"/>
        <w:rPr>
          <w:rFonts w:cs="David"/>
          <w:sz w:val="28"/>
          <w:szCs w:val="28"/>
          <w:rtl/>
        </w:rPr>
      </w:pPr>
      <w:r w:rsidRPr="00880826">
        <w:rPr>
          <w:rFonts w:cs="David" w:hint="cs"/>
          <w:sz w:val="28"/>
          <w:szCs w:val="28"/>
          <w:rtl/>
        </w:rPr>
        <w:t>הרשתות החברתיות הישראליות גדושות בהסתה ארסית לגזענות ואנו חווים העצמה בשיח המסית והאלים</w:t>
      </w:r>
      <w:r>
        <w:rPr>
          <w:rFonts w:cs="David" w:hint="cs"/>
          <w:sz w:val="28"/>
          <w:szCs w:val="28"/>
          <w:rtl/>
        </w:rPr>
        <w:t xml:space="preserve"> כנגד הערבים. </w:t>
      </w:r>
      <w:r w:rsidRPr="00DF4497">
        <w:rPr>
          <w:rFonts w:cs="David" w:hint="cs"/>
          <w:sz w:val="28"/>
          <w:szCs w:val="28"/>
          <w:rtl/>
        </w:rPr>
        <w:t xml:space="preserve">בשנתיים וחצי האחרונות </w:t>
      </w:r>
      <w:r w:rsidR="000227B8">
        <w:rPr>
          <w:rFonts w:cs="David" w:hint="cs"/>
          <w:sz w:val="28"/>
          <w:szCs w:val="28"/>
          <w:rtl/>
        </w:rPr>
        <w:t xml:space="preserve">הפך </w:t>
      </w:r>
      <w:r w:rsidRPr="00DF4497">
        <w:rPr>
          <w:rFonts w:cs="David" w:hint="cs"/>
          <w:sz w:val="28"/>
          <w:szCs w:val="28"/>
          <w:rtl/>
        </w:rPr>
        <w:t>שיח זה לתופעה רחבה בישראל ומהווה פוטנציאל משמעותי, גם אם לא יחיד, להוצאה לפועל של פעילות אלימה מול מושאי ההסתה.</w:t>
      </w:r>
      <w:r w:rsidR="00323AB6">
        <w:rPr>
          <w:rStyle w:val="a5"/>
          <w:rFonts w:cs="David"/>
          <w:sz w:val="28"/>
          <w:szCs w:val="28"/>
          <w:rtl/>
        </w:rPr>
        <w:footnoteReference w:id="9"/>
      </w:r>
      <w:r w:rsidR="00D075DE">
        <w:rPr>
          <w:rFonts w:cs="David" w:hint="cs"/>
          <w:sz w:val="28"/>
          <w:szCs w:val="28"/>
          <w:rtl/>
        </w:rPr>
        <w:t xml:space="preserve"> </w:t>
      </w:r>
      <w:r w:rsidRPr="00A2070A">
        <w:rPr>
          <w:rFonts w:cs="David" w:hint="cs"/>
          <w:sz w:val="28"/>
          <w:szCs w:val="28"/>
          <w:rtl/>
        </w:rPr>
        <w:t>בחינה אמפירית של הנתונים מאשש</w:t>
      </w:r>
      <w:r>
        <w:rPr>
          <w:rFonts w:cs="David" w:hint="cs"/>
          <w:sz w:val="28"/>
          <w:szCs w:val="28"/>
          <w:rtl/>
        </w:rPr>
        <w:t>ת</w:t>
      </w:r>
      <w:r w:rsidRPr="00A2070A">
        <w:rPr>
          <w:rFonts w:cs="David" w:hint="cs"/>
          <w:sz w:val="28"/>
          <w:szCs w:val="28"/>
          <w:rtl/>
        </w:rPr>
        <w:t xml:space="preserve"> </w:t>
      </w:r>
      <w:r>
        <w:rPr>
          <w:rFonts w:cs="David" w:hint="cs"/>
          <w:sz w:val="28"/>
          <w:szCs w:val="28"/>
          <w:rtl/>
        </w:rPr>
        <w:t>את התחושות</w:t>
      </w:r>
      <w:r w:rsidRPr="00A2070A">
        <w:rPr>
          <w:rFonts w:cs="David" w:hint="cs"/>
          <w:sz w:val="28"/>
          <w:szCs w:val="28"/>
          <w:rtl/>
        </w:rPr>
        <w:t xml:space="preserve">. במחקר של חברת </w:t>
      </w:r>
      <w:r w:rsidRPr="00A2070A">
        <w:rPr>
          <w:rStyle w:val="a5"/>
          <w:rFonts w:cs="David"/>
          <w:sz w:val="28"/>
          <w:szCs w:val="28"/>
        </w:rPr>
        <w:footnoteReference w:id="10"/>
      </w:r>
      <w:r w:rsidRPr="00CD227A">
        <w:rPr>
          <w:rFonts w:asciiTheme="majorBidi" w:hAnsiTheme="majorBidi" w:cstheme="majorBidi"/>
          <w:sz w:val="28"/>
          <w:szCs w:val="28"/>
        </w:rPr>
        <w:t>Vigo</w:t>
      </w:r>
      <w:r w:rsidR="005B36CC">
        <w:rPr>
          <w:rFonts w:cs="David" w:hint="cs"/>
          <w:sz w:val="28"/>
          <w:szCs w:val="28"/>
          <w:rtl/>
        </w:rPr>
        <w:t xml:space="preserve"> </w:t>
      </w:r>
      <w:r w:rsidRPr="00D075DE">
        <w:rPr>
          <w:rFonts w:cs="David" w:hint="cs"/>
          <w:sz w:val="28"/>
          <w:szCs w:val="28"/>
          <w:rtl/>
        </w:rPr>
        <w:t>שבוצע בשנת 2016 עולה כי</w:t>
      </w:r>
      <w:r w:rsidRPr="00BB6053">
        <w:rPr>
          <w:rFonts w:cs="David" w:hint="cs"/>
          <w:b/>
          <w:bCs/>
          <w:sz w:val="28"/>
          <w:szCs w:val="28"/>
          <w:rtl/>
        </w:rPr>
        <w:t xml:space="preserve"> 50% מהשיח הפוגעני ומהקריאות לאלימות ב</w:t>
      </w:r>
      <w:r>
        <w:rPr>
          <w:rFonts w:cs="David" w:hint="cs"/>
          <w:b/>
          <w:bCs/>
          <w:sz w:val="28"/>
          <w:szCs w:val="28"/>
          <w:rtl/>
        </w:rPr>
        <w:t>מ</w:t>
      </w:r>
      <w:r w:rsidRPr="00BB6053">
        <w:rPr>
          <w:rFonts w:cs="David" w:hint="cs"/>
          <w:b/>
          <w:bCs/>
          <w:sz w:val="28"/>
          <w:szCs w:val="28"/>
          <w:rtl/>
        </w:rPr>
        <w:t>רשת</w:t>
      </w:r>
      <w:r>
        <w:rPr>
          <w:rFonts w:cs="David" w:hint="cs"/>
          <w:b/>
          <w:bCs/>
          <w:sz w:val="28"/>
          <w:szCs w:val="28"/>
          <w:rtl/>
        </w:rPr>
        <w:t>ת</w:t>
      </w:r>
      <w:r w:rsidRPr="00BB6053">
        <w:rPr>
          <w:rFonts w:cs="David" w:hint="cs"/>
          <w:b/>
          <w:bCs/>
          <w:sz w:val="28"/>
          <w:szCs w:val="28"/>
          <w:rtl/>
        </w:rPr>
        <w:t xml:space="preserve"> </w:t>
      </w:r>
      <w:r>
        <w:rPr>
          <w:rFonts w:cs="David" w:hint="cs"/>
          <w:b/>
          <w:bCs/>
          <w:sz w:val="28"/>
          <w:szCs w:val="28"/>
          <w:rtl/>
        </w:rPr>
        <w:t xml:space="preserve">וברשתות החברתיות הוא נגד המגזר הערבי וכי קיימת מגמת </w:t>
      </w:r>
      <w:r w:rsidRPr="00F90F48">
        <w:rPr>
          <w:rFonts w:cs="David" w:hint="cs"/>
          <w:b/>
          <w:bCs/>
          <w:sz w:val="28"/>
          <w:szCs w:val="28"/>
          <w:rtl/>
        </w:rPr>
        <w:t>עלי</w:t>
      </w:r>
      <w:r w:rsidR="006506F6">
        <w:rPr>
          <w:rFonts w:cs="David" w:hint="cs"/>
          <w:b/>
          <w:bCs/>
          <w:sz w:val="28"/>
          <w:szCs w:val="28"/>
          <w:rtl/>
        </w:rPr>
        <w:t>י</w:t>
      </w:r>
      <w:r w:rsidRPr="00F90F48">
        <w:rPr>
          <w:rFonts w:cs="David" w:hint="cs"/>
          <w:b/>
          <w:bCs/>
          <w:sz w:val="28"/>
          <w:szCs w:val="28"/>
          <w:rtl/>
        </w:rPr>
        <w:t>ה</w:t>
      </w:r>
      <w:r>
        <w:rPr>
          <w:rFonts w:cs="David" w:hint="cs"/>
          <w:b/>
          <w:bCs/>
          <w:sz w:val="28"/>
          <w:szCs w:val="28"/>
          <w:rtl/>
        </w:rPr>
        <w:t xml:space="preserve"> חדה </w:t>
      </w:r>
      <w:r w:rsidRPr="00F90F48">
        <w:rPr>
          <w:rFonts w:cs="David" w:hint="cs"/>
          <w:b/>
          <w:bCs/>
          <w:sz w:val="28"/>
          <w:szCs w:val="28"/>
          <w:rtl/>
        </w:rPr>
        <w:t xml:space="preserve"> </w:t>
      </w:r>
      <w:r>
        <w:rPr>
          <w:rFonts w:cs="David" w:hint="cs"/>
          <w:b/>
          <w:bCs/>
          <w:sz w:val="28"/>
          <w:szCs w:val="28"/>
          <w:rtl/>
        </w:rPr>
        <w:t>משנה לשנה</w:t>
      </w:r>
      <w:r w:rsidRPr="00F90F48">
        <w:rPr>
          <w:rFonts w:cs="David" w:hint="cs"/>
          <w:b/>
          <w:bCs/>
          <w:sz w:val="28"/>
          <w:szCs w:val="28"/>
          <w:rtl/>
        </w:rPr>
        <w:t xml:space="preserve">, בשיח הגזעני ובקריאות </w:t>
      </w:r>
      <w:r>
        <w:rPr>
          <w:rFonts w:cs="David" w:hint="cs"/>
          <w:b/>
          <w:bCs/>
          <w:sz w:val="28"/>
          <w:szCs w:val="28"/>
          <w:rtl/>
        </w:rPr>
        <w:t>המסיתות.</w:t>
      </w:r>
    </w:p>
    <w:p w:rsidR="002652B1" w:rsidRPr="00DA7058" w:rsidRDefault="002652B1" w:rsidP="002652B1">
      <w:pPr>
        <w:rPr>
          <w:rFonts w:cs="David"/>
          <w:sz w:val="28"/>
          <w:szCs w:val="28"/>
        </w:rPr>
      </w:pPr>
      <w:r w:rsidRPr="000B0025">
        <w:rPr>
          <w:rFonts w:cs="David" w:hint="cs"/>
          <w:b/>
          <w:bCs/>
          <w:sz w:val="28"/>
          <w:szCs w:val="28"/>
          <w:rtl/>
        </w:rPr>
        <w:t>גרף מספר 1</w:t>
      </w:r>
      <w:r>
        <w:rPr>
          <w:rFonts w:cs="David" w:hint="cs"/>
          <w:sz w:val="28"/>
          <w:szCs w:val="28"/>
          <w:rtl/>
        </w:rPr>
        <w:t xml:space="preserve"> - </w:t>
      </w:r>
      <w:r w:rsidRPr="00DA7058">
        <w:rPr>
          <w:rFonts w:cs="David" w:hint="cs"/>
          <w:sz w:val="28"/>
          <w:szCs w:val="28"/>
          <w:rtl/>
        </w:rPr>
        <w:t xml:space="preserve">שיח גזעני והסתה לאלימות </w:t>
      </w:r>
      <w:r w:rsidRPr="00DA7058">
        <w:rPr>
          <w:rFonts w:cs="David"/>
          <w:sz w:val="28"/>
          <w:szCs w:val="28"/>
          <w:rtl/>
        </w:rPr>
        <w:t>–</w:t>
      </w:r>
      <w:r w:rsidRPr="00DA7058">
        <w:rPr>
          <w:rFonts w:cs="David" w:hint="cs"/>
          <w:sz w:val="28"/>
          <w:szCs w:val="28"/>
          <w:rtl/>
        </w:rPr>
        <w:t xml:space="preserve"> מגמות שנתיות 2016-2015</w:t>
      </w:r>
    </w:p>
    <w:p w:rsidR="002652B1" w:rsidRPr="00F013B5" w:rsidRDefault="002652B1" w:rsidP="002652B1">
      <w:pPr>
        <w:spacing w:line="360" w:lineRule="auto"/>
        <w:jc w:val="both"/>
        <w:rPr>
          <w:rFonts w:cs="David"/>
          <w:sz w:val="28"/>
          <w:szCs w:val="28"/>
          <w:rtl/>
        </w:rPr>
      </w:pPr>
      <w:r>
        <w:rPr>
          <w:noProof/>
        </w:rPr>
        <w:drawing>
          <wp:inline distT="0" distB="0" distL="0" distR="0" wp14:anchorId="066E64C9" wp14:editId="541D39D3">
            <wp:extent cx="4572000" cy="1390650"/>
            <wp:effectExtent l="0" t="0" r="0" b="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652B1" w:rsidRPr="00DA7058" w:rsidRDefault="002652B1" w:rsidP="002652B1">
      <w:pPr>
        <w:rPr>
          <w:rFonts w:cs="David"/>
          <w:sz w:val="28"/>
          <w:szCs w:val="28"/>
          <w:rtl/>
        </w:rPr>
      </w:pPr>
      <w:r w:rsidRPr="000B0025">
        <w:rPr>
          <w:rFonts w:cs="David" w:hint="cs"/>
          <w:b/>
          <w:bCs/>
          <w:sz w:val="28"/>
          <w:szCs w:val="28"/>
          <w:rtl/>
        </w:rPr>
        <w:t>גרף מספר 2</w:t>
      </w:r>
      <w:r>
        <w:rPr>
          <w:rFonts w:cs="David" w:hint="cs"/>
          <w:sz w:val="28"/>
          <w:szCs w:val="28"/>
          <w:rtl/>
        </w:rPr>
        <w:t xml:space="preserve"> - </w:t>
      </w:r>
      <w:r w:rsidRPr="00DA7058">
        <w:rPr>
          <w:rFonts w:cs="David" w:hint="cs"/>
          <w:sz w:val="28"/>
          <w:szCs w:val="28"/>
          <w:rtl/>
        </w:rPr>
        <w:t xml:space="preserve">שיח גזעני והסתה לאלימות </w:t>
      </w:r>
      <w:r w:rsidRPr="00DA7058">
        <w:rPr>
          <w:rFonts w:cs="David"/>
          <w:sz w:val="28"/>
          <w:szCs w:val="28"/>
          <w:rtl/>
        </w:rPr>
        <w:t>–</w:t>
      </w:r>
      <w:r w:rsidRPr="00DA7058">
        <w:rPr>
          <w:rFonts w:cs="David" w:hint="cs"/>
          <w:sz w:val="28"/>
          <w:szCs w:val="28"/>
          <w:rtl/>
        </w:rPr>
        <w:t xml:space="preserve"> השוואה שנתית 2016-2015</w:t>
      </w:r>
    </w:p>
    <w:p w:rsidR="002652B1" w:rsidRDefault="002652B1" w:rsidP="002652B1">
      <w:pPr>
        <w:spacing w:line="360" w:lineRule="auto"/>
        <w:jc w:val="both"/>
        <w:rPr>
          <w:rFonts w:cs="David"/>
          <w:sz w:val="28"/>
          <w:szCs w:val="28"/>
          <w:rtl/>
        </w:rPr>
      </w:pPr>
      <w:r w:rsidRPr="0093499F">
        <w:rPr>
          <w:noProof/>
          <w:color w:val="FF0000"/>
        </w:rPr>
        <w:drawing>
          <wp:inline distT="0" distB="0" distL="0" distR="0" wp14:anchorId="00404672" wp14:editId="3CDB4161">
            <wp:extent cx="4569460" cy="1409700"/>
            <wp:effectExtent l="0" t="0" r="2540" b="0"/>
            <wp:docPr id="14" name="תרשים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23AB6" w:rsidRDefault="00323AB6" w:rsidP="002652B1">
      <w:pPr>
        <w:rPr>
          <w:rFonts w:cs="David"/>
          <w:b/>
          <w:bCs/>
          <w:sz w:val="28"/>
          <w:szCs w:val="28"/>
          <w:rtl/>
        </w:rPr>
      </w:pPr>
    </w:p>
    <w:p w:rsidR="005B36CC" w:rsidRDefault="005B36CC" w:rsidP="002652B1">
      <w:pPr>
        <w:rPr>
          <w:rFonts w:cs="David"/>
          <w:b/>
          <w:bCs/>
          <w:sz w:val="28"/>
          <w:szCs w:val="28"/>
          <w:rtl/>
        </w:rPr>
      </w:pPr>
    </w:p>
    <w:p w:rsidR="005B36CC" w:rsidRDefault="005B36CC" w:rsidP="002652B1">
      <w:pPr>
        <w:rPr>
          <w:rFonts w:cs="David"/>
          <w:b/>
          <w:bCs/>
          <w:sz w:val="28"/>
          <w:szCs w:val="28"/>
          <w:rtl/>
        </w:rPr>
      </w:pPr>
    </w:p>
    <w:p w:rsidR="005B36CC" w:rsidRDefault="005B36CC" w:rsidP="002652B1">
      <w:pPr>
        <w:rPr>
          <w:rFonts w:cs="David"/>
          <w:b/>
          <w:bCs/>
          <w:sz w:val="28"/>
          <w:szCs w:val="28"/>
          <w:rtl/>
        </w:rPr>
      </w:pPr>
    </w:p>
    <w:p w:rsidR="005B36CC" w:rsidRDefault="005B36CC" w:rsidP="002652B1">
      <w:pPr>
        <w:rPr>
          <w:rFonts w:cs="David"/>
          <w:b/>
          <w:bCs/>
          <w:sz w:val="28"/>
          <w:szCs w:val="28"/>
          <w:rtl/>
        </w:rPr>
      </w:pPr>
    </w:p>
    <w:p w:rsidR="002652B1" w:rsidRPr="00DA7058" w:rsidRDefault="002652B1" w:rsidP="002652B1">
      <w:pPr>
        <w:rPr>
          <w:rFonts w:cs="David"/>
          <w:sz w:val="28"/>
          <w:szCs w:val="28"/>
          <w:rtl/>
        </w:rPr>
      </w:pPr>
      <w:r w:rsidRPr="000B0025">
        <w:rPr>
          <w:rFonts w:cs="David" w:hint="cs"/>
          <w:b/>
          <w:bCs/>
          <w:sz w:val="28"/>
          <w:szCs w:val="28"/>
          <w:rtl/>
        </w:rPr>
        <w:lastRenderedPageBreak/>
        <w:t>גרף מספר 3</w:t>
      </w:r>
      <w:r>
        <w:rPr>
          <w:rFonts w:cs="David" w:hint="cs"/>
          <w:sz w:val="28"/>
          <w:szCs w:val="28"/>
          <w:rtl/>
        </w:rPr>
        <w:t xml:space="preserve"> - ה</w:t>
      </w:r>
      <w:r w:rsidRPr="00DA7058">
        <w:rPr>
          <w:rFonts w:cs="David" w:hint="cs"/>
          <w:sz w:val="28"/>
          <w:szCs w:val="28"/>
          <w:rtl/>
        </w:rPr>
        <w:t>שיח גזעני והסתה לאלימות לפי חודשים 2016-2015</w:t>
      </w:r>
    </w:p>
    <w:p w:rsidR="002652B1" w:rsidRDefault="002652B1" w:rsidP="0067108B">
      <w:pPr>
        <w:spacing w:after="240"/>
        <w:rPr>
          <w:rFonts w:cs="David"/>
          <w:sz w:val="28"/>
          <w:szCs w:val="28"/>
          <w:rtl/>
        </w:rPr>
      </w:pPr>
      <w:r>
        <w:rPr>
          <w:noProof/>
        </w:rPr>
        <w:drawing>
          <wp:inline distT="0" distB="0" distL="0" distR="0" wp14:anchorId="42680865" wp14:editId="2C16F0F8">
            <wp:extent cx="4683760" cy="1943100"/>
            <wp:effectExtent l="0" t="0" r="2540" b="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52B1" w:rsidRPr="00BC732E" w:rsidRDefault="002652B1" w:rsidP="002652B1">
      <w:pPr>
        <w:rPr>
          <w:rFonts w:cs="David"/>
          <w:sz w:val="28"/>
          <w:szCs w:val="28"/>
          <w:rtl/>
        </w:rPr>
      </w:pPr>
      <w:r w:rsidRPr="00BC732E">
        <w:rPr>
          <w:rFonts w:cs="David" w:hint="cs"/>
          <w:rtl/>
        </w:rPr>
        <w:t xml:space="preserve">*העלייה בחודש יוני נובעת ככל הנראה מרצף פיגועי טרור קשים ביניהם הפיגוע במתחם שרונה בו נהרגו 4 ישראלים ופיגוע הדקירה בו נרצחה נערה במיטתה </w:t>
      </w:r>
      <w:r>
        <w:rPr>
          <w:rFonts w:cs="David" w:hint="cs"/>
          <w:rtl/>
        </w:rPr>
        <w:t>ב</w:t>
      </w:r>
      <w:r w:rsidRPr="00BC732E">
        <w:rPr>
          <w:rFonts w:cs="David" w:hint="cs"/>
          <w:rtl/>
        </w:rPr>
        <w:t xml:space="preserve">קריית ארבע. </w:t>
      </w:r>
    </w:p>
    <w:p w:rsidR="002652B1" w:rsidRDefault="002652B1" w:rsidP="002652B1">
      <w:pPr>
        <w:rPr>
          <w:rFonts w:cs="David"/>
          <w:sz w:val="28"/>
          <w:szCs w:val="28"/>
          <w:rtl/>
        </w:rPr>
      </w:pPr>
      <w:r w:rsidRPr="000B0025">
        <w:rPr>
          <w:rFonts w:cs="David" w:hint="cs"/>
          <w:b/>
          <w:bCs/>
          <w:sz w:val="28"/>
          <w:szCs w:val="28"/>
          <w:rtl/>
        </w:rPr>
        <w:t>גרף מספר 4</w:t>
      </w:r>
      <w:r>
        <w:rPr>
          <w:rFonts w:cs="David" w:hint="cs"/>
          <w:sz w:val="28"/>
          <w:szCs w:val="28"/>
          <w:rtl/>
        </w:rPr>
        <w:t xml:space="preserve"> - </w:t>
      </w:r>
      <w:r w:rsidRPr="00DA7058">
        <w:rPr>
          <w:rFonts w:cs="David" w:hint="cs"/>
          <w:sz w:val="28"/>
          <w:szCs w:val="28"/>
          <w:rtl/>
        </w:rPr>
        <w:t>שיח גזעני לפי חודשים 2016-2015</w:t>
      </w:r>
      <w:r>
        <w:rPr>
          <w:noProof/>
        </w:rPr>
        <w:drawing>
          <wp:inline distT="0" distB="0" distL="0" distR="0" wp14:anchorId="0727319D" wp14:editId="05A70D82">
            <wp:extent cx="4569460" cy="1943100"/>
            <wp:effectExtent l="0" t="0" r="2540" b="0"/>
            <wp:docPr id="15"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52B1" w:rsidRPr="00DA7058" w:rsidRDefault="002652B1" w:rsidP="002652B1">
      <w:pPr>
        <w:rPr>
          <w:rFonts w:cs="David"/>
          <w:sz w:val="28"/>
          <w:szCs w:val="28"/>
          <w:rtl/>
        </w:rPr>
      </w:pPr>
      <w:r w:rsidRPr="000B0025">
        <w:rPr>
          <w:rFonts w:cs="David" w:hint="cs"/>
          <w:b/>
          <w:bCs/>
          <w:sz w:val="28"/>
          <w:szCs w:val="28"/>
          <w:rtl/>
        </w:rPr>
        <w:t>גרף מספר 5</w:t>
      </w:r>
      <w:r>
        <w:rPr>
          <w:rFonts w:cs="David" w:hint="cs"/>
          <w:sz w:val="28"/>
          <w:szCs w:val="28"/>
          <w:rtl/>
        </w:rPr>
        <w:t xml:space="preserve"> - </w:t>
      </w:r>
      <w:r w:rsidRPr="00DA7058">
        <w:rPr>
          <w:rFonts w:cs="David" w:hint="cs"/>
          <w:sz w:val="28"/>
          <w:szCs w:val="28"/>
          <w:rtl/>
        </w:rPr>
        <w:t>הסתה לאלימות לפי חודשים 2016-2015</w:t>
      </w:r>
    </w:p>
    <w:p w:rsidR="002652B1" w:rsidRDefault="002652B1" w:rsidP="002652B1">
      <w:pPr>
        <w:spacing w:line="360" w:lineRule="auto"/>
        <w:jc w:val="both"/>
        <w:rPr>
          <w:rFonts w:cs="David"/>
          <w:sz w:val="28"/>
          <w:szCs w:val="28"/>
          <w:rtl/>
        </w:rPr>
      </w:pPr>
      <w:r>
        <w:rPr>
          <w:noProof/>
        </w:rPr>
        <w:drawing>
          <wp:inline distT="0" distB="0" distL="0" distR="0" wp14:anchorId="74BDF3EA" wp14:editId="364340FC">
            <wp:extent cx="4572000" cy="1924050"/>
            <wp:effectExtent l="0" t="0" r="0" b="0"/>
            <wp:docPr id="1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652B1" w:rsidRDefault="00D44BB7" w:rsidP="00C93B3F">
      <w:pPr>
        <w:spacing w:line="360" w:lineRule="auto"/>
        <w:jc w:val="both"/>
        <w:rPr>
          <w:rFonts w:cs="David"/>
          <w:sz w:val="28"/>
          <w:szCs w:val="28"/>
          <w:rtl/>
        </w:rPr>
      </w:pPr>
      <w:r>
        <w:rPr>
          <w:rFonts w:cs="David" w:hint="cs"/>
          <w:sz w:val="28"/>
          <w:szCs w:val="28"/>
          <w:rtl/>
        </w:rPr>
        <w:t>בנוסף על ה</w:t>
      </w:r>
      <w:r w:rsidR="002652B1">
        <w:rPr>
          <w:rFonts w:cs="David" w:hint="cs"/>
          <w:sz w:val="28"/>
          <w:szCs w:val="28"/>
          <w:rtl/>
        </w:rPr>
        <w:t xml:space="preserve">עלייה בשיח הגזעני והמסית בין השנים 2016-2015, ניתן ללמוד מהפילוח החודשי כי השיח הינו תנודתי ומושפע ברובו מאירועים ביטחוניים או פוליטיים. כך, למשל, ברבעון הראשון של שנת 2015 הושפע השיח בעיקר מהבחירות לכנסת וברבעון האחרון של אותה השנה </w:t>
      </w:r>
      <w:r>
        <w:rPr>
          <w:rFonts w:cs="David" w:hint="cs"/>
          <w:sz w:val="28"/>
          <w:szCs w:val="28"/>
          <w:rtl/>
        </w:rPr>
        <w:t xml:space="preserve">חלה עלייה כתוצאה </w:t>
      </w:r>
      <w:r w:rsidR="002652B1">
        <w:rPr>
          <w:rFonts w:cs="David" w:hint="cs"/>
          <w:sz w:val="28"/>
          <w:szCs w:val="28"/>
          <w:rtl/>
        </w:rPr>
        <w:t xml:space="preserve">מגל הטרור שפקד את המדינה. בשנת 2016 היו אלו בעיקר פרשת החייל אלאור אזריה, גל השריפות ברחבי המדינה </w:t>
      </w:r>
      <w:r w:rsidR="002652B1">
        <w:rPr>
          <w:rFonts w:cs="David" w:hint="cs"/>
          <w:sz w:val="28"/>
          <w:szCs w:val="28"/>
          <w:rtl/>
        </w:rPr>
        <w:lastRenderedPageBreak/>
        <w:t>ו</w:t>
      </w:r>
      <w:r w:rsidR="0014770C">
        <w:rPr>
          <w:rFonts w:cs="David" w:hint="cs"/>
          <w:sz w:val="28"/>
          <w:szCs w:val="28"/>
          <w:rtl/>
        </w:rPr>
        <w:t>יציאתה של השרה מירי רגב מט</w:t>
      </w:r>
      <w:r w:rsidR="00C93B3F">
        <w:rPr>
          <w:rFonts w:cs="David" w:hint="cs"/>
          <w:sz w:val="28"/>
          <w:szCs w:val="28"/>
          <w:rtl/>
        </w:rPr>
        <w:t>ק</w:t>
      </w:r>
      <w:r w:rsidR="0014770C">
        <w:rPr>
          <w:rFonts w:cs="David" w:hint="cs"/>
          <w:sz w:val="28"/>
          <w:szCs w:val="28"/>
          <w:rtl/>
        </w:rPr>
        <w:t xml:space="preserve">ס פרסי </w:t>
      </w:r>
      <w:r w:rsidR="002652B1">
        <w:rPr>
          <w:rFonts w:cs="David" w:hint="cs"/>
          <w:sz w:val="28"/>
          <w:szCs w:val="28"/>
          <w:rtl/>
        </w:rPr>
        <w:t xml:space="preserve">אופיר </w:t>
      </w:r>
      <w:r w:rsidR="0014770C">
        <w:rPr>
          <w:rFonts w:cs="David" w:hint="cs"/>
          <w:sz w:val="28"/>
          <w:szCs w:val="28"/>
          <w:rtl/>
        </w:rPr>
        <w:t xml:space="preserve">בשל השמעת שיריו של </w:t>
      </w:r>
      <w:r w:rsidR="002652B1">
        <w:rPr>
          <w:rFonts w:cs="David" w:hint="cs"/>
          <w:sz w:val="28"/>
          <w:szCs w:val="28"/>
          <w:rtl/>
        </w:rPr>
        <w:t>דרוויש</w:t>
      </w:r>
      <w:r w:rsidR="00C93B3F">
        <w:rPr>
          <w:rFonts w:cs="David" w:hint="cs"/>
          <w:sz w:val="28"/>
          <w:szCs w:val="28"/>
          <w:rtl/>
        </w:rPr>
        <w:t xml:space="preserve"> במהלך הטקס</w:t>
      </w:r>
      <w:r w:rsidR="002652B1">
        <w:rPr>
          <w:rFonts w:cs="David" w:hint="cs"/>
          <w:sz w:val="28"/>
          <w:szCs w:val="28"/>
          <w:rtl/>
        </w:rPr>
        <w:t>.</w:t>
      </w:r>
      <w:r w:rsidR="002652B1">
        <w:rPr>
          <w:rStyle w:val="a5"/>
          <w:rFonts w:cs="David"/>
          <w:sz w:val="28"/>
          <w:szCs w:val="28"/>
          <w:rtl/>
        </w:rPr>
        <w:footnoteReference w:id="11"/>
      </w:r>
    </w:p>
    <w:p w:rsidR="002652B1" w:rsidRDefault="002652B1" w:rsidP="008A6B5D">
      <w:pPr>
        <w:spacing w:line="360" w:lineRule="auto"/>
        <w:jc w:val="both"/>
        <w:rPr>
          <w:rFonts w:cs="David"/>
          <w:sz w:val="28"/>
          <w:szCs w:val="28"/>
          <w:rtl/>
        </w:rPr>
      </w:pPr>
      <w:r w:rsidRPr="00D44BB7">
        <w:rPr>
          <w:rFonts w:cs="David" w:hint="cs"/>
          <w:b/>
          <w:bCs/>
          <w:sz w:val="28"/>
          <w:szCs w:val="28"/>
          <w:rtl/>
        </w:rPr>
        <w:t>טענת העבודה</w:t>
      </w:r>
      <w:r w:rsidRPr="00482909">
        <w:rPr>
          <w:rFonts w:cs="David" w:hint="cs"/>
          <w:sz w:val="28"/>
          <w:szCs w:val="28"/>
          <w:rtl/>
        </w:rPr>
        <w:t xml:space="preserve"> היא שמאפייני המרשתת והתפתחותן של הרשתות החברתיות מאפשרים שיח גזעני ומסית לאלימות, פרוץ, בוטה וחסר גבולות </w:t>
      </w:r>
      <w:r w:rsidR="008A6B5D">
        <w:rPr>
          <w:rFonts w:cs="David" w:hint="cs"/>
          <w:sz w:val="28"/>
          <w:szCs w:val="28"/>
          <w:rtl/>
        </w:rPr>
        <w:t xml:space="preserve">של </w:t>
      </w:r>
      <w:r w:rsidRPr="00482909">
        <w:rPr>
          <w:rFonts w:cs="David" w:hint="cs"/>
          <w:sz w:val="28"/>
          <w:szCs w:val="28"/>
          <w:rtl/>
        </w:rPr>
        <w:t>יהודים בישראל כנגד המיעוט הערבי. בשל פער רלוונטיות ('היסט') בעיצוב תפיסת המדיניות המשפטית, האכיפה והריסון אל מול המציאות המשתנה, מועצמ</w:t>
      </w:r>
      <w:r w:rsidR="008A6B5D">
        <w:rPr>
          <w:rFonts w:cs="David" w:hint="cs"/>
          <w:sz w:val="28"/>
          <w:szCs w:val="28"/>
          <w:rtl/>
        </w:rPr>
        <w:t>ים</w:t>
      </w:r>
      <w:r w:rsidRPr="00482909">
        <w:rPr>
          <w:rFonts w:cs="David" w:hint="cs"/>
          <w:sz w:val="28"/>
          <w:szCs w:val="28"/>
          <w:rtl/>
        </w:rPr>
        <w:t xml:space="preserve"> התופעה והיקפיה  באופן משמעותי. התפשטות שיח זה מהווה סכנה מהותית, שפוגעת ותמשיך לפגוע ביסוד הדמוקרטיה, בערכיה ובשתי החברות: היהודית והערבית בישראל.</w:t>
      </w:r>
    </w:p>
    <w:p w:rsidR="002652B1" w:rsidRDefault="009C142E" w:rsidP="00C93B3F">
      <w:pPr>
        <w:spacing w:line="360" w:lineRule="auto"/>
        <w:jc w:val="both"/>
        <w:rPr>
          <w:rFonts w:cs="David"/>
          <w:sz w:val="28"/>
          <w:szCs w:val="28"/>
          <w:rtl/>
        </w:rPr>
      </w:pPr>
      <w:r>
        <w:rPr>
          <w:rFonts w:cs="David" w:hint="cs"/>
          <w:sz w:val="28"/>
          <w:szCs w:val="28"/>
          <w:rtl/>
        </w:rPr>
        <w:t xml:space="preserve">העבודה </w:t>
      </w:r>
      <w:r w:rsidR="00C93B3F">
        <w:rPr>
          <w:rFonts w:cs="David" w:hint="cs"/>
          <w:sz w:val="28"/>
          <w:szCs w:val="28"/>
          <w:rtl/>
        </w:rPr>
        <w:t xml:space="preserve">תבחן את טענת המחקר באמצעות עיסוק </w:t>
      </w:r>
      <w:r>
        <w:rPr>
          <w:rFonts w:cs="David" w:hint="cs"/>
          <w:sz w:val="28"/>
          <w:szCs w:val="28"/>
          <w:rtl/>
        </w:rPr>
        <w:t>במספר תחומים</w:t>
      </w:r>
      <w:r w:rsidR="00C93B3F">
        <w:rPr>
          <w:rFonts w:cs="David" w:hint="cs"/>
          <w:sz w:val="28"/>
          <w:szCs w:val="28"/>
          <w:rtl/>
        </w:rPr>
        <w:t>:</w:t>
      </w:r>
      <w:r>
        <w:rPr>
          <w:rFonts w:cs="David" w:hint="cs"/>
          <w:sz w:val="28"/>
          <w:szCs w:val="28"/>
          <w:rtl/>
        </w:rPr>
        <w:t xml:space="preserve"> התחום הטכנולוגי ומאפייני המרשתת והרשתות החברתיות</w:t>
      </w:r>
      <w:r w:rsidR="00C93B3F">
        <w:rPr>
          <w:rFonts w:cs="David" w:hint="cs"/>
          <w:sz w:val="28"/>
          <w:szCs w:val="28"/>
          <w:rtl/>
        </w:rPr>
        <w:t>,</w:t>
      </w:r>
      <w:r>
        <w:rPr>
          <w:rFonts w:cs="David" w:hint="cs"/>
          <w:sz w:val="28"/>
          <w:szCs w:val="28"/>
          <w:rtl/>
        </w:rPr>
        <w:t xml:space="preserve"> התחום התוך-משפטי הנוגע לחופש הביטוי, לאינטרסים ולערכים נוספים ובעיקר בניתו</w:t>
      </w:r>
      <w:r w:rsidR="00C93B3F">
        <w:rPr>
          <w:rFonts w:cs="David" w:hint="cs"/>
          <w:sz w:val="28"/>
          <w:szCs w:val="28"/>
          <w:rtl/>
        </w:rPr>
        <w:t>ח עבירות ההסתה לגזענות ולאלימות,</w:t>
      </w:r>
      <w:r>
        <w:rPr>
          <w:rFonts w:cs="David" w:hint="cs"/>
          <w:sz w:val="28"/>
          <w:szCs w:val="28"/>
          <w:rtl/>
        </w:rPr>
        <w:t xml:space="preserve"> בעיצוב המדיניות המשפטית במרשתת וב</w:t>
      </w:r>
      <w:r w:rsidR="000B5FC4">
        <w:rPr>
          <w:rFonts w:cs="David" w:hint="cs"/>
          <w:sz w:val="28"/>
          <w:szCs w:val="28"/>
          <w:rtl/>
        </w:rPr>
        <w:t>ע</w:t>
      </w:r>
      <w:r>
        <w:rPr>
          <w:rFonts w:cs="David" w:hint="cs"/>
          <w:sz w:val="28"/>
          <w:szCs w:val="28"/>
          <w:rtl/>
        </w:rPr>
        <w:t>יצוב מדיניות האכיפה מול עבירות ביטוי והסתה באופן כללי ובמרשתת בפרט.</w:t>
      </w:r>
      <w:r w:rsidR="00C93B3F">
        <w:rPr>
          <w:rFonts w:cs="David" w:hint="cs"/>
          <w:sz w:val="28"/>
          <w:szCs w:val="28"/>
          <w:rtl/>
        </w:rPr>
        <w:t xml:space="preserve"> כמו כן, בוחנת העבודה את </w:t>
      </w:r>
      <w:r w:rsidR="002652B1">
        <w:rPr>
          <w:rFonts w:cs="David" w:hint="cs"/>
          <w:sz w:val="28"/>
          <w:szCs w:val="28"/>
          <w:rtl/>
        </w:rPr>
        <w:t>הגורמים שהשפיעו על המציאות הקיימת ברשת בהיבטי השיח הגזעני והמסית, כפי שמשתקפת מהנתונים לעיל</w:t>
      </w:r>
      <w:r w:rsidR="00BA4B8A">
        <w:rPr>
          <w:rFonts w:cs="David" w:hint="cs"/>
          <w:sz w:val="28"/>
          <w:szCs w:val="28"/>
          <w:rtl/>
        </w:rPr>
        <w:t>?</w:t>
      </w:r>
      <w:r w:rsidR="002652B1">
        <w:rPr>
          <w:rFonts w:cs="David" w:hint="cs"/>
          <w:sz w:val="28"/>
          <w:szCs w:val="28"/>
          <w:rtl/>
        </w:rPr>
        <w:t xml:space="preserve"> מהי מידת השפעתם על מציאות זו</w:t>
      </w:r>
      <w:r w:rsidR="00BA4B8A">
        <w:rPr>
          <w:rFonts w:cs="David" w:hint="cs"/>
          <w:sz w:val="28"/>
          <w:szCs w:val="28"/>
          <w:rtl/>
        </w:rPr>
        <w:t>,</w:t>
      </w:r>
      <w:r w:rsidR="002652B1">
        <w:rPr>
          <w:rFonts w:cs="David" w:hint="cs"/>
          <w:sz w:val="28"/>
          <w:szCs w:val="28"/>
          <w:rtl/>
        </w:rPr>
        <w:t xml:space="preserve"> וכיצד גורמים אלו באים לידי ביטוי בעיצוב מדיניות האכיפה ומימושה אל מול השיח הגזעני והמסית, של יהודים כלפי ערבים,</w:t>
      </w:r>
      <w:r w:rsidR="00BA4B8A">
        <w:rPr>
          <w:rFonts w:cs="David" w:hint="cs"/>
          <w:sz w:val="28"/>
          <w:szCs w:val="28"/>
          <w:rtl/>
        </w:rPr>
        <w:t xml:space="preserve"> במרשתת וברשתות החברתיות בישראל?</w:t>
      </w:r>
      <w:r w:rsidR="00C93B3F">
        <w:rPr>
          <w:rFonts w:cs="David" w:hint="cs"/>
          <w:sz w:val="28"/>
          <w:szCs w:val="28"/>
          <w:rtl/>
        </w:rPr>
        <w:t xml:space="preserve"> </w:t>
      </w:r>
      <w:r w:rsidR="002652B1">
        <w:rPr>
          <w:rFonts w:cs="David" w:hint="cs"/>
          <w:sz w:val="28"/>
          <w:szCs w:val="28"/>
          <w:rtl/>
        </w:rPr>
        <w:t>בכל</w:t>
      </w:r>
      <w:r w:rsidR="00F61E9A">
        <w:rPr>
          <w:rFonts w:cs="David" w:hint="cs"/>
          <w:sz w:val="28"/>
          <w:szCs w:val="28"/>
          <w:rtl/>
        </w:rPr>
        <w:t>ל</w:t>
      </w:r>
      <w:r w:rsidR="002652B1">
        <w:rPr>
          <w:rFonts w:cs="David" w:hint="cs"/>
          <w:sz w:val="28"/>
          <w:szCs w:val="28"/>
          <w:rtl/>
        </w:rPr>
        <w:t xml:space="preserve"> ה</w:t>
      </w:r>
      <w:r w:rsidR="00F61E9A">
        <w:rPr>
          <w:rFonts w:cs="David" w:hint="cs"/>
          <w:sz w:val="28"/>
          <w:szCs w:val="28"/>
          <w:rtl/>
        </w:rPr>
        <w:t>תחומי</w:t>
      </w:r>
      <w:r w:rsidR="002652B1">
        <w:rPr>
          <w:rFonts w:cs="David" w:hint="cs"/>
          <w:sz w:val="28"/>
          <w:szCs w:val="28"/>
          <w:rtl/>
        </w:rPr>
        <w:t xml:space="preserve">ם </w:t>
      </w:r>
      <w:r w:rsidR="00F61E9A">
        <w:rPr>
          <w:rFonts w:cs="David" w:hint="cs"/>
          <w:sz w:val="28"/>
          <w:szCs w:val="28"/>
          <w:rtl/>
        </w:rPr>
        <w:t>שידונו כאן מת</w:t>
      </w:r>
      <w:r w:rsidR="002652B1">
        <w:rPr>
          <w:rFonts w:cs="David" w:hint="cs"/>
          <w:sz w:val="28"/>
          <w:szCs w:val="28"/>
          <w:rtl/>
        </w:rPr>
        <w:t xml:space="preserve">קיימים מתחים, התנגשויות ומגוון שיקולים שבאים לידי ביטוי בעיצוב המציאות המתהווה בנושא השיח הגזעני והמסית במרשתת וברשתות החברתיות בישראל. </w:t>
      </w:r>
    </w:p>
    <w:p w:rsidR="002652B1" w:rsidRDefault="00C2546A" w:rsidP="00C2546A">
      <w:pPr>
        <w:spacing w:line="360" w:lineRule="auto"/>
        <w:jc w:val="both"/>
        <w:rPr>
          <w:rFonts w:cs="David"/>
          <w:sz w:val="28"/>
          <w:szCs w:val="28"/>
          <w:rtl/>
        </w:rPr>
      </w:pPr>
      <w:r>
        <w:rPr>
          <w:rFonts w:cs="David" w:hint="cs"/>
          <w:sz w:val="28"/>
          <w:szCs w:val="28"/>
          <w:rtl/>
        </w:rPr>
        <w:t xml:space="preserve">לעבודה </w:t>
      </w:r>
      <w:r w:rsidR="00242CD4" w:rsidRPr="006506F6">
        <w:rPr>
          <w:rFonts w:cs="David" w:hint="cs"/>
          <w:sz w:val="28"/>
          <w:szCs w:val="28"/>
          <w:rtl/>
        </w:rPr>
        <w:t xml:space="preserve">חמישה פרקים: </w:t>
      </w:r>
      <w:r w:rsidR="002652B1" w:rsidRPr="006506F6">
        <w:rPr>
          <w:rFonts w:cs="David" w:hint="cs"/>
          <w:sz w:val="28"/>
          <w:szCs w:val="28"/>
          <w:rtl/>
        </w:rPr>
        <w:t>הפרק הראשון יוקדש לסקירת התפתחות</w:t>
      </w:r>
      <w:r w:rsidR="00242CD4" w:rsidRPr="006506F6">
        <w:rPr>
          <w:rFonts w:cs="David" w:hint="cs"/>
          <w:sz w:val="28"/>
          <w:szCs w:val="28"/>
          <w:rtl/>
        </w:rPr>
        <w:t>ן</w:t>
      </w:r>
      <w:r w:rsidR="002652B1" w:rsidRPr="006506F6">
        <w:rPr>
          <w:rFonts w:cs="David" w:hint="cs"/>
          <w:sz w:val="28"/>
          <w:szCs w:val="28"/>
          <w:rtl/>
        </w:rPr>
        <w:t xml:space="preserve"> של </w:t>
      </w:r>
      <w:r w:rsidR="00242CD4" w:rsidRPr="006506F6">
        <w:rPr>
          <w:rFonts w:cs="David" w:hint="cs"/>
          <w:sz w:val="28"/>
          <w:szCs w:val="28"/>
          <w:rtl/>
        </w:rPr>
        <w:t>המרשתת ו</w:t>
      </w:r>
      <w:r w:rsidR="002652B1" w:rsidRPr="006506F6">
        <w:rPr>
          <w:rFonts w:cs="David" w:hint="cs"/>
          <w:sz w:val="28"/>
          <w:szCs w:val="28"/>
          <w:rtl/>
        </w:rPr>
        <w:t>הרשתות החברתיות לאורך השנים ומאפייניה</w:t>
      </w:r>
      <w:r w:rsidR="00242CD4" w:rsidRPr="006506F6">
        <w:rPr>
          <w:rFonts w:cs="David" w:hint="cs"/>
          <w:sz w:val="28"/>
          <w:szCs w:val="28"/>
          <w:rtl/>
        </w:rPr>
        <w:t>ן</w:t>
      </w:r>
      <w:r w:rsidR="002652B1" w:rsidRPr="006506F6">
        <w:rPr>
          <w:rFonts w:cs="David" w:hint="cs"/>
          <w:sz w:val="28"/>
          <w:szCs w:val="28"/>
          <w:rtl/>
        </w:rPr>
        <w:t xml:space="preserve"> הייחודיים</w:t>
      </w:r>
      <w:r w:rsidR="00100D57" w:rsidRPr="006506F6">
        <w:rPr>
          <w:rFonts w:cs="David" w:hint="cs"/>
          <w:sz w:val="28"/>
          <w:szCs w:val="28"/>
          <w:rtl/>
        </w:rPr>
        <w:t>, כגור</w:t>
      </w:r>
      <w:r w:rsidR="00197525" w:rsidRPr="006506F6">
        <w:rPr>
          <w:rFonts w:cs="David" w:hint="cs"/>
          <w:sz w:val="28"/>
          <w:szCs w:val="28"/>
          <w:rtl/>
        </w:rPr>
        <w:t>מי</w:t>
      </w:r>
      <w:r w:rsidR="00100D57" w:rsidRPr="006506F6">
        <w:rPr>
          <w:rFonts w:cs="David" w:hint="cs"/>
          <w:sz w:val="28"/>
          <w:szCs w:val="28"/>
          <w:rtl/>
        </w:rPr>
        <w:t xml:space="preserve">ם </w:t>
      </w:r>
      <w:r w:rsidR="00197525" w:rsidRPr="006506F6">
        <w:rPr>
          <w:rFonts w:cs="David" w:hint="cs"/>
          <w:sz w:val="28"/>
          <w:szCs w:val="28"/>
          <w:rtl/>
        </w:rPr>
        <w:t>ה</w:t>
      </w:r>
      <w:r w:rsidR="00100D57" w:rsidRPr="006506F6">
        <w:rPr>
          <w:rFonts w:cs="David" w:hint="cs"/>
          <w:sz w:val="28"/>
          <w:szCs w:val="28"/>
          <w:rtl/>
        </w:rPr>
        <w:t>משפיע</w:t>
      </w:r>
      <w:r w:rsidR="00197525" w:rsidRPr="006506F6">
        <w:rPr>
          <w:rFonts w:cs="David" w:hint="cs"/>
          <w:sz w:val="28"/>
          <w:szCs w:val="28"/>
          <w:rtl/>
        </w:rPr>
        <w:t>ים</w:t>
      </w:r>
      <w:r w:rsidR="00100D57" w:rsidRPr="006506F6">
        <w:rPr>
          <w:rFonts w:cs="David" w:hint="cs"/>
          <w:sz w:val="28"/>
          <w:szCs w:val="28"/>
          <w:rtl/>
        </w:rPr>
        <w:t xml:space="preserve"> על היווצרות</w:t>
      </w:r>
      <w:r w:rsidR="007B0D52" w:rsidRPr="006506F6">
        <w:rPr>
          <w:rFonts w:cs="David" w:hint="cs"/>
          <w:sz w:val="28"/>
          <w:szCs w:val="28"/>
          <w:rtl/>
        </w:rPr>
        <w:t>ו</w:t>
      </w:r>
      <w:r w:rsidR="00100D57" w:rsidRPr="006506F6">
        <w:rPr>
          <w:rFonts w:cs="David" w:hint="cs"/>
          <w:sz w:val="28"/>
          <w:szCs w:val="28"/>
          <w:rtl/>
        </w:rPr>
        <w:t xml:space="preserve"> </w:t>
      </w:r>
      <w:r w:rsidR="007B0D52" w:rsidRPr="006506F6">
        <w:rPr>
          <w:rFonts w:cs="David" w:hint="cs"/>
          <w:sz w:val="28"/>
          <w:szCs w:val="28"/>
          <w:rtl/>
        </w:rPr>
        <w:t xml:space="preserve">של </w:t>
      </w:r>
      <w:r w:rsidR="00197525" w:rsidRPr="006506F6">
        <w:rPr>
          <w:rFonts w:cs="David" w:hint="cs"/>
          <w:sz w:val="28"/>
          <w:szCs w:val="28"/>
          <w:rtl/>
        </w:rPr>
        <w:t>ה</w:t>
      </w:r>
      <w:r w:rsidR="00100D57" w:rsidRPr="006506F6">
        <w:rPr>
          <w:rFonts w:cs="David" w:hint="cs"/>
          <w:sz w:val="28"/>
          <w:szCs w:val="28"/>
          <w:rtl/>
        </w:rPr>
        <w:t xml:space="preserve">מצע </w:t>
      </w:r>
      <w:r w:rsidR="00197525" w:rsidRPr="006506F6">
        <w:rPr>
          <w:rFonts w:cs="David" w:hint="cs"/>
          <w:sz w:val="28"/>
          <w:szCs w:val="28"/>
          <w:rtl/>
        </w:rPr>
        <w:t>שעל בסיסו מופצים עמדות ודעות, כולל כאלו קיצוניות וגזעניות</w:t>
      </w:r>
      <w:r w:rsidR="00242CD4" w:rsidRPr="006506F6">
        <w:rPr>
          <w:rFonts w:cs="David" w:hint="cs"/>
          <w:sz w:val="28"/>
          <w:szCs w:val="28"/>
          <w:rtl/>
        </w:rPr>
        <w:t xml:space="preserve">. קשה לעמוד על </w:t>
      </w:r>
      <w:r w:rsidR="002652B1" w:rsidRPr="006506F6">
        <w:rPr>
          <w:rFonts w:cs="David" w:hint="cs"/>
          <w:sz w:val="28"/>
          <w:szCs w:val="28"/>
          <w:rtl/>
        </w:rPr>
        <w:t>תופעת הגזענות וההסתה ברשת, בלא היכרות עם הסביבה שב</w:t>
      </w:r>
      <w:r w:rsidR="00242CD4" w:rsidRPr="006506F6">
        <w:rPr>
          <w:rFonts w:cs="David" w:hint="cs"/>
          <w:sz w:val="28"/>
          <w:szCs w:val="28"/>
          <w:rtl/>
        </w:rPr>
        <w:t>קרבה</w:t>
      </w:r>
      <w:r w:rsidR="002652B1" w:rsidRPr="006506F6">
        <w:rPr>
          <w:rFonts w:cs="David" w:hint="cs"/>
          <w:sz w:val="28"/>
          <w:szCs w:val="28"/>
          <w:rtl/>
        </w:rPr>
        <w:t xml:space="preserve"> היא מתקיימת ועם </w:t>
      </w:r>
      <w:r w:rsidR="00242CD4" w:rsidRPr="006506F6">
        <w:rPr>
          <w:rFonts w:cs="David" w:hint="cs"/>
          <w:sz w:val="28"/>
          <w:szCs w:val="28"/>
          <w:rtl/>
        </w:rPr>
        <w:t xml:space="preserve">הקרקע שמצמיחה אותה </w:t>
      </w:r>
      <w:r w:rsidR="002652B1" w:rsidRPr="006506F6">
        <w:rPr>
          <w:rFonts w:cs="David" w:hint="cs"/>
          <w:sz w:val="28"/>
          <w:szCs w:val="28"/>
          <w:rtl/>
        </w:rPr>
        <w:t>משנה לשנה.</w:t>
      </w:r>
    </w:p>
    <w:p w:rsidR="002652B1" w:rsidRDefault="002652B1" w:rsidP="00D7522D">
      <w:pPr>
        <w:spacing w:line="360" w:lineRule="auto"/>
        <w:jc w:val="both"/>
        <w:rPr>
          <w:rFonts w:cs="David"/>
          <w:sz w:val="28"/>
          <w:szCs w:val="28"/>
          <w:rtl/>
        </w:rPr>
      </w:pPr>
      <w:r>
        <w:rPr>
          <w:rFonts w:cs="David" w:hint="cs"/>
          <w:sz w:val="28"/>
          <w:szCs w:val="28"/>
          <w:rtl/>
        </w:rPr>
        <w:t xml:space="preserve">בפרק השני תסקור העבודה </w:t>
      </w:r>
      <w:r w:rsidR="00210B33" w:rsidRPr="006506F6">
        <w:rPr>
          <w:rFonts w:cs="David" w:hint="cs"/>
          <w:sz w:val="28"/>
          <w:szCs w:val="28"/>
          <w:rtl/>
        </w:rPr>
        <w:t>גורם משפיע נוסף</w:t>
      </w:r>
      <w:r w:rsidR="006506F6">
        <w:rPr>
          <w:rFonts w:cs="David" w:hint="cs"/>
          <w:sz w:val="28"/>
          <w:szCs w:val="28"/>
          <w:rtl/>
        </w:rPr>
        <w:t>:</w:t>
      </w:r>
      <w:r>
        <w:rPr>
          <w:rFonts w:cs="David" w:hint="cs"/>
          <w:sz w:val="28"/>
          <w:szCs w:val="28"/>
          <w:rtl/>
        </w:rPr>
        <w:t xml:space="preserve"> </w:t>
      </w:r>
      <w:r w:rsidR="001E74D5">
        <w:rPr>
          <w:rFonts w:cs="David" w:hint="cs"/>
          <w:sz w:val="28"/>
          <w:szCs w:val="28"/>
          <w:rtl/>
        </w:rPr>
        <w:t>ה</w:t>
      </w:r>
      <w:r>
        <w:rPr>
          <w:rFonts w:cs="David" w:hint="cs"/>
          <w:sz w:val="28"/>
          <w:szCs w:val="28"/>
          <w:rtl/>
        </w:rPr>
        <w:t>התפתחות ההיסטורית של מעמד חופש הביטוי ב</w:t>
      </w:r>
      <w:r w:rsidR="0074269E">
        <w:rPr>
          <w:rFonts w:cs="David" w:hint="cs"/>
          <w:sz w:val="28"/>
          <w:szCs w:val="28"/>
          <w:rtl/>
        </w:rPr>
        <w:t xml:space="preserve">מדינת </w:t>
      </w:r>
      <w:r>
        <w:rPr>
          <w:rFonts w:cs="David" w:hint="cs"/>
          <w:sz w:val="28"/>
          <w:szCs w:val="28"/>
          <w:rtl/>
        </w:rPr>
        <w:t>ישראל לאורך שנות קיומה</w:t>
      </w:r>
      <w:r w:rsidR="001E74D5">
        <w:rPr>
          <w:rFonts w:cs="David" w:hint="cs"/>
          <w:sz w:val="28"/>
          <w:szCs w:val="28"/>
          <w:rtl/>
        </w:rPr>
        <w:t>. זאת</w:t>
      </w:r>
      <w:r w:rsidR="002C4E24">
        <w:rPr>
          <w:rFonts w:cs="David" w:hint="cs"/>
          <w:sz w:val="28"/>
          <w:szCs w:val="28"/>
          <w:rtl/>
        </w:rPr>
        <w:t>,</w:t>
      </w:r>
      <w:r w:rsidR="001E74D5">
        <w:rPr>
          <w:rFonts w:cs="David" w:hint="cs"/>
          <w:sz w:val="28"/>
          <w:szCs w:val="28"/>
          <w:rtl/>
        </w:rPr>
        <w:t xml:space="preserve"> במטרה </w:t>
      </w:r>
      <w:r>
        <w:rPr>
          <w:rFonts w:cs="David" w:hint="cs"/>
          <w:sz w:val="28"/>
          <w:szCs w:val="28"/>
          <w:rtl/>
        </w:rPr>
        <w:t>להדגיש את המתח הקיים בינו ובין אינטרסים וערכים אחרים</w:t>
      </w:r>
      <w:r w:rsidR="001E74D5">
        <w:rPr>
          <w:rFonts w:cs="David" w:hint="cs"/>
          <w:sz w:val="28"/>
          <w:szCs w:val="28"/>
          <w:rtl/>
        </w:rPr>
        <w:t>,</w:t>
      </w:r>
      <w:r>
        <w:rPr>
          <w:rFonts w:cs="David" w:hint="cs"/>
          <w:sz w:val="28"/>
          <w:szCs w:val="28"/>
          <w:rtl/>
        </w:rPr>
        <w:t xml:space="preserve"> המוגנים באיסורים הפליליים שבחוק העונשין. </w:t>
      </w:r>
      <w:r w:rsidR="001E74D5">
        <w:rPr>
          <w:rFonts w:cs="David" w:hint="cs"/>
          <w:sz w:val="28"/>
          <w:szCs w:val="28"/>
          <w:rtl/>
        </w:rPr>
        <w:t xml:space="preserve">בנוסף, </w:t>
      </w:r>
      <w:r>
        <w:rPr>
          <w:rFonts w:cs="David" w:hint="cs"/>
          <w:sz w:val="28"/>
          <w:szCs w:val="28"/>
          <w:rtl/>
        </w:rPr>
        <w:t>ייבחנו לעומק עבירות ההסתה לגזענות ולאלימות</w:t>
      </w:r>
      <w:r w:rsidRPr="009E3627">
        <w:rPr>
          <w:rFonts w:cs="David" w:hint="cs"/>
          <w:sz w:val="28"/>
          <w:szCs w:val="28"/>
          <w:rtl/>
        </w:rPr>
        <w:t xml:space="preserve">, כמקרה פרטני של אותם איסורים פליליים שבחוק, תוך תיאור התפתחות החקיקה בעבירות אלו </w:t>
      </w:r>
      <w:r w:rsidRPr="009E3627">
        <w:rPr>
          <w:rFonts w:cs="David" w:hint="cs"/>
          <w:sz w:val="28"/>
          <w:szCs w:val="28"/>
          <w:rtl/>
        </w:rPr>
        <w:lastRenderedPageBreak/>
        <w:t>והפרשנות הקיימת בפסיקה ובספרות המשפטית בנוגע ליסוד העובדתי והנפשי בכל אחת מהעבירות הללו. במטרה להצביע על הקושי והמורכבות הרבה</w:t>
      </w:r>
      <w:r w:rsidR="001E74D5">
        <w:rPr>
          <w:rFonts w:cs="David" w:hint="cs"/>
          <w:sz w:val="28"/>
          <w:szCs w:val="28"/>
          <w:rtl/>
        </w:rPr>
        <w:t>,</w:t>
      </w:r>
      <w:r w:rsidRPr="009E3627">
        <w:rPr>
          <w:rFonts w:cs="David" w:hint="cs"/>
          <w:sz w:val="28"/>
          <w:szCs w:val="28"/>
          <w:rtl/>
        </w:rPr>
        <w:t xml:space="preserve"> הקיימת בהחלת החוק והמשפט על עבירות</w:t>
      </w:r>
      <w:r w:rsidRPr="004C5A5F">
        <w:rPr>
          <w:rFonts w:cs="David" w:hint="cs"/>
          <w:b/>
          <w:bCs/>
          <w:sz w:val="28"/>
          <w:szCs w:val="28"/>
          <w:rtl/>
        </w:rPr>
        <w:t xml:space="preserve"> </w:t>
      </w:r>
      <w:r w:rsidRPr="009E3627">
        <w:rPr>
          <w:rFonts w:cs="David" w:hint="cs"/>
          <w:sz w:val="28"/>
          <w:szCs w:val="28"/>
          <w:rtl/>
        </w:rPr>
        <w:t>ביטוי והסתה בישראל</w:t>
      </w:r>
      <w:r>
        <w:rPr>
          <w:rFonts w:cs="David" w:hint="cs"/>
          <w:sz w:val="28"/>
          <w:szCs w:val="28"/>
          <w:rtl/>
        </w:rPr>
        <w:t>, תדון העבודה באופן ממוקד בהתנגשות ובמתחים בין חופש הביטוי ובין האיסורים שבעבירות הללו והערכים המוגנים בהם, כפי שהתפתחו בפסיקה לאורך השנים.</w:t>
      </w:r>
    </w:p>
    <w:p w:rsidR="002652B1" w:rsidRDefault="002652B1" w:rsidP="0074269E">
      <w:pPr>
        <w:spacing w:line="360" w:lineRule="auto"/>
        <w:jc w:val="both"/>
        <w:rPr>
          <w:rFonts w:cs="David"/>
          <w:sz w:val="28"/>
          <w:szCs w:val="28"/>
          <w:rtl/>
        </w:rPr>
      </w:pPr>
      <w:r w:rsidRPr="009E3627">
        <w:rPr>
          <w:rFonts w:cs="David" w:hint="cs"/>
          <w:sz w:val="28"/>
          <w:szCs w:val="28"/>
          <w:rtl/>
        </w:rPr>
        <w:t xml:space="preserve">בפרק השלישי </w:t>
      </w:r>
      <w:r>
        <w:rPr>
          <w:rFonts w:cs="David" w:hint="cs"/>
          <w:sz w:val="28"/>
          <w:szCs w:val="28"/>
          <w:rtl/>
        </w:rPr>
        <w:t>תתמקד העבודה ב</w:t>
      </w:r>
      <w:r w:rsidRPr="00BB62A0">
        <w:rPr>
          <w:rFonts w:cs="David" w:hint="cs"/>
          <w:sz w:val="28"/>
          <w:szCs w:val="28"/>
          <w:rtl/>
        </w:rPr>
        <w:t>עיצוב המדיניות המשפטית</w:t>
      </w:r>
      <w:r>
        <w:rPr>
          <w:rFonts w:cs="David" w:hint="cs"/>
          <w:sz w:val="28"/>
          <w:szCs w:val="28"/>
          <w:rtl/>
        </w:rPr>
        <w:t xml:space="preserve"> במרשתת כפי ש</w:t>
      </w:r>
      <w:r w:rsidR="00517CB2">
        <w:rPr>
          <w:rFonts w:cs="David" w:hint="cs"/>
          <w:sz w:val="28"/>
          <w:szCs w:val="28"/>
          <w:rtl/>
        </w:rPr>
        <w:t xml:space="preserve">זו </w:t>
      </w:r>
      <w:r>
        <w:rPr>
          <w:rFonts w:cs="David" w:hint="cs"/>
          <w:sz w:val="28"/>
          <w:szCs w:val="28"/>
          <w:rtl/>
        </w:rPr>
        <w:t>באה לידי ביטוי בישראל</w:t>
      </w:r>
      <w:r w:rsidR="00B74D1E">
        <w:rPr>
          <w:rFonts w:cs="David" w:hint="cs"/>
          <w:sz w:val="28"/>
          <w:szCs w:val="28"/>
          <w:rtl/>
        </w:rPr>
        <w:t>, מתוך הנחה כי יש בכך בכדי להשפיע על היקפי ההסתה לגזענות ולאלימות ברשתות החברתיות</w:t>
      </w:r>
      <w:r>
        <w:rPr>
          <w:rFonts w:cs="David" w:hint="cs"/>
          <w:sz w:val="28"/>
          <w:szCs w:val="28"/>
          <w:rtl/>
        </w:rPr>
        <w:t xml:space="preserve">. </w:t>
      </w:r>
      <w:r w:rsidR="00517CB2">
        <w:rPr>
          <w:rFonts w:cs="David" w:hint="cs"/>
          <w:sz w:val="28"/>
          <w:szCs w:val="28"/>
          <w:rtl/>
        </w:rPr>
        <w:t xml:space="preserve">תועלה </w:t>
      </w:r>
      <w:r w:rsidR="0074269E">
        <w:rPr>
          <w:rFonts w:cs="David" w:hint="cs"/>
          <w:sz w:val="28"/>
          <w:szCs w:val="28"/>
          <w:rtl/>
        </w:rPr>
        <w:t xml:space="preserve">תחילה </w:t>
      </w:r>
      <w:r w:rsidR="00517CB2">
        <w:rPr>
          <w:rFonts w:cs="David" w:hint="cs"/>
          <w:sz w:val="28"/>
          <w:szCs w:val="28"/>
          <w:rtl/>
        </w:rPr>
        <w:t>הש</w:t>
      </w:r>
      <w:r>
        <w:rPr>
          <w:rFonts w:cs="David" w:hint="cs"/>
          <w:sz w:val="28"/>
          <w:szCs w:val="28"/>
          <w:rtl/>
        </w:rPr>
        <w:t>אלה המהותית</w:t>
      </w:r>
      <w:r w:rsidR="00517CB2">
        <w:rPr>
          <w:rFonts w:cs="David" w:hint="cs"/>
          <w:sz w:val="28"/>
          <w:szCs w:val="28"/>
          <w:rtl/>
        </w:rPr>
        <w:t>:</w:t>
      </w:r>
      <w:r w:rsidR="009A457A">
        <w:rPr>
          <w:rFonts w:cs="David" w:hint="cs"/>
          <w:sz w:val="28"/>
          <w:szCs w:val="28"/>
          <w:rtl/>
        </w:rPr>
        <w:t xml:space="preserve"> באיזו מידה </w:t>
      </w:r>
      <w:r>
        <w:rPr>
          <w:rFonts w:cs="David" w:hint="cs"/>
          <w:sz w:val="28"/>
          <w:szCs w:val="28"/>
          <w:rtl/>
        </w:rPr>
        <w:t>קיימת הצדקה להגבלת ביטויים גזעניים וביטויים שעלולים להוליך לאלימות</w:t>
      </w:r>
      <w:r w:rsidR="009A457A">
        <w:rPr>
          <w:rFonts w:cs="David" w:hint="cs"/>
          <w:sz w:val="28"/>
          <w:szCs w:val="28"/>
          <w:rtl/>
        </w:rPr>
        <w:t>? בהמשכו</w:t>
      </w:r>
      <w:r>
        <w:rPr>
          <w:rFonts w:cs="David" w:hint="cs"/>
          <w:sz w:val="28"/>
          <w:szCs w:val="28"/>
          <w:rtl/>
        </w:rPr>
        <w:t xml:space="preserve"> ידון הפרק בשאלת גבולות חופש הביטוי בעידן </w:t>
      </w:r>
      <w:r w:rsidRPr="00614106">
        <w:rPr>
          <w:rFonts w:cs="David" w:hint="cs"/>
          <w:sz w:val="28"/>
          <w:szCs w:val="28"/>
          <w:rtl/>
        </w:rPr>
        <w:t>המרשתת ובדרכי ההסדרה של</w:t>
      </w:r>
      <w:r>
        <w:rPr>
          <w:rFonts w:cs="David" w:hint="cs"/>
          <w:b/>
          <w:bCs/>
          <w:sz w:val="28"/>
          <w:szCs w:val="28"/>
          <w:rtl/>
        </w:rPr>
        <w:t xml:space="preserve"> </w:t>
      </w:r>
      <w:r>
        <w:rPr>
          <w:rFonts w:cs="David" w:hint="cs"/>
          <w:sz w:val="28"/>
          <w:szCs w:val="28"/>
          <w:rtl/>
        </w:rPr>
        <w:t>ה</w:t>
      </w:r>
      <w:r w:rsidRPr="00403803">
        <w:rPr>
          <w:rFonts w:cs="David" w:hint="cs"/>
          <w:sz w:val="28"/>
          <w:szCs w:val="28"/>
          <w:rtl/>
        </w:rPr>
        <w:t xml:space="preserve">היבטים </w:t>
      </w:r>
      <w:r>
        <w:rPr>
          <w:rFonts w:cs="David" w:hint="cs"/>
          <w:sz w:val="28"/>
          <w:szCs w:val="28"/>
          <w:rtl/>
        </w:rPr>
        <w:t>ה</w:t>
      </w:r>
      <w:r w:rsidRPr="00403803">
        <w:rPr>
          <w:rFonts w:cs="David" w:hint="cs"/>
          <w:sz w:val="28"/>
          <w:szCs w:val="28"/>
          <w:rtl/>
        </w:rPr>
        <w:t>שונים של המרשתת ושל פעילות</w:t>
      </w:r>
      <w:r>
        <w:rPr>
          <w:rFonts w:cs="David" w:hint="cs"/>
          <w:sz w:val="28"/>
          <w:szCs w:val="28"/>
          <w:rtl/>
        </w:rPr>
        <w:t xml:space="preserve"> עבריינית במסגרתה</w:t>
      </w:r>
      <w:r w:rsidR="009A457A">
        <w:rPr>
          <w:rFonts w:cs="David" w:hint="cs"/>
          <w:sz w:val="28"/>
          <w:szCs w:val="28"/>
          <w:rtl/>
        </w:rPr>
        <w:t>.</w:t>
      </w:r>
      <w:r>
        <w:rPr>
          <w:rFonts w:cs="David" w:hint="cs"/>
          <w:sz w:val="28"/>
          <w:szCs w:val="28"/>
          <w:rtl/>
        </w:rPr>
        <w:t xml:space="preserve"> </w:t>
      </w:r>
      <w:r w:rsidRPr="004229DE">
        <w:rPr>
          <w:rFonts w:cs="David" w:hint="cs"/>
          <w:sz w:val="28"/>
          <w:szCs w:val="28"/>
          <w:rtl/>
        </w:rPr>
        <w:t>בעיקר כזו הנוגעת לשיח גזעני ומסית ולאלימות.</w:t>
      </w:r>
      <w:r>
        <w:rPr>
          <w:rFonts w:cs="David" w:hint="cs"/>
          <w:sz w:val="28"/>
          <w:szCs w:val="28"/>
          <w:rtl/>
        </w:rPr>
        <w:t xml:space="preserve"> כמו כן, </w:t>
      </w:r>
      <w:r w:rsidR="009A457A">
        <w:rPr>
          <w:rFonts w:cs="David" w:hint="cs"/>
          <w:sz w:val="28"/>
          <w:szCs w:val="28"/>
          <w:rtl/>
        </w:rPr>
        <w:t>יידונו ב</w:t>
      </w:r>
      <w:r>
        <w:rPr>
          <w:rFonts w:cs="David" w:hint="cs"/>
          <w:sz w:val="28"/>
          <w:szCs w:val="28"/>
          <w:rtl/>
        </w:rPr>
        <w:t>פרק עיצוב</w:t>
      </w:r>
      <w:r w:rsidR="009A457A">
        <w:rPr>
          <w:rFonts w:cs="David" w:hint="cs"/>
          <w:sz w:val="28"/>
          <w:szCs w:val="28"/>
          <w:rtl/>
        </w:rPr>
        <w:t>ה</w:t>
      </w:r>
      <w:r>
        <w:rPr>
          <w:rFonts w:cs="David" w:hint="cs"/>
          <w:sz w:val="28"/>
          <w:szCs w:val="28"/>
          <w:rtl/>
        </w:rPr>
        <w:t xml:space="preserve"> </w:t>
      </w:r>
      <w:r w:rsidR="009A457A">
        <w:rPr>
          <w:rFonts w:cs="David" w:hint="cs"/>
          <w:sz w:val="28"/>
          <w:szCs w:val="28"/>
          <w:rtl/>
        </w:rPr>
        <w:t>של מדיניות מידע בסביבה דיגיטלית וסוגיית ה</w:t>
      </w:r>
      <w:r>
        <w:rPr>
          <w:rFonts w:cs="David" w:hint="cs"/>
          <w:sz w:val="28"/>
          <w:szCs w:val="28"/>
          <w:rtl/>
        </w:rPr>
        <w:t>יחס המורכב בין משפט, טכנולוגיה וערכים חברתיים.</w:t>
      </w:r>
    </w:p>
    <w:p w:rsidR="002652B1" w:rsidRDefault="002652B1" w:rsidP="0074269E">
      <w:pPr>
        <w:spacing w:line="360" w:lineRule="auto"/>
        <w:jc w:val="both"/>
        <w:rPr>
          <w:rFonts w:cs="David"/>
          <w:b/>
          <w:bCs/>
          <w:sz w:val="32"/>
          <w:szCs w:val="32"/>
          <w:rtl/>
        </w:rPr>
      </w:pPr>
      <w:r w:rsidRPr="003635FB">
        <w:rPr>
          <w:rFonts w:cs="David" w:hint="cs"/>
          <w:sz w:val="28"/>
          <w:szCs w:val="28"/>
          <w:rtl/>
        </w:rPr>
        <w:t xml:space="preserve">ענינו של </w:t>
      </w:r>
      <w:r>
        <w:rPr>
          <w:rFonts w:cs="David" w:hint="cs"/>
          <w:sz w:val="28"/>
          <w:szCs w:val="28"/>
          <w:rtl/>
        </w:rPr>
        <w:t>ה</w:t>
      </w:r>
      <w:r w:rsidRPr="003635FB">
        <w:rPr>
          <w:rFonts w:cs="David" w:hint="cs"/>
          <w:sz w:val="28"/>
          <w:szCs w:val="28"/>
          <w:rtl/>
        </w:rPr>
        <w:t xml:space="preserve">פרק </w:t>
      </w:r>
      <w:r>
        <w:rPr>
          <w:rFonts w:cs="David" w:hint="cs"/>
          <w:sz w:val="28"/>
          <w:szCs w:val="28"/>
          <w:rtl/>
        </w:rPr>
        <w:t>הרביעי</w:t>
      </w:r>
      <w:r w:rsidRPr="003635FB">
        <w:rPr>
          <w:rFonts w:cs="David" w:hint="cs"/>
          <w:sz w:val="28"/>
          <w:szCs w:val="28"/>
          <w:rtl/>
        </w:rPr>
        <w:t xml:space="preserve"> </w:t>
      </w:r>
      <w:r>
        <w:rPr>
          <w:rFonts w:cs="David" w:hint="cs"/>
          <w:sz w:val="28"/>
          <w:szCs w:val="28"/>
          <w:rtl/>
        </w:rPr>
        <w:t xml:space="preserve">הוא </w:t>
      </w:r>
      <w:r w:rsidRPr="003635FB">
        <w:rPr>
          <w:rFonts w:cs="David" w:hint="cs"/>
          <w:sz w:val="28"/>
          <w:szCs w:val="28"/>
          <w:rtl/>
        </w:rPr>
        <w:t>ליבת טענת העבודה</w:t>
      </w:r>
      <w:r>
        <w:rPr>
          <w:rFonts w:cs="David" w:hint="cs"/>
          <w:sz w:val="28"/>
          <w:szCs w:val="28"/>
          <w:rtl/>
        </w:rPr>
        <w:t>. לאחר שת</w:t>
      </w:r>
      <w:r w:rsidR="002C152A">
        <w:rPr>
          <w:rFonts w:cs="David" w:hint="cs"/>
          <w:sz w:val="28"/>
          <w:szCs w:val="28"/>
          <w:rtl/>
        </w:rPr>
        <w:t>תואר</w:t>
      </w:r>
      <w:r>
        <w:rPr>
          <w:rFonts w:cs="David" w:hint="cs"/>
          <w:sz w:val="28"/>
          <w:szCs w:val="28"/>
          <w:rtl/>
        </w:rPr>
        <w:t xml:space="preserve"> תופעת </w:t>
      </w:r>
      <w:r w:rsidR="002C152A">
        <w:rPr>
          <w:rFonts w:cs="David" w:hint="cs"/>
          <w:sz w:val="28"/>
          <w:szCs w:val="28"/>
          <w:rtl/>
        </w:rPr>
        <w:t>השיח הגזעני והמסית ברשת ולאחר שיי</w:t>
      </w:r>
      <w:r>
        <w:rPr>
          <w:rFonts w:cs="David" w:hint="cs"/>
          <w:sz w:val="28"/>
          <w:szCs w:val="28"/>
          <w:rtl/>
        </w:rPr>
        <w:t xml:space="preserve">סקרו הגורמים המשפיעים על תופעה זו </w:t>
      </w:r>
      <w:r w:rsidR="002C152A">
        <w:rPr>
          <w:rFonts w:cs="David" w:hint="cs"/>
          <w:sz w:val="28"/>
          <w:szCs w:val="28"/>
          <w:rtl/>
        </w:rPr>
        <w:t xml:space="preserve">תוצג </w:t>
      </w:r>
      <w:r>
        <w:rPr>
          <w:rFonts w:cs="David" w:hint="cs"/>
          <w:sz w:val="28"/>
          <w:szCs w:val="28"/>
          <w:rtl/>
        </w:rPr>
        <w:t>השאלה</w:t>
      </w:r>
      <w:r w:rsidR="002C152A">
        <w:rPr>
          <w:rFonts w:cs="David" w:hint="cs"/>
          <w:sz w:val="28"/>
          <w:szCs w:val="28"/>
          <w:rtl/>
        </w:rPr>
        <w:t>:</w:t>
      </w:r>
      <w:r>
        <w:rPr>
          <w:rFonts w:cs="David" w:hint="cs"/>
          <w:sz w:val="28"/>
          <w:szCs w:val="28"/>
          <w:rtl/>
        </w:rPr>
        <w:t xml:space="preserve"> מהי אם כן, מדיניות האכיפה של התביעה הכללית וכיצד היא מתממשת בפרקטיקה אל מול התופעה האמורה?</w:t>
      </w:r>
      <w:r>
        <w:rPr>
          <w:rFonts w:cs="David" w:hint="cs"/>
          <w:b/>
          <w:bCs/>
          <w:sz w:val="32"/>
          <w:szCs w:val="32"/>
          <w:rtl/>
        </w:rPr>
        <w:t xml:space="preserve"> </w:t>
      </w:r>
      <w:r>
        <w:rPr>
          <w:rFonts w:cs="David" w:hint="cs"/>
          <w:sz w:val="28"/>
          <w:szCs w:val="28"/>
          <w:rtl/>
        </w:rPr>
        <w:t>תחילה ידון הפרק במדיניות התביעה הנוגעת לעבירות ביטוי והסתה באופן כללי</w:t>
      </w:r>
      <w:r w:rsidR="002C152A">
        <w:rPr>
          <w:rFonts w:cs="David" w:hint="cs"/>
          <w:sz w:val="28"/>
          <w:szCs w:val="28"/>
          <w:rtl/>
        </w:rPr>
        <w:t>,</w:t>
      </w:r>
      <w:r>
        <w:rPr>
          <w:rFonts w:cs="David" w:hint="cs"/>
          <w:sz w:val="28"/>
          <w:szCs w:val="28"/>
          <w:rtl/>
        </w:rPr>
        <w:t xml:space="preserve"> ולאחר מכן במדיניות באשר לעבירות ההסתה </w:t>
      </w:r>
      <w:r w:rsidRPr="00186F76">
        <w:rPr>
          <w:rFonts w:cs="David" w:hint="cs"/>
          <w:sz w:val="28"/>
          <w:szCs w:val="28"/>
          <w:rtl/>
        </w:rPr>
        <w:t>המבוצעות במרשתת וברשתות החברתיות ובאתגרים הייחודיים הקיימים באכיפה במימד זה.</w:t>
      </w:r>
      <w:r>
        <w:rPr>
          <w:rFonts w:cs="David" w:hint="cs"/>
          <w:sz w:val="28"/>
          <w:szCs w:val="28"/>
          <w:rtl/>
        </w:rPr>
        <w:t xml:space="preserve"> בשלב הבא תדון העבודה גם בכלי אכיפה נוסף, לבר-משפטי, בו נעשה שימוש אל מול תופעת ההסתה ברשת.</w:t>
      </w:r>
    </w:p>
    <w:p w:rsidR="002652B1" w:rsidRDefault="002652B1" w:rsidP="0019468C">
      <w:pPr>
        <w:spacing w:line="360" w:lineRule="auto"/>
        <w:jc w:val="both"/>
        <w:rPr>
          <w:rFonts w:cs="David"/>
          <w:sz w:val="28"/>
          <w:szCs w:val="28"/>
          <w:rtl/>
        </w:rPr>
      </w:pPr>
      <w:r>
        <w:rPr>
          <w:rFonts w:cs="David" w:hint="cs"/>
          <w:sz w:val="28"/>
          <w:szCs w:val="28"/>
          <w:rtl/>
        </w:rPr>
        <w:t xml:space="preserve">הפרק החמישי </w:t>
      </w:r>
      <w:r w:rsidR="002C152A">
        <w:rPr>
          <w:rFonts w:cs="David" w:hint="cs"/>
          <w:sz w:val="28"/>
          <w:szCs w:val="28"/>
          <w:rtl/>
        </w:rPr>
        <w:t>י</w:t>
      </w:r>
      <w:r>
        <w:rPr>
          <w:rFonts w:cs="David" w:hint="cs"/>
          <w:sz w:val="28"/>
          <w:szCs w:val="28"/>
          <w:rtl/>
        </w:rPr>
        <w:t>תיך את המסקנות העיקריות העולות מארבעת הפרקים הקודמים</w:t>
      </w:r>
      <w:r w:rsidR="0019468C">
        <w:rPr>
          <w:rFonts w:cs="David" w:hint="cs"/>
          <w:sz w:val="28"/>
          <w:szCs w:val="28"/>
          <w:rtl/>
        </w:rPr>
        <w:t>.</w:t>
      </w:r>
      <w:r>
        <w:rPr>
          <w:rFonts w:cs="David" w:hint="cs"/>
          <w:sz w:val="28"/>
          <w:szCs w:val="28"/>
          <w:rtl/>
        </w:rPr>
        <w:t xml:space="preserve"> בהמשך ולאור מסקנות אלו תחתום העבודה במספר המלצות אופרטיביות, המנוסחות באופן כללי, מתוך תקווה שמקבלי ההחלטות יבחרו במה ראוי להתעמק ויובילו את השינוי המיוחל אל מול המציאות הקיימת.</w:t>
      </w:r>
    </w:p>
    <w:p w:rsidR="002652B1" w:rsidRDefault="002652B1" w:rsidP="008F5458">
      <w:pPr>
        <w:spacing w:line="360" w:lineRule="auto"/>
        <w:jc w:val="both"/>
        <w:rPr>
          <w:rFonts w:cs="David"/>
          <w:sz w:val="28"/>
          <w:szCs w:val="28"/>
          <w:rtl/>
        </w:rPr>
      </w:pPr>
      <w:r>
        <w:rPr>
          <w:rFonts w:cs="David" w:hint="cs"/>
          <w:sz w:val="28"/>
          <w:szCs w:val="28"/>
          <w:rtl/>
        </w:rPr>
        <w:t>היקף המידע הקיים בנושא הסוגיות</w:t>
      </w:r>
      <w:r w:rsidR="005009DD">
        <w:rPr>
          <w:rFonts w:cs="David" w:hint="cs"/>
          <w:sz w:val="28"/>
          <w:szCs w:val="28"/>
          <w:rtl/>
        </w:rPr>
        <w:t>,</w:t>
      </w:r>
      <w:r>
        <w:rPr>
          <w:rFonts w:cs="David" w:hint="cs"/>
          <w:sz w:val="28"/>
          <w:szCs w:val="28"/>
          <w:rtl/>
        </w:rPr>
        <w:t xml:space="preserve"> שנסקרו בעבודה</w:t>
      </w:r>
      <w:r w:rsidR="005009DD">
        <w:rPr>
          <w:rFonts w:cs="David" w:hint="cs"/>
          <w:sz w:val="28"/>
          <w:szCs w:val="28"/>
          <w:rtl/>
        </w:rPr>
        <w:t xml:space="preserve">, הינו </w:t>
      </w:r>
      <w:r>
        <w:rPr>
          <w:rFonts w:cs="David" w:hint="cs"/>
          <w:sz w:val="28"/>
          <w:szCs w:val="28"/>
          <w:rtl/>
        </w:rPr>
        <w:t xml:space="preserve">רב ממדים וההתפתחויות בתחום הנעשה ברשת, כולל בתחום השיח הגזעני והמסית הינן מהירות. </w:t>
      </w:r>
      <w:r w:rsidR="005009DD">
        <w:rPr>
          <w:rFonts w:cs="David" w:hint="cs"/>
          <w:sz w:val="28"/>
          <w:szCs w:val="28"/>
          <w:rtl/>
        </w:rPr>
        <w:t xml:space="preserve">בעבודה נסקרו </w:t>
      </w:r>
      <w:r>
        <w:rPr>
          <w:rFonts w:cs="David" w:hint="cs"/>
          <w:sz w:val="28"/>
          <w:szCs w:val="28"/>
          <w:rtl/>
        </w:rPr>
        <w:t xml:space="preserve">אמנם הגורמים המשפיעים העיקריים לתופעת השיח הגזעני והמסית, אך מפאת היקף העבודה, ישנן זוויות נוספות המשפיעות על שיח זה, שלא נסקרו. יחד עם זאת, התקווה היא כי הדברים יעוררו עניין ומחשבה ואולי אף יביאו לשינוי, </w:t>
      </w:r>
      <w:r w:rsidR="008F5458">
        <w:rPr>
          <w:rFonts w:cs="David" w:hint="cs"/>
          <w:sz w:val="28"/>
          <w:szCs w:val="28"/>
          <w:rtl/>
        </w:rPr>
        <w:t>שכן</w:t>
      </w:r>
      <w:r>
        <w:rPr>
          <w:rFonts w:cs="David" w:hint="cs"/>
          <w:sz w:val="28"/>
          <w:szCs w:val="28"/>
          <w:rtl/>
        </w:rPr>
        <w:t xml:space="preserve"> </w:t>
      </w:r>
      <w:r w:rsidRPr="00AF0150">
        <w:rPr>
          <w:rFonts w:cs="David" w:hint="cs"/>
          <w:b/>
          <w:bCs/>
          <w:sz w:val="28"/>
          <w:szCs w:val="28"/>
          <w:rtl/>
        </w:rPr>
        <w:t>שינוי שכזה לא רק הכרחי, אלא גם אפשרי.</w:t>
      </w:r>
    </w:p>
    <w:p w:rsidR="00DE1589" w:rsidRDefault="00DE1589" w:rsidP="00E97C0E">
      <w:pPr>
        <w:spacing w:line="360" w:lineRule="auto"/>
        <w:jc w:val="both"/>
        <w:rPr>
          <w:rFonts w:cs="David"/>
          <w:b/>
          <w:bCs/>
          <w:sz w:val="32"/>
          <w:szCs w:val="32"/>
          <w:rtl/>
        </w:rPr>
      </w:pPr>
      <w:r w:rsidRPr="00162C32">
        <w:rPr>
          <w:rFonts w:cs="David" w:hint="cs"/>
          <w:b/>
          <w:bCs/>
          <w:sz w:val="36"/>
          <w:szCs w:val="36"/>
          <w:rtl/>
        </w:rPr>
        <w:lastRenderedPageBreak/>
        <w:t xml:space="preserve">פרק ראשון - </w:t>
      </w:r>
      <w:r>
        <w:rPr>
          <w:rFonts w:cs="David" w:hint="cs"/>
          <w:b/>
          <w:bCs/>
          <w:sz w:val="36"/>
          <w:szCs w:val="36"/>
          <w:rtl/>
        </w:rPr>
        <w:t>המרשתת ו</w:t>
      </w:r>
      <w:r w:rsidRPr="00162C32">
        <w:rPr>
          <w:rFonts w:cs="David" w:hint="cs"/>
          <w:b/>
          <w:bCs/>
          <w:sz w:val="36"/>
          <w:szCs w:val="36"/>
          <w:rtl/>
        </w:rPr>
        <w:t xml:space="preserve">הרשתות החברתיות </w:t>
      </w:r>
    </w:p>
    <w:p w:rsidR="00DE1589" w:rsidRDefault="00DE1589" w:rsidP="00F119A4">
      <w:pPr>
        <w:spacing w:line="360" w:lineRule="auto"/>
        <w:jc w:val="both"/>
        <w:rPr>
          <w:rFonts w:cs="David"/>
          <w:b/>
          <w:bCs/>
          <w:sz w:val="32"/>
          <w:szCs w:val="32"/>
          <w:rtl/>
        </w:rPr>
      </w:pPr>
      <w:r w:rsidRPr="00162C32">
        <w:rPr>
          <w:rFonts w:cs="David" w:hint="cs"/>
          <w:b/>
          <w:bCs/>
          <w:sz w:val="32"/>
          <w:szCs w:val="32"/>
          <w:rtl/>
        </w:rPr>
        <w:t>א.</w:t>
      </w:r>
      <w:r>
        <w:rPr>
          <w:rFonts w:cs="David" w:hint="cs"/>
          <w:b/>
          <w:bCs/>
          <w:sz w:val="32"/>
          <w:szCs w:val="32"/>
          <w:rtl/>
        </w:rPr>
        <w:t xml:space="preserve"> '</w:t>
      </w:r>
      <w:r w:rsidRPr="00162C32">
        <w:rPr>
          <w:rFonts w:cs="David" w:hint="cs"/>
          <w:b/>
          <w:bCs/>
          <w:sz w:val="32"/>
          <w:szCs w:val="32"/>
          <w:rtl/>
        </w:rPr>
        <w:t>אבני דרך</w:t>
      </w:r>
      <w:r>
        <w:rPr>
          <w:rFonts w:cs="David" w:hint="cs"/>
          <w:b/>
          <w:bCs/>
          <w:sz w:val="32"/>
          <w:szCs w:val="32"/>
          <w:rtl/>
        </w:rPr>
        <w:t>'</w:t>
      </w:r>
      <w:r w:rsidRPr="00162C32">
        <w:rPr>
          <w:rFonts w:cs="David" w:hint="cs"/>
          <w:b/>
          <w:bCs/>
          <w:sz w:val="32"/>
          <w:szCs w:val="32"/>
          <w:rtl/>
        </w:rPr>
        <w:t xml:space="preserve"> בהתפתחות ה</w:t>
      </w:r>
      <w:r>
        <w:rPr>
          <w:rFonts w:cs="David" w:hint="cs"/>
          <w:b/>
          <w:bCs/>
          <w:sz w:val="32"/>
          <w:szCs w:val="32"/>
          <w:rtl/>
        </w:rPr>
        <w:t>מרשתת וה</w:t>
      </w:r>
      <w:r w:rsidRPr="00162C32">
        <w:rPr>
          <w:rFonts w:cs="David" w:hint="cs"/>
          <w:b/>
          <w:bCs/>
          <w:sz w:val="32"/>
          <w:szCs w:val="32"/>
          <w:rtl/>
        </w:rPr>
        <w:t>רשתות החברתיות</w:t>
      </w:r>
    </w:p>
    <w:p w:rsidR="00DE1589" w:rsidRDefault="00DE1589" w:rsidP="00FF3318">
      <w:pPr>
        <w:spacing w:line="360" w:lineRule="auto"/>
        <w:jc w:val="both"/>
        <w:rPr>
          <w:rFonts w:cs="David"/>
          <w:sz w:val="28"/>
          <w:szCs w:val="28"/>
          <w:rtl/>
        </w:rPr>
      </w:pPr>
      <w:r>
        <w:rPr>
          <w:rFonts w:cs="David" w:hint="cs"/>
          <w:sz w:val="28"/>
          <w:szCs w:val="28"/>
          <w:rtl/>
        </w:rPr>
        <w:t>התפיסה של רישות חברתי איננה חדשה</w:t>
      </w:r>
      <w:r w:rsidR="00FF3318">
        <w:rPr>
          <w:rFonts w:cs="David" w:hint="cs"/>
          <w:sz w:val="28"/>
          <w:szCs w:val="28"/>
          <w:rtl/>
        </w:rPr>
        <w:t>.</w:t>
      </w:r>
      <w:r>
        <w:rPr>
          <w:rFonts w:cs="David" w:hint="cs"/>
          <w:sz w:val="28"/>
          <w:szCs w:val="28"/>
          <w:rtl/>
        </w:rPr>
        <w:t xml:space="preserve"> הרשתות החברתיות, ובראשן 'פייסבוק', שאנו מכירים כיום הן תולדה של רעיונות המתפתחים מזה למעלה מארבעים שנה. כבר בשנת 1968 ראו </w:t>
      </w:r>
      <w:r w:rsidR="006E71AF">
        <w:rPr>
          <w:rFonts w:cs="David" w:hint="cs"/>
          <w:sz w:val="28"/>
          <w:szCs w:val="28"/>
          <w:rtl/>
        </w:rPr>
        <w:t>בע</w:t>
      </w:r>
      <w:r w:rsidR="00FF3318">
        <w:rPr>
          <w:rFonts w:cs="David" w:hint="cs"/>
          <w:sz w:val="28"/>
          <w:szCs w:val="28"/>
          <w:rtl/>
        </w:rPr>
        <w:t>י</w:t>
      </w:r>
      <w:r w:rsidR="006E71AF">
        <w:rPr>
          <w:rFonts w:cs="David" w:hint="cs"/>
          <w:sz w:val="28"/>
          <w:szCs w:val="28"/>
          <w:rtl/>
        </w:rPr>
        <w:t xml:space="preserve">ני רוחם </w:t>
      </w:r>
      <w:r>
        <w:rPr>
          <w:rFonts w:cs="David" w:hint="cs"/>
          <w:sz w:val="28"/>
          <w:szCs w:val="28"/>
          <w:rtl/>
        </w:rPr>
        <w:t>המהנדסים, שהניחו את התשתית למרשתת,  דבר מה שדמה לרשת חברתית.</w:t>
      </w:r>
      <w:r>
        <w:rPr>
          <w:rStyle w:val="a5"/>
          <w:rFonts w:cs="David"/>
          <w:sz w:val="28"/>
          <w:szCs w:val="28"/>
          <w:rtl/>
        </w:rPr>
        <w:footnoteReference w:id="12"/>
      </w:r>
      <w:r>
        <w:rPr>
          <w:rFonts w:cs="David" w:hint="cs"/>
          <w:sz w:val="28"/>
          <w:szCs w:val="28"/>
          <w:rtl/>
        </w:rPr>
        <w:t xml:space="preserve"> </w:t>
      </w:r>
    </w:p>
    <w:p w:rsidR="00DE1589" w:rsidRDefault="003D3C89" w:rsidP="006E71AF">
      <w:pPr>
        <w:spacing w:line="360" w:lineRule="auto"/>
        <w:jc w:val="both"/>
        <w:rPr>
          <w:rFonts w:cs="David"/>
          <w:sz w:val="28"/>
          <w:szCs w:val="28"/>
          <w:rtl/>
        </w:rPr>
      </w:pPr>
      <w:r>
        <w:rPr>
          <w:rFonts w:cs="David" w:hint="cs"/>
          <w:sz w:val="28"/>
          <w:szCs w:val="28"/>
          <w:rtl/>
        </w:rPr>
        <w:t xml:space="preserve">כעשור לפני המצאת המרשתת החלו מספר חלוצים לבלות </w:t>
      </w:r>
      <w:r w:rsidR="00DE1589">
        <w:rPr>
          <w:rFonts w:cs="David" w:hint="cs"/>
          <w:sz w:val="28"/>
          <w:szCs w:val="28"/>
          <w:rtl/>
        </w:rPr>
        <w:t>את זמנם בקהילות מקוונות</w:t>
      </w:r>
      <w:r>
        <w:rPr>
          <w:rFonts w:cs="David" w:hint="cs"/>
          <w:sz w:val="28"/>
          <w:szCs w:val="28"/>
          <w:rtl/>
        </w:rPr>
        <w:t xml:space="preserve">. כך, למשל רשת </w:t>
      </w:r>
      <w:r w:rsidR="00DE1589">
        <w:rPr>
          <w:rFonts w:cs="David" w:hint="cs"/>
          <w:sz w:val="28"/>
          <w:szCs w:val="28"/>
          <w:rtl/>
        </w:rPr>
        <w:t>ה-</w:t>
      </w:r>
      <w:r w:rsidR="00DE1589">
        <w:rPr>
          <w:rFonts w:cs="David" w:hint="cs"/>
          <w:sz w:val="28"/>
          <w:szCs w:val="28"/>
        </w:rPr>
        <w:t>U</w:t>
      </w:r>
      <w:r w:rsidR="00DE1589">
        <w:rPr>
          <w:rFonts w:cs="David"/>
          <w:sz w:val="28"/>
          <w:szCs w:val="28"/>
        </w:rPr>
        <w:t>senet</w:t>
      </w:r>
      <w:r w:rsidR="00A879F2">
        <w:rPr>
          <w:rFonts w:cs="David" w:hint="cs"/>
          <w:sz w:val="28"/>
          <w:szCs w:val="28"/>
          <w:rtl/>
        </w:rPr>
        <w:t xml:space="preserve">, </w:t>
      </w:r>
      <w:r w:rsidR="00DE1589">
        <w:rPr>
          <w:rFonts w:cs="David" w:hint="cs"/>
          <w:sz w:val="28"/>
          <w:szCs w:val="28"/>
          <w:rtl/>
        </w:rPr>
        <w:t>שאיפשר</w:t>
      </w:r>
      <w:r>
        <w:rPr>
          <w:rFonts w:cs="David" w:hint="cs"/>
          <w:sz w:val="28"/>
          <w:szCs w:val="28"/>
          <w:rtl/>
        </w:rPr>
        <w:t>ה</w:t>
      </w:r>
      <w:r w:rsidR="00DE1589">
        <w:rPr>
          <w:rFonts w:cs="David" w:hint="cs"/>
          <w:sz w:val="28"/>
          <w:szCs w:val="28"/>
          <w:rtl/>
        </w:rPr>
        <w:t xml:space="preserve"> למשתמשים להעלות מסרים לקבוצות שהיו מוקדשות לנושאים מסוימים. בשנות השמונים פורסם מאמר שטבע את המונח 'קהילה וירטואלית', שתוארה כ"קבוצה של אנשים העשויים להיפגש או לא להיפגש זה עם זה פנים מול פנים [...] ואשר מחליפים ביניהם מילים ורעיונות באמצעות תיווך של לוחות מודעות ממוחשבות ורשתות".</w:t>
      </w:r>
      <w:r w:rsidR="00DE1589">
        <w:rPr>
          <w:rStyle w:val="a5"/>
          <w:rFonts w:cs="David"/>
          <w:sz w:val="28"/>
          <w:szCs w:val="28"/>
          <w:rtl/>
        </w:rPr>
        <w:footnoteReference w:id="13"/>
      </w:r>
    </w:p>
    <w:p w:rsidR="00DE1589" w:rsidRDefault="00DE1589" w:rsidP="00FF62C3">
      <w:pPr>
        <w:spacing w:line="360" w:lineRule="auto"/>
        <w:jc w:val="both"/>
        <w:rPr>
          <w:rFonts w:cs="David"/>
          <w:sz w:val="28"/>
          <w:szCs w:val="28"/>
          <w:rtl/>
        </w:rPr>
      </w:pPr>
      <w:r>
        <w:rPr>
          <w:rFonts w:cs="David" w:hint="cs"/>
          <w:sz w:val="28"/>
          <w:szCs w:val="28"/>
          <w:rtl/>
        </w:rPr>
        <w:t>בשנת 198</w:t>
      </w:r>
      <w:r w:rsidR="003E612E">
        <w:rPr>
          <w:rFonts w:cs="David" w:hint="cs"/>
          <w:sz w:val="28"/>
          <w:szCs w:val="28"/>
          <w:rtl/>
        </w:rPr>
        <w:t>5 החלה לפעול 'אמריקה און-ליין', ש</w:t>
      </w:r>
      <w:r>
        <w:rPr>
          <w:rFonts w:cs="David" w:hint="cs"/>
          <w:sz w:val="28"/>
          <w:szCs w:val="28"/>
          <w:rtl/>
        </w:rPr>
        <w:t xml:space="preserve">נתנה שירותים מקוונים לציבור. המשתמשים בשירותים אלו נהגו, בדרך כלל, להמציא לעצמם שם משתמש בדוי, שהשתמשו בו לצורך תקשורת עם אחרים. כך, עד תחילת שנות התשעים אנשים מהשורה </w:t>
      </w:r>
      <w:r w:rsidR="00FF62C3">
        <w:rPr>
          <w:rFonts w:cs="David" w:hint="cs"/>
          <w:sz w:val="28"/>
          <w:szCs w:val="28"/>
          <w:rtl/>
        </w:rPr>
        <w:t xml:space="preserve">השתמשו </w:t>
      </w:r>
      <w:r>
        <w:rPr>
          <w:rFonts w:cs="David" w:hint="cs"/>
          <w:sz w:val="28"/>
          <w:szCs w:val="28"/>
          <w:rtl/>
        </w:rPr>
        <w:t>בדואר אלקטרוני, על פי רוב בזהות בדויה.</w:t>
      </w:r>
    </w:p>
    <w:p w:rsidR="00DE1589" w:rsidRDefault="00DE1589" w:rsidP="00F119A4">
      <w:pPr>
        <w:spacing w:line="360" w:lineRule="auto"/>
        <w:jc w:val="both"/>
        <w:rPr>
          <w:rFonts w:cs="David"/>
          <w:sz w:val="28"/>
          <w:szCs w:val="28"/>
          <w:rtl/>
        </w:rPr>
      </w:pPr>
      <w:r>
        <w:rPr>
          <w:rFonts w:cs="David" w:hint="cs"/>
          <w:sz w:val="28"/>
          <w:szCs w:val="28"/>
          <w:rtl/>
        </w:rPr>
        <w:t>בימים הראשונים של המרשתת</w:t>
      </w:r>
      <w:r w:rsidR="003E612E">
        <w:rPr>
          <w:rFonts w:cs="David" w:hint="cs"/>
          <w:sz w:val="28"/>
          <w:szCs w:val="28"/>
          <w:rtl/>
        </w:rPr>
        <w:t>,</w:t>
      </w:r>
      <w:r>
        <w:rPr>
          <w:rFonts w:cs="David" w:hint="cs"/>
          <w:sz w:val="28"/>
          <w:szCs w:val="28"/>
          <w:rtl/>
        </w:rPr>
        <w:t xml:space="preserve"> בראשית שנות התשעים</w:t>
      </w:r>
      <w:r w:rsidR="003E612E">
        <w:rPr>
          <w:rFonts w:cs="David" w:hint="cs"/>
          <w:sz w:val="28"/>
          <w:szCs w:val="28"/>
          <w:rtl/>
        </w:rPr>
        <w:t>,</w:t>
      </w:r>
      <w:r>
        <w:rPr>
          <w:rFonts w:cs="David" w:hint="cs"/>
          <w:sz w:val="28"/>
          <w:szCs w:val="28"/>
          <w:rtl/>
        </w:rPr>
        <w:t xml:space="preserve"> כבר התקדמה התפיסה של הקהילה המקוונת וקמו שירותים שאיפשרו למשתמשים ליצור עמוד בית אישי, שלעיתים גם כלל קישורים לעמודים שיצרו מינויים אחרים. כך, בשנת 1994 כבר ניתן היה לראות אתרי היכרויות, שכללו מידע אישי רב, אך לצורך מסוים </w:t>
      </w:r>
      <w:r w:rsidR="003E612E">
        <w:rPr>
          <w:rFonts w:cs="David" w:hint="cs"/>
          <w:sz w:val="28"/>
          <w:szCs w:val="28"/>
          <w:rtl/>
        </w:rPr>
        <w:t xml:space="preserve">זה </w:t>
      </w:r>
      <w:r>
        <w:rPr>
          <w:rFonts w:cs="David" w:hint="cs"/>
          <w:sz w:val="28"/>
          <w:szCs w:val="28"/>
          <w:rtl/>
        </w:rPr>
        <w:t>בלבד.</w:t>
      </w:r>
    </w:p>
    <w:p w:rsidR="00DE1589" w:rsidRDefault="00DE1589" w:rsidP="00FB3F0A">
      <w:pPr>
        <w:spacing w:line="360" w:lineRule="auto"/>
        <w:jc w:val="both"/>
        <w:rPr>
          <w:rFonts w:cs="David"/>
          <w:sz w:val="28"/>
          <w:szCs w:val="28"/>
          <w:rtl/>
        </w:rPr>
      </w:pPr>
      <w:r>
        <w:rPr>
          <w:rFonts w:cs="David" w:hint="cs"/>
          <w:sz w:val="28"/>
          <w:szCs w:val="28"/>
          <w:rtl/>
        </w:rPr>
        <w:t xml:space="preserve">העידן המודרני של הרשתות החברתיות החל לבסוף בראשית שנת 1997, אז הציג 'סטארט-אפ' ניו-יורקי, בשם </w:t>
      </w:r>
      <w:r>
        <w:rPr>
          <w:rFonts w:cs="David" w:hint="cs"/>
          <w:sz w:val="28"/>
          <w:szCs w:val="28"/>
        </w:rPr>
        <w:t>S</w:t>
      </w:r>
      <w:r>
        <w:rPr>
          <w:rFonts w:cs="David"/>
          <w:sz w:val="28"/>
          <w:szCs w:val="28"/>
        </w:rPr>
        <w:t>ixDegrees.com</w:t>
      </w:r>
      <w:r>
        <w:rPr>
          <w:rFonts w:cs="David" w:hint="cs"/>
          <w:sz w:val="28"/>
          <w:szCs w:val="28"/>
          <w:rtl/>
        </w:rPr>
        <w:t>, שירות פורץ דרך</w:t>
      </w:r>
      <w:r w:rsidR="00A54250">
        <w:rPr>
          <w:rFonts w:cs="David" w:hint="cs"/>
          <w:sz w:val="28"/>
          <w:szCs w:val="28"/>
          <w:rtl/>
        </w:rPr>
        <w:t xml:space="preserve"> ומהפכני</w:t>
      </w:r>
      <w:r>
        <w:rPr>
          <w:rFonts w:cs="David" w:hint="cs"/>
          <w:sz w:val="28"/>
          <w:szCs w:val="28"/>
          <w:rtl/>
        </w:rPr>
        <w:t>, שאיפשר למשתמשים ליצור פרופיל אישי</w:t>
      </w:r>
      <w:r w:rsidR="00A55840">
        <w:rPr>
          <w:rFonts w:cs="David" w:hint="cs"/>
          <w:sz w:val="28"/>
          <w:szCs w:val="28"/>
          <w:rtl/>
        </w:rPr>
        <w:t>,</w:t>
      </w:r>
      <w:r>
        <w:rPr>
          <w:rFonts w:cs="David" w:hint="cs"/>
          <w:sz w:val="28"/>
          <w:szCs w:val="28"/>
          <w:rtl/>
        </w:rPr>
        <w:t xml:space="preserve"> </w:t>
      </w:r>
      <w:r w:rsidR="00A54250">
        <w:rPr>
          <w:rFonts w:cs="David" w:hint="cs"/>
          <w:sz w:val="28"/>
          <w:szCs w:val="28"/>
          <w:rtl/>
        </w:rPr>
        <w:t>המבוסס על שמותיהם האמיתיים ו</w:t>
      </w:r>
      <w:r>
        <w:rPr>
          <w:rFonts w:cs="David" w:hint="cs"/>
          <w:sz w:val="28"/>
          <w:szCs w:val="28"/>
          <w:rtl/>
        </w:rPr>
        <w:t>הכולל מידע עליהם ועל תחומי העניין שלהם</w:t>
      </w:r>
      <w:r w:rsidR="00A54250">
        <w:rPr>
          <w:rFonts w:cs="David" w:hint="cs"/>
          <w:sz w:val="28"/>
          <w:szCs w:val="28"/>
          <w:rtl/>
        </w:rPr>
        <w:t>.</w:t>
      </w:r>
      <w:r>
        <w:rPr>
          <w:rFonts w:cs="David" w:hint="cs"/>
          <w:sz w:val="28"/>
          <w:szCs w:val="28"/>
          <w:rtl/>
        </w:rPr>
        <w:t xml:space="preserve"> היה זה ב</w:t>
      </w:r>
      <w:r w:rsidR="00A54250">
        <w:rPr>
          <w:rFonts w:cs="David" w:hint="cs"/>
          <w:sz w:val="28"/>
          <w:szCs w:val="28"/>
          <w:rtl/>
        </w:rPr>
        <w:t>אותם ה</w:t>
      </w:r>
      <w:r>
        <w:rPr>
          <w:rFonts w:cs="David" w:hint="cs"/>
          <w:sz w:val="28"/>
          <w:szCs w:val="28"/>
          <w:rtl/>
        </w:rPr>
        <w:t>ימים שבהם החלה המרשתת לה</w:t>
      </w:r>
      <w:r w:rsidR="00A54250">
        <w:rPr>
          <w:rFonts w:cs="David" w:hint="cs"/>
          <w:sz w:val="28"/>
          <w:szCs w:val="28"/>
          <w:rtl/>
        </w:rPr>
        <w:t>כות שורש בקרב אנשים רבים</w:t>
      </w:r>
      <w:r w:rsidR="00FB3F0A">
        <w:rPr>
          <w:rFonts w:cs="David" w:hint="cs"/>
          <w:sz w:val="28"/>
          <w:szCs w:val="28"/>
          <w:rtl/>
        </w:rPr>
        <w:t>.</w:t>
      </w:r>
      <w:r w:rsidR="004E269C">
        <w:rPr>
          <w:rFonts w:cs="David" w:hint="cs"/>
          <w:sz w:val="28"/>
          <w:szCs w:val="28"/>
          <w:rtl/>
        </w:rPr>
        <w:t xml:space="preserve"> על אף שצבר שלושה וחצי מיליון משתמשים </w:t>
      </w:r>
      <w:r>
        <w:rPr>
          <w:rFonts w:cs="David" w:hint="cs"/>
          <w:sz w:val="28"/>
          <w:szCs w:val="28"/>
          <w:rtl/>
        </w:rPr>
        <w:t xml:space="preserve">הסטארט-אפ לא צלח, אולי הקדים את זמנו, בעיקר בשל הוצאות כבדות וייעוד לא </w:t>
      </w:r>
      <w:r w:rsidR="00A55840">
        <w:rPr>
          <w:rFonts w:cs="David" w:hint="cs"/>
          <w:sz w:val="28"/>
          <w:szCs w:val="28"/>
          <w:rtl/>
        </w:rPr>
        <w:t>מוגד</w:t>
      </w:r>
      <w:r>
        <w:rPr>
          <w:rFonts w:cs="David" w:hint="cs"/>
          <w:sz w:val="28"/>
          <w:szCs w:val="28"/>
          <w:rtl/>
        </w:rPr>
        <w:t>ר, עד שנקנה על ידי חברה אחרת ונסגר בשנת 2000.</w:t>
      </w:r>
    </w:p>
    <w:p w:rsidR="00DE1589" w:rsidRDefault="00DE1589" w:rsidP="00F119A4">
      <w:pPr>
        <w:spacing w:line="360" w:lineRule="auto"/>
        <w:jc w:val="both"/>
        <w:rPr>
          <w:rFonts w:cs="David"/>
          <w:sz w:val="28"/>
          <w:szCs w:val="28"/>
          <w:rtl/>
        </w:rPr>
      </w:pPr>
      <w:r>
        <w:rPr>
          <w:rFonts w:cs="David" w:hint="cs"/>
          <w:sz w:val="28"/>
          <w:szCs w:val="28"/>
          <w:rtl/>
        </w:rPr>
        <w:lastRenderedPageBreak/>
        <w:t xml:space="preserve">חלפו שנים עד שאחרים העזו לקפוץ למים וליצור מערכת שניתן להחשיבה כרשת חברתית של ממש. הלכה למעשה, רק בשנים 2001, 2002 החל עמק הסיליקון בפעולה בתחום הרשתות החברתיות. היה זה לאחר התפוצצות בועת 'דוט.קום' והמפולת התלולה בהערכות השווי וההכנסות של חברות המרשתת. </w:t>
      </w:r>
    </w:p>
    <w:p w:rsidR="00DE1589" w:rsidRDefault="00DE1589" w:rsidP="00A55840">
      <w:pPr>
        <w:spacing w:line="360" w:lineRule="auto"/>
        <w:jc w:val="both"/>
        <w:rPr>
          <w:rFonts w:cs="David"/>
          <w:sz w:val="28"/>
          <w:szCs w:val="28"/>
          <w:rtl/>
        </w:rPr>
      </w:pPr>
      <w:r>
        <w:rPr>
          <w:rFonts w:cs="David" w:hint="cs"/>
          <w:sz w:val="28"/>
          <w:szCs w:val="28"/>
          <w:rtl/>
        </w:rPr>
        <w:t>כך, אט אט החלו חברות מרשתת בניסיונות הקמה של  רשתות חברתיות, אם למטרות עסקים ואם למטרת היכרויות. הכלים</w:t>
      </w:r>
      <w:r w:rsidR="00A55840">
        <w:rPr>
          <w:rFonts w:cs="David" w:hint="cs"/>
          <w:sz w:val="28"/>
          <w:szCs w:val="28"/>
          <w:rtl/>
        </w:rPr>
        <w:t xml:space="preserve">, </w:t>
      </w:r>
      <w:r>
        <w:rPr>
          <w:rFonts w:cs="David" w:hint="cs"/>
          <w:sz w:val="28"/>
          <w:szCs w:val="28"/>
          <w:rtl/>
        </w:rPr>
        <w:t>שנעשה בהם שימוש ברשתות התקדמו משלב לשלב, אם כי ההתמודדות עם הבעיות הטכניות ובעיות הדימוי</w:t>
      </w:r>
      <w:r w:rsidR="009F0553">
        <w:rPr>
          <w:rFonts w:cs="David" w:hint="cs"/>
          <w:sz w:val="28"/>
          <w:szCs w:val="28"/>
          <w:rtl/>
        </w:rPr>
        <w:t xml:space="preserve"> (בעיקר בשל ההקשר</w:t>
      </w:r>
      <w:r w:rsidR="009C3430">
        <w:rPr>
          <w:rFonts w:cs="David" w:hint="cs"/>
          <w:sz w:val="28"/>
          <w:szCs w:val="28"/>
          <w:rtl/>
        </w:rPr>
        <w:t>ים המיניים)</w:t>
      </w:r>
      <w:r>
        <w:rPr>
          <w:rFonts w:cs="David" w:hint="cs"/>
          <w:sz w:val="28"/>
          <w:szCs w:val="28"/>
          <w:rtl/>
        </w:rPr>
        <w:t xml:space="preserve"> לא הקלו כלל ועיקר על חברות אלו.</w:t>
      </w:r>
    </w:p>
    <w:p w:rsidR="00DE1589" w:rsidRDefault="00DE1589" w:rsidP="00A55840">
      <w:pPr>
        <w:spacing w:line="360" w:lineRule="auto"/>
        <w:jc w:val="both"/>
        <w:rPr>
          <w:rFonts w:cs="David"/>
          <w:sz w:val="28"/>
          <w:szCs w:val="28"/>
          <w:rtl/>
        </w:rPr>
      </w:pPr>
      <w:r>
        <w:rPr>
          <w:rFonts w:cs="David" w:hint="cs"/>
          <w:sz w:val="28"/>
          <w:szCs w:val="28"/>
          <w:rtl/>
        </w:rPr>
        <w:t xml:space="preserve">חברות המרשתת והרשתות החברתיות </w:t>
      </w:r>
      <w:r w:rsidR="000A7597">
        <w:rPr>
          <w:rFonts w:cs="David" w:hint="cs"/>
          <w:sz w:val="28"/>
          <w:szCs w:val="28"/>
          <w:rtl/>
        </w:rPr>
        <w:t xml:space="preserve">חיקו </w:t>
      </w:r>
      <w:r>
        <w:rPr>
          <w:rFonts w:cs="David" w:hint="cs"/>
          <w:sz w:val="28"/>
          <w:szCs w:val="28"/>
          <w:rtl/>
        </w:rPr>
        <w:t xml:space="preserve">האחת את השנייה </w:t>
      </w:r>
      <w:r>
        <w:rPr>
          <w:rFonts w:cs="David"/>
          <w:sz w:val="28"/>
          <w:szCs w:val="28"/>
          <w:rtl/>
        </w:rPr>
        <w:t>–</w:t>
      </w:r>
      <w:r>
        <w:rPr>
          <w:rFonts w:cs="David" w:hint="cs"/>
          <w:sz w:val="28"/>
          <w:szCs w:val="28"/>
          <w:rtl/>
        </w:rPr>
        <w:t xml:space="preserve"> והדבר הביא גם למאבקים משפטיים ביניהן. במקביל, </w:t>
      </w:r>
      <w:r w:rsidR="00D207E8">
        <w:rPr>
          <w:rFonts w:cs="David" w:hint="cs"/>
          <w:sz w:val="28"/>
          <w:szCs w:val="28"/>
          <w:rtl/>
        </w:rPr>
        <w:t>חלו התפתחויות טכנולוגיות שה</w:t>
      </w:r>
      <w:r w:rsidR="00A55840">
        <w:rPr>
          <w:rFonts w:cs="David" w:hint="cs"/>
          <w:sz w:val="28"/>
          <w:szCs w:val="28"/>
          <w:rtl/>
        </w:rPr>
        <w:t>י</w:t>
      </w:r>
      <w:r w:rsidR="00D207E8">
        <w:rPr>
          <w:rFonts w:cs="David" w:hint="cs"/>
          <w:sz w:val="28"/>
          <w:szCs w:val="28"/>
          <w:rtl/>
        </w:rPr>
        <w:t>טיבו עם רעיון המרשתת והרשתות החברתיות: בשנ</w:t>
      </w:r>
      <w:r>
        <w:rPr>
          <w:rFonts w:cs="David" w:hint="cs"/>
          <w:sz w:val="28"/>
          <w:szCs w:val="28"/>
          <w:rtl/>
        </w:rPr>
        <w:t xml:space="preserve">ת 2003 </w:t>
      </w:r>
      <w:r w:rsidR="00A55840">
        <w:rPr>
          <w:rFonts w:cs="David" w:hint="cs"/>
          <w:sz w:val="28"/>
          <w:szCs w:val="28"/>
          <w:rtl/>
        </w:rPr>
        <w:t xml:space="preserve">עלה </w:t>
      </w:r>
      <w:r>
        <w:rPr>
          <w:rFonts w:cs="David" w:hint="cs"/>
          <w:sz w:val="28"/>
          <w:szCs w:val="28"/>
          <w:rtl/>
        </w:rPr>
        <w:t xml:space="preserve">אחוז האמריקאים בעלי גישה רחבת פס למרשתת מ-15% ל-25%. הפס הרחב איפשר לא רק מהירות צפייה גבוהה יותר, אלא גם הקל על העלאת תמונות, שהיו </w:t>
      </w:r>
      <w:r w:rsidR="008633F6">
        <w:rPr>
          <w:rFonts w:cs="David" w:hint="cs"/>
          <w:sz w:val="28"/>
          <w:szCs w:val="28"/>
          <w:rtl/>
        </w:rPr>
        <w:t>כה חשובות לאתרי הרשתות החברתיות;</w:t>
      </w:r>
      <w:r>
        <w:rPr>
          <w:rFonts w:cs="David" w:hint="cs"/>
          <w:sz w:val="28"/>
          <w:szCs w:val="28"/>
          <w:rtl/>
        </w:rPr>
        <w:t xml:space="preserve"> מצלמות דיגיטליות נעשו נפוצות ושוות לכל כיס. </w:t>
      </w:r>
      <w:r w:rsidRPr="008633F6">
        <w:rPr>
          <w:rFonts w:cs="David" w:hint="cs"/>
          <w:b/>
          <w:bCs/>
          <w:sz w:val="28"/>
          <w:szCs w:val="28"/>
          <w:rtl/>
        </w:rPr>
        <w:t>העובדה שמגוון רחב יותר של אנשים החל להשתמש במרשתת במהירויות גבוהות יותר הפכה לגורם מכריע</w:t>
      </w:r>
      <w:r>
        <w:rPr>
          <w:rFonts w:cs="David" w:hint="cs"/>
          <w:sz w:val="28"/>
          <w:szCs w:val="28"/>
          <w:rtl/>
        </w:rPr>
        <w:t>.</w:t>
      </w:r>
      <w:r>
        <w:rPr>
          <w:rStyle w:val="a5"/>
          <w:rFonts w:cs="David"/>
          <w:sz w:val="28"/>
          <w:szCs w:val="28"/>
          <w:rtl/>
        </w:rPr>
        <w:footnoteReference w:id="14"/>
      </w:r>
    </w:p>
    <w:p w:rsidR="00A974C5" w:rsidRDefault="00DE1589" w:rsidP="00A974C5">
      <w:pPr>
        <w:spacing w:line="360" w:lineRule="auto"/>
        <w:jc w:val="both"/>
        <w:rPr>
          <w:rFonts w:cs="David"/>
          <w:sz w:val="28"/>
          <w:szCs w:val="28"/>
          <w:rtl/>
        </w:rPr>
      </w:pPr>
      <w:r>
        <w:rPr>
          <w:rFonts w:cs="David" w:hint="cs"/>
          <w:sz w:val="28"/>
          <w:szCs w:val="28"/>
          <w:rtl/>
        </w:rPr>
        <w:t>הרשתות החברתיות החלו להתפשט בקרב חברים בשיטת 'חבר מביא חבר' ושיווק השירות במועדונים. הרשת החברתית הראשונה, שיועדה במפורש לסטודנטים החלה לפעול באוניברסיטת 'סטנפורד' בנובמבר 2001. לטענת דיוויד קירקפטריק, הייתה זו גם כנראה הרשת החברתית האמיתית הראשונה שהושקה בארצות-הברית.</w:t>
      </w:r>
      <w:r>
        <w:rPr>
          <w:rStyle w:val="a5"/>
          <w:rFonts w:cs="David"/>
          <w:sz w:val="28"/>
          <w:szCs w:val="28"/>
          <w:rtl/>
        </w:rPr>
        <w:footnoteReference w:id="15"/>
      </w:r>
    </w:p>
    <w:p w:rsidR="00DE1589" w:rsidRDefault="00DE1589" w:rsidP="00A974C5">
      <w:pPr>
        <w:spacing w:line="360" w:lineRule="auto"/>
        <w:jc w:val="both"/>
        <w:rPr>
          <w:rFonts w:cs="David"/>
          <w:sz w:val="28"/>
          <w:szCs w:val="28"/>
          <w:rtl/>
        </w:rPr>
      </w:pPr>
      <w:r>
        <w:rPr>
          <w:rFonts w:cs="David" w:hint="cs"/>
          <w:sz w:val="28"/>
          <w:szCs w:val="28"/>
          <w:rtl/>
        </w:rPr>
        <w:t>בפברואר 2004 הושק 'פייסבוק' (</w:t>
      </w:r>
      <w:r>
        <w:rPr>
          <w:rFonts w:cs="David"/>
          <w:sz w:val="28"/>
          <w:szCs w:val="28"/>
        </w:rPr>
        <w:t>facebook</w:t>
      </w:r>
      <w:r>
        <w:rPr>
          <w:rFonts w:cs="David" w:hint="cs"/>
          <w:sz w:val="28"/>
          <w:szCs w:val="28"/>
          <w:rtl/>
        </w:rPr>
        <w:t>), אך הוא הציע למשתמשים מספר מצומצם של תכונות והיה מוגבל לסטודנטים באוניברסיטאות עילית בלבד. הייתה זו השקה שלוותה בחיכוכים רבים ובסוגיות משפטיות</w:t>
      </w:r>
      <w:r w:rsidR="00A974C5">
        <w:rPr>
          <w:rFonts w:cs="David" w:hint="cs"/>
          <w:sz w:val="28"/>
          <w:szCs w:val="28"/>
          <w:rtl/>
        </w:rPr>
        <w:t xml:space="preserve">, </w:t>
      </w:r>
      <w:r>
        <w:rPr>
          <w:rFonts w:cs="David" w:hint="cs"/>
          <w:sz w:val="28"/>
          <w:szCs w:val="28"/>
          <w:rtl/>
        </w:rPr>
        <w:t>כולל תביעות, מול חברות שהפעילו כבר רשתות חברתיות אחרות. בסתיו שנת 2005 פתח 'פייסבוק' את שעריו לתלמידי תיכון, והציבור הרחב צורף לרשת החברתית בסתיו שנת 2006. כיום זוהי הרשת החברתית החביבה ביותר על הציבור, עם זמינות של למעלה משבעים שפות ולמעלה ממיליארד וחצי משתמשים פעילים, מהם למעלה ממיליארד נכנסים לאתר מדי יום.</w:t>
      </w:r>
      <w:r>
        <w:rPr>
          <w:rStyle w:val="a5"/>
          <w:rFonts w:cs="David"/>
          <w:sz w:val="28"/>
          <w:szCs w:val="28"/>
          <w:rtl/>
        </w:rPr>
        <w:footnoteReference w:id="16"/>
      </w:r>
      <w:r>
        <w:rPr>
          <w:rFonts w:cs="David" w:hint="cs"/>
          <w:sz w:val="28"/>
          <w:szCs w:val="28"/>
          <w:rtl/>
        </w:rPr>
        <w:t xml:space="preserve"> לא בכדי יש המכנים אותה 'מדינת פייסבוק'.</w:t>
      </w:r>
    </w:p>
    <w:p w:rsidR="00DE1589" w:rsidRDefault="00DE1589" w:rsidP="00F63B9A">
      <w:pPr>
        <w:spacing w:line="360" w:lineRule="auto"/>
        <w:jc w:val="both"/>
        <w:rPr>
          <w:rFonts w:cs="David"/>
          <w:sz w:val="28"/>
          <w:szCs w:val="28"/>
          <w:rtl/>
        </w:rPr>
      </w:pPr>
      <w:r>
        <w:rPr>
          <w:rFonts w:cs="David" w:hint="cs"/>
          <w:sz w:val="28"/>
          <w:szCs w:val="28"/>
          <w:rtl/>
        </w:rPr>
        <w:lastRenderedPageBreak/>
        <w:t xml:space="preserve">נקודת ציון נוספת, שהיוותה קפיצת דרך משמעותית בשימוש במרשתת וברשתות החברתיות, ניתן לייחס </w:t>
      </w:r>
      <w:r w:rsidRPr="005D61DB">
        <w:rPr>
          <w:rFonts w:cs="David" w:hint="cs"/>
          <w:b/>
          <w:bCs/>
          <w:sz w:val="28"/>
          <w:szCs w:val="28"/>
          <w:rtl/>
        </w:rPr>
        <w:t>לכניסת הסמארטפונים בשנת 2007</w:t>
      </w:r>
      <w:r>
        <w:rPr>
          <w:rFonts w:cs="David" w:hint="cs"/>
          <w:sz w:val="28"/>
          <w:szCs w:val="28"/>
          <w:rtl/>
        </w:rPr>
        <w:t xml:space="preserve">. זאת, בשל היישומים הרבים שבמכשירים אלו, אשר איפשרו גלישה זמינה מהמכשיר הנייד בכל מקום ובכל שעה. </w:t>
      </w:r>
      <w:r w:rsidR="00F63B9A">
        <w:rPr>
          <w:rFonts w:cs="David" w:hint="cs"/>
          <w:sz w:val="28"/>
          <w:szCs w:val="28"/>
          <w:rtl/>
        </w:rPr>
        <w:t xml:space="preserve">אין ספק כי </w:t>
      </w:r>
      <w:r>
        <w:rPr>
          <w:rFonts w:cs="David" w:hint="cs"/>
          <w:sz w:val="28"/>
          <w:szCs w:val="28"/>
          <w:rtl/>
        </w:rPr>
        <w:t>העלייה במספר הטלפונים הסלולאריים בעולם הייתה יותר ממרשימה</w:t>
      </w:r>
      <w:r w:rsidR="00F63B9A">
        <w:rPr>
          <w:rFonts w:cs="David" w:hint="cs"/>
          <w:sz w:val="28"/>
          <w:szCs w:val="28"/>
          <w:rtl/>
        </w:rPr>
        <w:t>.</w:t>
      </w:r>
      <w:r>
        <w:rPr>
          <w:rFonts w:cs="David" w:hint="cs"/>
          <w:sz w:val="28"/>
          <w:szCs w:val="28"/>
          <w:rtl/>
        </w:rPr>
        <w:t xml:space="preserve"> </w:t>
      </w:r>
    </w:p>
    <w:p w:rsidR="00F119A4" w:rsidRDefault="006B79D4" w:rsidP="0061305B">
      <w:pPr>
        <w:spacing w:line="360" w:lineRule="auto"/>
        <w:jc w:val="both"/>
        <w:rPr>
          <w:rFonts w:cs="David"/>
          <w:sz w:val="28"/>
          <w:szCs w:val="28"/>
          <w:rtl/>
        </w:rPr>
      </w:pPr>
      <w:r>
        <w:rPr>
          <w:rFonts w:cs="David" w:hint="cs"/>
          <w:sz w:val="28"/>
          <w:szCs w:val="28"/>
          <w:rtl/>
        </w:rPr>
        <w:t xml:space="preserve">לסיכום, בארבעים השנים </w:t>
      </w:r>
      <w:r w:rsidR="0019669F">
        <w:rPr>
          <w:rFonts w:cs="David" w:hint="cs"/>
          <w:sz w:val="28"/>
          <w:szCs w:val="28"/>
          <w:rtl/>
        </w:rPr>
        <w:t xml:space="preserve">האחרונות אנו עדים </w:t>
      </w:r>
      <w:r w:rsidR="0019669F" w:rsidRPr="007F54C7">
        <w:rPr>
          <w:rFonts w:cs="David" w:hint="cs"/>
          <w:b/>
          <w:bCs/>
          <w:sz w:val="28"/>
          <w:szCs w:val="28"/>
          <w:rtl/>
        </w:rPr>
        <w:t>להתפתחות מטא</w:t>
      </w:r>
      <w:r w:rsidR="00A55840">
        <w:rPr>
          <w:rFonts w:cs="David" w:hint="cs"/>
          <w:b/>
          <w:bCs/>
          <w:sz w:val="28"/>
          <w:szCs w:val="28"/>
          <w:rtl/>
        </w:rPr>
        <w:t>ורית של המרשתת והרשתות החברתיות.</w:t>
      </w:r>
      <w:r w:rsidR="0019669F" w:rsidRPr="007F54C7">
        <w:rPr>
          <w:rFonts w:cs="David" w:hint="cs"/>
          <w:b/>
          <w:bCs/>
          <w:sz w:val="28"/>
          <w:szCs w:val="28"/>
          <w:rtl/>
        </w:rPr>
        <w:t xml:space="preserve"> </w:t>
      </w:r>
      <w:r w:rsidR="004D2B37" w:rsidRPr="007F54C7">
        <w:rPr>
          <w:rFonts w:cs="David" w:hint="cs"/>
          <w:b/>
          <w:bCs/>
          <w:sz w:val="28"/>
          <w:szCs w:val="28"/>
          <w:rtl/>
        </w:rPr>
        <w:t>זאת</w:t>
      </w:r>
      <w:r w:rsidR="00A55840">
        <w:rPr>
          <w:rFonts w:cs="David" w:hint="cs"/>
          <w:b/>
          <w:bCs/>
          <w:sz w:val="28"/>
          <w:szCs w:val="28"/>
          <w:rtl/>
        </w:rPr>
        <w:t>,</w:t>
      </w:r>
      <w:r w:rsidR="004D2B37" w:rsidRPr="007F54C7">
        <w:rPr>
          <w:rFonts w:cs="David" w:hint="cs"/>
          <w:b/>
          <w:bCs/>
          <w:sz w:val="28"/>
          <w:szCs w:val="28"/>
          <w:rtl/>
        </w:rPr>
        <w:t xml:space="preserve"> לא מעט בזכות ההתפתחויות הטכנולוגיות בתשתית המרשתת.</w:t>
      </w:r>
      <w:r w:rsidR="004D2B37">
        <w:rPr>
          <w:rFonts w:cs="David" w:hint="cs"/>
          <w:sz w:val="28"/>
          <w:szCs w:val="28"/>
          <w:rtl/>
        </w:rPr>
        <w:t xml:space="preserve"> </w:t>
      </w:r>
      <w:r w:rsidR="005F7A23">
        <w:rPr>
          <w:rFonts w:cs="David" w:hint="cs"/>
          <w:sz w:val="28"/>
          <w:szCs w:val="28"/>
          <w:rtl/>
        </w:rPr>
        <w:t>מה שהחל כ</w:t>
      </w:r>
      <w:r w:rsidR="0019669F">
        <w:rPr>
          <w:rFonts w:cs="David" w:hint="cs"/>
          <w:sz w:val="28"/>
          <w:szCs w:val="28"/>
          <w:rtl/>
        </w:rPr>
        <w:t xml:space="preserve">רעיון </w:t>
      </w:r>
      <w:r w:rsidR="005F7A23">
        <w:rPr>
          <w:rFonts w:cs="David" w:hint="cs"/>
          <w:sz w:val="28"/>
          <w:szCs w:val="28"/>
          <w:rtl/>
        </w:rPr>
        <w:t>שהניח את הבסיס לקהילות מקוונות ומתן מענה לצרכים בסיסיים של שירותים והיכרויות חברתיות</w:t>
      </w:r>
      <w:r w:rsidR="00797D87">
        <w:rPr>
          <w:rFonts w:cs="David" w:hint="cs"/>
          <w:sz w:val="28"/>
          <w:szCs w:val="28"/>
          <w:rtl/>
        </w:rPr>
        <w:t>,</w:t>
      </w:r>
      <w:r w:rsidR="004D2B37">
        <w:rPr>
          <w:rFonts w:cs="David" w:hint="cs"/>
          <w:sz w:val="28"/>
          <w:szCs w:val="28"/>
          <w:rtl/>
        </w:rPr>
        <w:t xml:space="preserve"> מוצא עצמו בימים אלו עם אחוז שימוש</w:t>
      </w:r>
      <w:r w:rsidR="008D6E80">
        <w:rPr>
          <w:rFonts w:cs="David" w:hint="cs"/>
          <w:sz w:val="28"/>
          <w:szCs w:val="28"/>
          <w:rtl/>
        </w:rPr>
        <w:t xml:space="preserve"> במרשתת </w:t>
      </w:r>
      <w:r w:rsidR="004D2B37">
        <w:rPr>
          <w:rFonts w:cs="David" w:hint="cs"/>
          <w:sz w:val="28"/>
          <w:szCs w:val="28"/>
          <w:rtl/>
        </w:rPr>
        <w:t>של כ-50% מכלל האוכלוסייה עולמית</w:t>
      </w:r>
      <w:r w:rsidR="008D6E80">
        <w:rPr>
          <w:rFonts w:cs="David" w:hint="cs"/>
          <w:sz w:val="28"/>
          <w:szCs w:val="28"/>
          <w:rtl/>
        </w:rPr>
        <w:t xml:space="preserve"> ו</w:t>
      </w:r>
      <w:r w:rsidR="0043756A">
        <w:rPr>
          <w:rFonts w:cs="David" w:hint="cs"/>
          <w:sz w:val="28"/>
          <w:szCs w:val="28"/>
          <w:rtl/>
        </w:rPr>
        <w:t>כ-</w:t>
      </w:r>
      <w:r w:rsidR="00851C03">
        <w:rPr>
          <w:rFonts w:cs="David" w:hint="cs"/>
          <w:sz w:val="28"/>
          <w:szCs w:val="28"/>
          <w:rtl/>
        </w:rPr>
        <w:t>2</w:t>
      </w:r>
      <w:r w:rsidR="008D6E80">
        <w:rPr>
          <w:rFonts w:cs="David" w:hint="cs"/>
          <w:sz w:val="28"/>
          <w:szCs w:val="28"/>
          <w:rtl/>
        </w:rPr>
        <w:t xml:space="preserve">0% </w:t>
      </w:r>
      <w:r w:rsidR="008C0E75">
        <w:rPr>
          <w:rFonts w:cs="David" w:hint="cs"/>
          <w:sz w:val="28"/>
          <w:szCs w:val="28"/>
          <w:rtl/>
        </w:rPr>
        <w:t xml:space="preserve">מכלל האוכלוסייה העולמית </w:t>
      </w:r>
      <w:r w:rsidR="00B034D8">
        <w:rPr>
          <w:rFonts w:cs="David" w:hint="cs"/>
          <w:sz w:val="28"/>
          <w:szCs w:val="28"/>
          <w:rtl/>
        </w:rPr>
        <w:t>ה</w:t>
      </w:r>
      <w:r w:rsidR="008D6E80">
        <w:rPr>
          <w:rFonts w:cs="David" w:hint="cs"/>
          <w:sz w:val="28"/>
          <w:szCs w:val="28"/>
          <w:rtl/>
        </w:rPr>
        <w:t xml:space="preserve">משתמשים ברשתות </w:t>
      </w:r>
      <w:r w:rsidR="00B034D8">
        <w:rPr>
          <w:rFonts w:cs="David" w:hint="cs"/>
          <w:sz w:val="28"/>
          <w:szCs w:val="28"/>
          <w:rtl/>
        </w:rPr>
        <w:t xml:space="preserve">החברתיות, בעיקר ב'פייסבוק' </w:t>
      </w:r>
      <w:r w:rsidR="0095120E">
        <w:rPr>
          <w:rFonts w:cs="David" w:hint="cs"/>
          <w:sz w:val="28"/>
          <w:szCs w:val="28"/>
          <w:rtl/>
        </w:rPr>
        <w:t xml:space="preserve">עם למעלה ממיליארד וחצי משתמשים </w:t>
      </w:r>
      <w:r w:rsidR="00B034D8">
        <w:rPr>
          <w:rFonts w:cs="David" w:hint="cs"/>
          <w:sz w:val="28"/>
          <w:szCs w:val="28"/>
          <w:rtl/>
        </w:rPr>
        <w:t>וביישום ה'ואטסאפ'</w:t>
      </w:r>
      <w:r w:rsidR="0095120E">
        <w:rPr>
          <w:rFonts w:cs="David" w:hint="cs"/>
          <w:sz w:val="28"/>
          <w:szCs w:val="28"/>
          <w:rtl/>
        </w:rPr>
        <w:t xml:space="preserve"> עם למעלה ממיליארד משתמשים.</w:t>
      </w:r>
    </w:p>
    <w:p w:rsidR="00E8632C" w:rsidRDefault="00E8632C" w:rsidP="00E8632C">
      <w:pPr>
        <w:spacing w:line="360" w:lineRule="auto"/>
        <w:jc w:val="both"/>
        <w:rPr>
          <w:rFonts w:cs="David"/>
          <w:b/>
          <w:bCs/>
          <w:sz w:val="28"/>
          <w:szCs w:val="28"/>
          <w:rtl/>
        </w:rPr>
      </w:pPr>
      <w:r w:rsidRPr="00C2084F">
        <w:rPr>
          <w:rFonts w:cs="David" w:hint="cs"/>
          <w:b/>
          <w:bCs/>
          <w:sz w:val="28"/>
          <w:szCs w:val="28"/>
          <w:rtl/>
        </w:rPr>
        <w:t xml:space="preserve">א.1 </w:t>
      </w:r>
      <w:r>
        <w:rPr>
          <w:rFonts w:cs="David" w:hint="cs"/>
          <w:b/>
          <w:bCs/>
          <w:sz w:val="28"/>
          <w:szCs w:val="28"/>
          <w:rtl/>
        </w:rPr>
        <w:t xml:space="preserve">נתוני </w:t>
      </w:r>
      <w:r w:rsidRPr="00C2084F">
        <w:rPr>
          <w:rFonts w:cs="David" w:hint="cs"/>
          <w:b/>
          <w:bCs/>
          <w:sz w:val="28"/>
          <w:szCs w:val="28"/>
          <w:rtl/>
        </w:rPr>
        <w:t>השימוש במרשתת וברשתות החברתיות בעולם</w:t>
      </w:r>
      <w:r>
        <w:rPr>
          <w:rStyle w:val="a5"/>
          <w:rFonts w:cs="David"/>
          <w:b/>
          <w:bCs/>
          <w:sz w:val="28"/>
          <w:szCs w:val="28"/>
          <w:rtl/>
        </w:rPr>
        <w:footnoteReference w:id="17"/>
      </w:r>
    </w:p>
    <w:p w:rsidR="00E8632C" w:rsidRPr="00942404" w:rsidRDefault="00E8632C" w:rsidP="00E8632C">
      <w:pPr>
        <w:spacing w:line="360" w:lineRule="auto"/>
        <w:rPr>
          <w:rFonts w:cs="David"/>
          <w:b/>
          <w:bCs/>
          <w:sz w:val="28"/>
          <w:szCs w:val="28"/>
          <w:rtl/>
        </w:rPr>
      </w:pPr>
      <w:r w:rsidRPr="00942404">
        <w:rPr>
          <w:rFonts w:ascii="Verdana" w:eastAsia="Times New Roman" w:hAnsi="Verdana" w:cs="David" w:hint="cs"/>
          <w:b/>
          <w:bCs/>
          <w:color w:val="000000"/>
          <w:sz w:val="28"/>
          <w:szCs w:val="28"/>
          <w:rtl/>
        </w:rPr>
        <w:t xml:space="preserve">טבלה מספר 1 </w:t>
      </w:r>
      <w:r w:rsidRPr="00942404">
        <w:rPr>
          <w:rFonts w:ascii="Verdana" w:eastAsia="Times New Roman" w:hAnsi="Verdana" w:cs="David" w:hint="cs"/>
          <w:b/>
          <w:bCs/>
          <w:color w:val="000000"/>
          <w:sz w:val="24"/>
          <w:szCs w:val="24"/>
          <w:rtl/>
        </w:rPr>
        <w:t xml:space="preserve">- </w:t>
      </w:r>
      <w:r w:rsidRPr="00942404">
        <w:rPr>
          <w:rFonts w:ascii="Verdana" w:eastAsia="Times New Roman" w:hAnsi="Verdana" w:cs="David"/>
          <w:b/>
          <w:bCs/>
          <w:color w:val="000000"/>
          <w:sz w:val="24"/>
          <w:szCs w:val="24"/>
        </w:rPr>
        <w:t>INTERNET USAGE STATISTICS</w:t>
      </w:r>
    </w:p>
    <w:p w:rsidR="00E8632C" w:rsidRDefault="00E8632C" w:rsidP="00E8632C">
      <w:pPr>
        <w:spacing w:line="360" w:lineRule="auto"/>
        <w:ind w:left="-341"/>
        <w:jc w:val="both"/>
        <w:rPr>
          <w:rFonts w:cs="David"/>
          <w:sz w:val="28"/>
          <w:szCs w:val="28"/>
          <w:rtl/>
        </w:rPr>
      </w:pPr>
      <w:r>
        <w:rPr>
          <w:rFonts w:cs="David" w:hint="cs"/>
          <w:noProof/>
          <w:sz w:val="28"/>
          <w:szCs w:val="28"/>
          <w:rtl/>
        </w:rPr>
        <w:drawing>
          <wp:inline distT="0" distB="0" distL="0" distR="0" wp14:anchorId="51FE9A68" wp14:editId="2F7665D1">
            <wp:extent cx="5954173" cy="3295015"/>
            <wp:effectExtent l="0" t="0" r="8890" b="63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טבלה 1.PNG"/>
                    <pic:cNvPicPr/>
                  </pic:nvPicPr>
                  <pic:blipFill>
                    <a:blip r:embed="rId14">
                      <a:extLst>
                        <a:ext uri="{28A0092B-C50C-407E-A947-70E740481C1C}">
                          <a14:useLocalDpi xmlns:a14="http://schemas.microsoft.com/office/drawing/2010/main" val="0"/>
                        </a:ext>
                      </a:extLst>
                    </a:blip>
                    <a:stretch>
                      <a:fillRect/>
                    </a:stretch>
                  </pic:blipFill>
                  <pic:spPr>
                    <a:xfrm>
                      <a:off x="0" y="0"/>
                      <a:ext cx="5993555" cy="3316809"/>
                    </a:xfrm>
                    <a:prstGeom prst="rect">
                      <a:avLst/>
                    </a:prstGeom>
                  </pic:spPr>
                </pic:pic>
              </a:graphicData>
            </a:graphic>
          </wp:inline>
        </w:drawing>
      </w:r>
    </w:p>
    <w:p w:rsidR="00C05A59" w:rsidRDefault="00C05A59" w:rsidP="00721492">
      <w:pPr>
        <w:spacing w:line="360" w:lineRule="auto"/>
        <w:rPr>
          <w:rFonts w:cs="David"/>
          <w:b/>
          <w:bCs/>
          <w:noProof/>
          <w:sz w:val="28"/>
          <w:szCs w:val="28"/>
          <w:rtl/>
        </w:rPr>
      </w:pPr>
    </w:p>
    <w:p w:rsidR="00C05A59" w:rsidRDefault="00C05A59" w:rsidP="00721492">
      <w:pPr>
        <w:spacing w:line="360" w:lineRule="auto"/>
        <w:rPr>
          <w:rFonts w:cs="David"/>
          <w:b/>
          <w:bCs/>
          <w:noProof/>
          <w:sz w:val="28"/>
          <w:szCs w:val="28"/>
          <w:rtl/>
        </w:rPr>
      </w:pPr>
    </w:p>
    <w:p w:rsidR="00E8632C" w:rsidRPr="00721492" w:rsidRDefault="00E8632C" w:rsidP="00721492">
      <w:pPr>
        <w:spacing w:line="360" w:lineRule="auto"/>
        <w:rPr>
          <w:rFonts w:cs="David"/>
          <w:sz w:val="28"/>
          <w:szCs w:val="28"/>
          <w:rtl/>
        </w:rPr>
      </w:pPr>
      <w:r w:rsidRPr="000B0025">
        <w:rPr>
          <w:rFonts w:cs="David" w:hint="cs"/>
          <w:b/>
          <w:bCs/>
          <w:noProof/>
          <w:sz w:val="28"/>
          <w:szCs w:val="28"/>
          <w:rtl/>
        </w:rPr>
        <w:lastRenderedPageBreak/>
        <w:t xml:space="preserve">גרף מספר </w:t>
      </w:r>
      <w:r w:rsidR="00721492" w:rsidRPr="000B0025">
        <w:rPr>
          <w:rFonts w:cs="David" w:hint="cs"/>
          <w:b/>
          <w:bCs/>
          <w:noProof/>
          <w:sz w:val="28"/>
          <w:szCs w:val="28"/>
          <w:rtl/>
        </w:rPr>
        <w:t>6</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'פייסבוק', מרשתת ואוכלוסייה עולמית.</w:t>
      </w:r>
    </w:p>
    <w:p w:rsidR="00DE1589" w:rsidRPr="00E8632C" w:rsidRDefault="00DE1589" w:rsidP="00E8632C">
      <w:pPr>
        <w:spacing w:line="360" w:lineRule="auto"/>
        <w:rPr>
          <w:rFonts w:cs="David"/>
          <w:sz w:val="28"/>
          <w:szCs w:val="28"/>
          <w:rtl/>
        </w:rPr>
      </w:pPr>
      <w:r>
        <w:rPr>
          <w:noProof/>
        </w:rPr>
        <w:drawing>
          <wp:inline distT="0" distB="0" distL="0" distR="0" wp14:anchorId="131B0015" wp14:editId="0DDEE9AB">
            <wp:extent cx="5285740" cy="2562225"/>
            <wp:effectExtent l="0" t="0" r="0" b="9525"/>
            <wp:docPr id="1" name="תמונה 1" descr="facebook-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us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602" cy="2563612"/>
                    </a:xfrm>
                    <a:prstGeom prst="rect">
                      <a:avLst/>
                    </a:prstGeom>
                    <a:noFill/>
                    <a:ln>
                      <a:noFill/>
                    </a:ln>
                  </pic:spPr>
                </pic:pic>
              </a:graphicData>
            </a:graphic>
          </wp:inline>
        </w:drawing>
      </w:r>
      <w:r w:rsidR="00A32D3A" w:rsidRPr="00A32D3A">
        <w:rPr>
          <w:rFonts w:cs="David" w:hint="cs"/>
          <w:sz w:val="24"/>
          <w:szCs w:val="24"/>
          <w:rtl/>
        </w:rPr>
        <w:t>אחוז החדירה של הרשת החברתית 'פייסבוק' בכלל האוכלוסייה העולמית, לצד אחוז החדירה של המרשתת באוכלוסייה זו.</w:t>
      </w:r>
    </w:p>
    <w:p w:rsidR="00DE1589" w:rsidRDefault="00DE1589" w:rsidP="00F119A4">
      <w:pPr>
        <w:spacing w:line="360" w:lineRule="auto"/>
        <w:jc w:val="both"/>
        <w:rPr>
          <w:rFonts w:cs="David"/>
          <w:b/>
          <w:bCs/>
          <w:sz w:val="28"/>
          <w:szCs w:val="28"/>
          <w:rtl/>
        </w:rPr>
      </w:pPr>
      <w:r>
        <w:rPr>
          <w:rFonts w:cs="David" w:hint="cs"/>
          <w:b/>
          <w:bCs/>
          <w:sz w:val="28"/>
          <w:szCs w:val="28"/>
          <w:rtl/>
        </w:rPr>
        <w:t>א.2 השימוש בטלפונים ניידים בעולם</w:t>
      </w:r>
    </w:p>
    <w:p w:rsidR="00E8632C" w:rsidRPr="00721492" w:rsidRDefault="00E8632C" w:rsidP="00721492">
      <w:pPr>
        <w:spacing w:line="360" w:lineRule="auto"/>
        <w:jc w:val="both"/>
        <w:rPr>
          <w:rFonts w:cs="David"/>
          <w:sz w:val="28"/>
          <w:szCs w:val="28"/>
          <w:rtl/>
        </w:rPr>
      </w:pPr>
      <w:r w:rsidRPr="000B0025">
        <w:rPr>
          <w:rFonts w:cs="David" w:hint="cs"/>
          <w:b/>
          <w:bCs/>
          <w:sz w:val="28"/>
          <w:szCs w:val="28"/>
          <w:rtl/>
        </w:rPr>
        <w:t xml:space="preserve">גרף מספר </w:t>
      </w:r>
      <w:r w:rsidR="00721492" w:rsidRPr="000B0025">
        <w:rPr>
          <w:rFonts w:cs="David" w:hint="cs"/>
          <w:b/>
          <w:bCs/>
          <w:sz w:val="28"/>
          <w:szCs w:val="28"/>
          <w:rtl/>
        </w:rPr>
        <w:t>7</w:t>
      </w:r>
      <w:r w:rsidRPr="000B0025">
        <w:rPr>
          <w:rFonts w:cs="David" w:hint="cs"/>
          <w:b/>
          <w:bCs/>
          <w:sz w:val="28"/>
          <w:szCs w:val="28"/>
          <w:rtl/>
        </w:rPr>
        <w:t xml:space="preserve"> </w:t>
      </w:r>
      <w:r w:rsidRPr="00721492">
        <w:rPr>
          <w:rFonts w:cs="David"/>
          <w:sz w:val="28"/>
          <w:szCs w:val="28"/>
          <w:rtl/>
        </w:rPr>
        <w:t>–</w:t>
      </w:r>
      <w:r w:rsidRPr="00721492">
        <w:rPr>
          <w:rFonts w:cs="David" w:hint="cs"/>
          <w:sz w:val="28"/>
          <w:szCs w:val="28"/>
          <w:rtl/>
        </w:rPr>
        <w:t xml:space="preserve"> יחס בין האוכלוסייה למספר המינויים בטלפון הנייד.</w:t>
      </w:r>
    </w:p>
    <w:p w:rsidR="00E8632C" w:rsidRDefault="00DE1589" w:rsidP="00E8632C">
      <w:pPr>
        <w:spacing w:line="360" w:lineRule="auto"/>
        <w:jc w:val="both"/>
        <w:rPr>
          <w:rFonts w:cs="David"/>
          <w:b/>
          <w:bCs/>
          <w:sz w:val="28"/>
          <w:szCs w:val="28"/>
          <w:rtl/>
        </w:rPr>
      </w:pPr>
      <w:r>
        <w:rPr>
          <w:noProof/>
        </w:rPr>
        <w:drawing>
          <wp:inline distT="0" distB="0" distL="0" distR="0" wp14:anchorId="3BB6F5E6" wp14:editId="75045BE8">
            <wp:extent cx="5088594" cy="2057400"/>
            <wp:effectExtent l="0" t="0" r="0" b="0"/>
            <wp:docPr id="3" name="תמונה 3" descr="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pho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1798" cy="2062739"/>
                    </a:xfrm>
                    <a:prstGeom prst="rect">
                      <a:avLst/>
                    </a:prstGeom>
                    <a:noFill/>
                    <a:ln>
                      <a:noFill/>
                    </a:ln>
                  </pic:spPr>
                </pic:pic>
              </a:graphicData>
            </a:graphic>
          </wp:inline>
        </w:drawing>
      </w:r>
    </w:p>
    <w:p w:rsidR="00DE1589" w:rsidRPr="00E8632C" w:rsidRDefault="00DE1589" w:rsidP="00E8632C">
      <w:pPr>
        <w:spacing w:line="360" w:lineRule="auto"/>
        <w:jc w:val="both"/>
        <w:rPr>
          <w:rFonts w:cs="David"/>
          <w:b/>
          <w:bCs/>
          <w:sz w:val="28"/>
          <w:szCs w:val="28"/>
          <w:rtl/>
        </w:rPr>
      </w:pPr>
      <w:r w:rsidRPr="00163287">
        <w:rPr>
          <w:rFonts w:cs="David" w:hint="cs"/>
          <w:sz w:val="24"/>
          <w:szCs w:val="24"/>
          <w:rtl/>
        </w:rPr>
        <w:t>עלייה במספר המנויים בין 2005 לתחילת 2013. ניתן לראות כי 6.8 מיליארד מנויים מתקרבים עד מאד ל-7.1 מיליארד תושבים בעולם וכי אחוז החדירה של הטלפון הסלולארי מתקרב ל-100%, כך שרווית השוק הגדלה, מקטינה את קצב הצמיחה.</w:t>
      </w:r>
      <w:r w:rsidRPr="00163287">
        <w:rPr>
          <w:rStyle w:val="a5"/>
          <w:rFonts w:cs="David"/>
          <w:sz w:val="24"/>
          <w:szCs w:val="24"/>
          <w:rtl/>
        </w:rPr>
        <w:footnoteReference w:id="18"/>
      </w:r>
    </w:p>
    <w:p w:rsidR="00DE1589" w:rsidRDefault="00DE1589" w:rsidP="00F119A4">
      <w:pPr>
        <w:spacing w:line="360" w:lineRule="auto"/>
        <w:jc w:val="both"/>
        <w:rPr>
          <w:rFonts w:cs="David"/>
          <w:b/>
          <w:bCs/>
          <w:sz w:val="28"/>
          <w:szCs w:val="28"/>
          <w:rtl/>
        </w:rPr>
      </w:pPr>
    </w:p>
    <w:p w:rsidR="00DE1589" w:rsidRDefault="00DE1589" w:rsidP="00F119A4">
      <w:pPr>
        <w:spacing w:line="360" w:lineRule="auto"/>
        <w:jc w:val="both"/>
        <w:rPr>
          <w:rFonts w:cs="David"/>
          <w:b/>
          <w:bCs/>
          <w:sz w:val="28"/>
          <w:szCs w:val="28"/>
          <w:rtl/>
        </w:rPr>
      </w:pPr>
    </w:p>
    <w:p w:rsidR="00DE1589" w:rsidRDefault="00DE1589" w:rsidP="00F119A4">
      <w:pPr>
        <w:spacing w:line="360" w:lineRule="auto"/>
        <w:jc w:val="both"/>
        <w:rPr>
          <w:rFonts w:cs="David"/>
          <w:b/>
          <w:bCs/>
          <w:sz w:val="28"/>
          <w:szCs w:val="28"/>
          <w:rtl/>
        </w:rPr>
      </w:pPr>
    </w:p>
    <w:p w:rsidR="00DE1589" w:rsidRDefault="00DE1589" w:rsidP="00C05A59">
      <w:pPr>
        <w:spacing w:line="360" w:lineRule="auto"/>
        <w:jc w:val="both"/>
        <w:rPr>
          <w:rFonts w:cs="David"/>
          <w:b/>
          <w:bCs/>
          <w:sz w:val="28"/>
          <w:szCs w:val="28"/>
          <w:rtl/>
        </w:rPr>
      </w:pPr>
      <w:r w:rsidRPr="00C2084F">
        <w:rPr>
          <w:rFonts w:cs="David" w:hint="cs"/>
          <w:b/>
          <w:bCs/>
          <w:sz w:val="28"/>
          <w:szCs w:val="28"/>
          <w:rtl/>
        </w:rPr>
        <w:lastRenderedPageBreak/>
        <w:t>א.</w:t>
      </w:r>
      <w:r>
        <w:rPr>
          <w:rFonts w:cs="David" w:hint="cs"/>
          <w:b/>
          <w:bCs/>
          <w:sz w:val="28"/>
          <w:szCs w:val="28"/>
          <w:rtl/>
        </w:rPr>
        <w:t>3</w:t>
      </w:r>
      <w:r w:rsidR="000D3F74">
        <w:rPr>
          <w:rFonts w:cs="David" w:hint="cs"/>
          <w:b/>
          <w:bCs/>
          <w:sz w:val="28"/>
          <w:szCs w:val="28"/>
          <w:rtl/>
        </w:rPr>
        <w:t xml:space="preserve"> </w:t>
      </w:r>
      <w:r w:rsidRPr="00C2084F">
        <w:rPr>
          <w:rFonts w:cs="David" w:hint="cs"/>
          <w:b/>
          <w:bCs/>
          <w:sz w:val="28"/>
          <w:szCs w:val="28"/>
          <w:rtl/>
        </w:rPr>
        <w:t xml:space="preserve">נתונים </w:t>
      </w:r>
      <w:r>
        <w:rPr>
          <w:rFonts w:cs="David" w:hint="cs"/>
          <w:b/>
          <w:bCs/>
          <w:sz w:val="28"/>
          <w:szCs w:val="28"/>
          <w:rtl/>
        </w:rPr>
        <w:t>ה</w:t>
      </w:r>
      <w:r w:rsidRPr="00C2084F">
        <w:rPr>
          <w:rFonts w:cs="David" w:hint="cs"/>
          <w:b/>
          <w:bCs/>
          <w:sz w:val="28"/>
          <w:szCs w:val="28"/>
          <w:rtl/>
        </w:rPr>
        <w:t xml:space="preserve">רלוונטיים לישראל </w:t>
      </w:r>
      <w:r w:rsidR="00C05A59">
        <w:rPr>
          <w:rFonts w:cs="David" w:hint="cs"/>
          <w:b/>
          <w:bCs/>
          <w:sz w:val="28"/>
          <w:szCs w:val="28"/>
          <w:rtl/>
        </w:rPr>
        <w:t xml:space="preserve"> - </w:t>
      </w:r>
      <w:r>
        <w:rPr>
          <w:rFonts w:cs="David" w:hint="cs"/>
          <w:b/>
          <w:bCs/>
          <w:sz w:val="28"/>
          <w:szCs w:val="28"/>
          <w:rtl/>
        </w:rPr>
        <w:t>סיכום</w:t>
      </w:r>
      <w:r w:rsidR="00932937">
        <w:rPr>
          <w:rFonts w:cs="David" w:hint="cs"/>
          <w:b/>
          <w:bCs/>
          <w:sz w:val="28"/>
          <w:szCs w:val="28"/>
          <w:rtl/>
        </w:rPr>
        <w:t xml:space="preserve"> שנת</w:t>
      </w:r>
      <w:r>
        <w:rPr>
          <w:rFonts w:cs="David" w:hint="cs"/>
          <w:b/>
          <w:bCs/>
          <w:sz w:val="28"/>
          <w:szCs w:val="28"/>
          <w:rtl/>
        </w:rPr>
        <w:t xml:space="preserve"> 2016</w:t>
      </w:r>
    </w:p>
    <w:p w:rsidR="00950DCF" w:rsidRDefault="00DE1589" w:rsidP="0061305B">
      <w:pPr>
        <w:spacing w:line="360" w:lineRule="auto"/>
        <w:jc w:val="both"/>
        <w:rPr>
          <w:rFonts w:cs="David"/>
          <w:sz w:val="28"/>
          <w:szCs w:val="28"/>
          <w:rtl/>
        </w:rPr>
      </w:pPr>
      <w:r>
        <w:rPr>
          <w:rFonts w:cs="David" w:hint="cs"/>
          <w:sz w:val="28"/>
          <w:szCs w:val="28"/>
          <w:rtl/>
        </w:rPr>
        <w:t>לאחר שהו</w:t>
      </w:r>
      <w:r w:rsidR="005B6916">
        <w:rPr>
          <w:rFonts w:cs="David" w:hint="cs"/>
          <w:sz w:val="28"/>
          <w:szCs w:val="28"/>
          <w:rtl/>
        </w:rPr>
        <w:t>צגו</w:t>
      </w:r>
      <w:r>
        <w:rPr>
          <w:rFonts w:cs="David" w:hint="cs"/>
          <w:sz w:val="28"/>
          <w:szCs w:val="28"/>
          <w:rtl/>
        </w:rPr>
        <w:t xml:space="preserve"> הנתונים</w:t>
      </w:r>
      <w:r w:rsidR="000D3F74">
        <w:rPr>
          <w:rFonts w:cs="David" w:hint="cs"/>
          <w:sz w:val="28"/>
          <w:szCs w:val="28"/>
          <w:rtl/>
        </w:rPr>
        <w:t>,</w:t>
      </w:r>
      <w:r>
        <w:rPr>
          <w:rFonts w:cs="David" w:hint="cs"/>
          <w:sz w:val="28"/>
          <w:szCs w:val="28"/>
          <w:rtl/>
        </w:rPr>
        <w:t xml:space="preserve"> המשקפים את ההתפתחות העולמית בת</w:t>
      </w:r>
      <w:r w:rsidR="00942404">
        <w:rPr>
          <w:rFonts w:cs="David" w:hint="cs"/>
          <w:sz w:val="28"/>
          <w:szCs w:val="28"/>
          <w:rtl/>
        </w:rPr>
        <w:t>ח</w:t>
      </w:r>
      <w:r>
        <w:rPr>
          <w:rFonts w:cs="David" w:hint="cs"/>
          <w:sz w:val="28"/>
          <w:szCs w:val="28"/>
          <w:rtl/>
        </w:rPr>
        <w:t>ום המרשתת והרשתות החברתיות, תפנה העבודה לסקור בקצרה את ה</w:t>
      </w:r>
      <w:r w:rsidR="00556016">
        <w:rPr>
          <w:rFonts w:cs="David" w:hint="cs"/>
          <w:sz w:val="28"/>
          <w:szCs w:val="28"/>
          <w:rtl/>
        </w:rPr>
        <w:t xml:space="preserve">מצב </w:t>
      </w:r>
      <w:r w:rsidR="00942404">
        <w:rPr>
          <w:rFonts w:cs="David" w:hint="cs"/>
          <w:sz w:val="28"/>
          <w:szCs w:val="28"/>
          <w:rtl/>
        </w:rPr>
        <w:t>כ</w:t>
      </w:r>
      <w:r w:rsidR="000E7545">
        <w:rPr>
          <w:rFonts w:cs="David" w:hint="cs"/>
          <w:sz w:val="28"/>
          <w:szCs w:val="28"/>
          <w:rtl/>
        </w:rPr>
        <w:t>יום במדינת ישראל</w:t>
      </w:r>
      <w:r w:rsidR="001F46B9">
        <w:rPr>
          <w:rFonts w:cs="David" w:hint="cs"/>
          <w:sz w:val="28"/>
          <w:szCs w:val="28"/>
          <w:rtl/>
        </w:rPr>
        <w:t>.</w:t>
      </w:r>
    </w:p>
    <w:p w:rsidR="00950DCF" w:rsidRPr="000D3F74" w:rsidRDefault="00950DCF" w:rsidP="000D3F74">
      <w:pPr>
        <w:pStyle w:val="a6"/>
        <w:numPr>
          <w:ilvl w:val="0"/>
          <w:numId w:val="19"/>
        </w:numPr>
        <w:spacing w:line="360" w:lineRule="auto"/>
        <w:ind w:left="360"/>
        <w:jc w:val="both"/>
        <w:rPr>
          <w:rFonts w:cs="David"/>
          <w:b/>
          <w:bCs/>
          <w:sz w:val="28"/>
          <w:szCs w:val="28"/>
          <w:rtl/>
        </w:rPr>
      </w:pPr>
      <w:r w:rsidRPr="000D3F74">
        <w:rPr>
          <w:rFonts w:cs="David" w:hint="cs"/>
          <w:b/>
          <w:bCs/>
          <w:sz w:val="28"/>
          <w:szCs w:val="28"/>
          <w:rtl/>
        </w:rPr>
        <w:t>שימוש במרשתת</w:t>
      </w:r>
    </w:p>
    <w:p w:rsidR="00086FA5" w:rsidRDefault="000E7545" w:rsidP="00431FFB">
      <w:pPr>
        <w:spacing w:line="360" w:lineRule="auto"/>
        <w:jc w:val="both"/>
        <w:rPr>
          <w:rFonts w:cs="David"/>
          <w:sz w:val="28"/>
          <w:szCs w:val="28"/>
          <w:rtl/>
        </w:rPr>
      </w:pPr>
      <w:r>
        <w:rPr>
          <w:rFonts w:cs="David" w:hint="cs"/>
          <w:sz w:val="28"/>
          <w:szCs w:val="28"/>
          <w:rtl/>
        </w:rPr>
        <w:t xml:space="preserve">סיכום שנת 2016 </w:t>
      </w:r>
      <w:r w:rsidR="00431FFB">
        <w:rPr>
          <w:rFonts w:cs="David" w:hint="cs"/>
          <w:sz w:val="28"/>
          <w:szCs w:val="28"/>
          <w:rtl/>
        </w:rPr>
        <w:t>מעיד</w:t>
      </w:r>
      <w:r>
        <w:rPr>
          <w:rFonts w:cs="David" w:hint="cs"/>
          <w:sz w:val="28"/>
          <w:szCs w:val="28"/>
          <w:rtl/>
        </w:rPr>
        <w:t xml:space="preserve"> כי</w:t>
      </w:r>
      <w:r w:rsidR="00103CA9">
        <w:rPr>
          <w:rFonts w:cs="David" w:hint="cs"/>
          <w:sz w:val="28"/>
          <w:szCs w:val="28"/>
          <w:rtl/>
        </w:rPr>
        <w:t xml:space="preserve"> </w:t>
      </w:r>
      <w:r w:rsidR="00103CA9" w:rsidRPr="00A84F4E">
        <w:rPr>
          <w:rFonts w:cs="David" w:hint="cs"/>
          <w:b/>
          <w:bCs/>
          <w:sz w:val="28"/>
          <w:szCs w:val="28"/>
          <w:rtl/>
        </w:rPr>
        <w:t>השימוש במרשתת הינו נפוץ ביותר במדינה</w:t>
      </w:r>
      <w:r w:rsidR="00103CA9">
        <w:rPr>
          <w:rFonts w:cs="David" w:hint="cs"/>
          <w:sz w:val="28"/>
          <w:szCs w:val="28"/>
          <w:rtl/>
        </w:rPr>
        <w:t xml:space="preserve"> עם </w:t>
      </w:r>
      <w:r>
        <w:rPr>
          <w:rFonts w:cs="David" w:hint="cs"/>
          <w:sz w:val="28"/>
          <w:szCs w:val="28"/>
          <w:rtl/>
        </w:rPr>
        <w:t xml:space="preserve"> </w:t>
      </w:r>
      <w:r w:rsidRPr="00103CA9">
        <w:rPr>
          <w:rFonts w:cs="David" w:hint="cs"/>
          <w:b/>
          <w:bCs/>
          <w:sz w:val="28"/>
          <w:szCs w:val="28"/>
          <w:rtl/>
        </w:rPr>
        <w:t xml:space="preserve">6.4 מיליון </w:t>
      </w:r>
      <w:r>
        <w:rPr>
          <w:rFonts w:cs="David" w:hint="cs"/>
          <w:sz w:val="28"/>
          <w:szCs w:val="28"/>
          <w:rtl/>
        </w:rPr>
        <w:t xml:space="preserve">ישראלים </w:t>
      </w:r>
      <w:r w:rsidR="00103CA9">
        <w:rPr>
          <w:rFonts w:cs="David" w:hint="cs"/>
          <w:sz w:val="28"/>
          <w:szCs w:val="28"/>
          <w:rtl/>
        </w:rPr>
        <w:t>ה</w:t>
      </w:r>
      <w:r>
        <w:rPr>
          <w:rFonts w:cs="David" w:hint="cs"/>
          <w:sz w:val="28"/>
          <w:szCs w:val="28"/>
          <w:rtl/>
        </w:rPr>
        <w:t>מחוברים למרשתת.</w:t>
      </w:r>
      <w:r>
        <w:rPr>
          <w:rStyle w:val="a5"/>
          <w:rFonts w:cs="David"/>
          <w:sz w:val="28"/>
          <w:szCs w:val="28"/>
          <w:rtl/>
        </w:rPr>
        <w:footnoteReference w:id="19"/>
      </w:r>
      <w:r>
        <w:rPr>
          <w:rFonts w:cs="David" w:hint="cs"/>
          <w:sz w:val="28"/>
          <w:szCs w:val="28"/>
          <w:rtl/>
        </w:rPr>
        <w:t xml:space="preserve"> </w:t>
      </w:r>
      <w:r w:rsidR="00086FA5">
        <w:rPr>
          <w:rFonts w:cs="David" w:hint="cs"/>
          <w:sz w:val="28"/>
          <w:szCs w:val="28"/>
          <w:rtl/>
        </w:rPr>
        <w:t>מסקר שבוצע ביוני 2016 בקרב האוכלוסייה הכללית בישראל</w:t>
      </w:r>
      <w:r w:rsidR="00086FA5">
        <w:rPr>
          <w:rStyle w:val="a5"/>
          <w:rFonts w:cs="David"/>
          <w:sz w:val="28"/>
          <w:szCs w:val="28"/>
          <w:rtl/>
        </w:rPr>
        <w:footnoteReference w:id="20"/>
      </w:r>
      <w:r w:rsidR="00086FA5">
        <w:rPr>
          <w:rFonts w:cs="David" w:hint="cs"/>
          <w:sz w:val="28"/>
          <w:szCs w:val="28"/>
          <w:rtl/>
        </w:rPr>
        <w:t xml:space="preserve">, עולה כי </w:t>
      </w:r>
      <w:r w:rsidR="00086FA5" w:rsidRPr="002D3BEB">
        <w:rPr>
          <w:rFonts w:cs="David" w:hint="cs"/>
          <w:b/>
          <w:bCs/>
          <w:sz w:val="28"/>
          <w:szCs w:val="28"/>
          <w:rtl/>
        </w:rPr>
        <w:t xml:space="preserve">89% </w:t>
      </w:r>
      <w:r w:rsidR="00086FA5" w:rsidRPr="00761161">
        <w:rPr>
          <w:rFonts w:cs="David"/>
          <w:sz w:val="28"/>
          <w:szCs w:val="28"/>
          <w:rtl/>
        </w:rPr>
        <w:t xml:space="preserve">מהמגזר היהודי ואחרים בישראל (לא כולל המגזר הערבי) גולשים באינטרנט. מתוך אלו שאינם גולשים באינטרנט, </w:t>
      </w:r>
      <w:r w:rsidR="00AE1868">
        <w:rPr>
          <w:rFonts w:cs="David" w:hint="cs"/>
          <w:sz w:val="28"/>
          <w:szCs w:val="28"/>
          <w:rtl/>
        </w:rPr>
        <w:t xml:space="preserve">61% </w:t>
      </w:r>
      <w:r w:rsidR="00086FA5" w:rsidRPr="00761161">
        <w:rPr>
          <w:rFonts w:cs="David"/>
          <w:sz w:val="28"/>
          <w:szCs w:val="28"/>
          <w:rtl/>
        </w:rPr>
        <w:t xml:space="preserve">מעידים כי </w:t>
      </w:r>
      <w:r w:rsidR="00086FA5">
        <w:rPr>
          <w:rFonts w:cs="David" w:hint="cs"/>
          <w:sz w:val="28"/>
          <w:szCs w:val="28"/>
          <w:rtl/>
        </w:rPr>
        <w:t xml:space="preserve">אינם </w:t>
      </w:r>
      <w:r w:rsidR="00086FA5" w:rsidRPr="00761161">
        <w:rPr>
          <w:rFonts w:cs="David"/>
          <w:sz w:val="28"/>
          <w:szCs w:val="28"/>
          <w:rtl/>
        </w:rPr>
        <w:t>רוצים אינטרנט מסיבות דתיות</w:t>
      </w:r>
      <w:r w:rsidR="00AE1868">
        <w:rPr>
          <w:rFonts w:cs="David" w:hint="cs"/>
          <w:sz w:val="28"/>
          <w:szCs w:val="28"/>
          <w:rtl/>
        </w:rPr>
        <w:t>.</w:t>
      </w:r>
      <w:r w:rsidR="00086FA5">
        <w:rPr>
          <w:rFonts w:cs="David" w:hint="cs"/>
          <w:sz w:val="28"/>
          <w:szCs w:val="28"/>
          <w:rtl/>
        </w:rPr>
        <w:t xml:space="preserve"> </w:t>
      </w:r>
      <w:r w:rsidR="00086FA5" w:rsidRPr="00172686">
        <w:rPr>
          <w:rFonts w:cs="David"/>
          <w:sz w:val="28"/>
          <w:szCs w:val="28"/>
          <w:rtl/>
        </w:rPr>
        <w:t xml:space="preserve">אחוז הנחקרים שהעידו על עצמם כי אינם גולשים באינטרנט היה גבוה יותר באזור יהודה ושומרון </w:t>
      </w:r>
      <w:r w:rsidR="00431FFB">
        <w:rPr>
          <w:rFonts w:cs="David" w:hint="cs"/>
          <w:sz w:val="28"/>
          <w:szCs w:val="28"/>
          <w:rtl/>
        </w:rPr>
        <w:t>וע</w:t>
      </w:r>
      <w:r w:rsidR="00AE1868">
        <w:rPr>
          <w:rFonts w:cs="David" w:hint="cs"/>
          <w:sz w:val="28"/>
          <w:szCs w:val="28"/>
          <w:rtl/>
        </w:rPr>
        <w:t xml:space="preserve">מד על </w:t>
      </w:r>
      <w:r w:rsidR="00086FA5" w:rsidRPr="00172686">
        <w:rPr>
          <w:rFonts w:cs="David"/>
          <w:sz w:val="28"/>
          <w:szCs w:val="28"/>
          <w:rtl/>
        </w:rPr>
        <w:t>31% ובירושלים</w:t>
      </w:r>
      <w:r w:rsidR="00AE1868">
        <w:rPr>
          <w:rFonts w:cs="David" w:hint="cs"/>
          <w:sz w:val="28"/>
          <w:szCs w:val="28"/>
          <w:rtl/>
        </w:rPr>
        <w:t xml:space="preserve"> על </w:t>
      </w:r>
      <w:r w:rsidR="00086FA5">
        <w:rPr>
          <w:rFonts w:cs="David" w:hint="cs"/>
          <w:sz w:val="28"/>
          <w:szCs w:val="28"/>
          <w:rtl/>
        </w:rPr>
        <w:t>20%.</w:t>
      </w:r>
    </w:p>
    <w:p w:rsidR="00DE1589" w:rsidRPr="00A124AA" w:rsidRDefault="00DE1589" w:rsidP="00431FFB">
      <w:pPr>
        <w:spacing w:line="360" w:lineRule="auto"/>
        <w:jc w:val="both"/>
        <w:rPr>
          <w:rFonts w:cs="David"/>
          <w:sz w:val="28"/>
          <w:szCs w:val="28"/>
          <w:rtl/>
        </w:rPr>
      </w:pPr>
      <w:r w:rsidRPr="00A124AA">
        <w:rPr>
          <w:rFonts w:cs="David" w:hint="cs"/>
          <w:sz w:val="28"/>
          <w:szCs w:val="28"/>
          <w:rtl/>
        </w:rPr>
        <w:t>גיל רוזן, סמנכ"ל השיווק והחדשנות ב</w:t>
      </w:r>
      <w:r>
        <w:rPr>
          <w:rFonts w:cs="David" w:hint="cs"/>
          <w:sz w:val="28"/>
          <w:szCs w:val="28"/>
          <w:rtl/>
        </w:rPr>
        <w:t>'</w:t>
      </w:r>
      <w:r w:rsidRPr="00A124AA">
        <w:rPr>
          <w:rFonts w:cs="David" w:hint="cs"/>
          <w:sz w:val="28"/>
          <w:szCs w:val="28"/>
          <w:rtl/>
        </w:rPr>
        <w:t>בזק</w:t>
      </w:r>
      <w:r>
        <w:rPr>
          <w:rFonts w:cs="David" w:hint="cs"/>
          <w:sz w:val="28"/>
          <w:szCs w:val="28"/>
          <w:rtl/>
        </w:rPr>
        <w:t>'</w:t>
      </w:r>
      <w:r w:rsidRPr="00A124AA">
        <w:rPr>
          <w:rFonts w:cs="David" w:hint="cs"/>
          <w:sz w:val="28"/>
          <w:szCs w:val="28"/>
          <w:rtl/>
        </w:rPr>
        <w:t xml:space="preserve"> מסכם את שנת 2016</w:t>
      </w:r>
      <w:r w:rsidR="00E64902">
        <w:rPr>
          <w:rStyle w:val="a5"/>
          <w:rFonts w:cs="David"/>
          <w:sz w:val="28"/>
          <w:szCs w:val="28"/>
          <w:rtl/>
        </w:rPr>
        <w:footnoteReference w:id="21"/>
      </w:r>
      <w:r w:rsidRPr="00A124AA">
        <w:rPr>
          <w:rFonts w:cs="David" w:hint="cs"/>
          <w:sz w:val="28"/>
          <w:szCs w:val="28"/>
          <w:rtl/>
        </w:rPr>
        <w:t xml:space="preserve"> </w:t>
      </w:r>
      <w:r w:rsidR="00E64902">
        <w:rPr>
          <w:rFonts w:cs="David" w:hint="cs"/>
          <w:sz w:val="28"/>
          <w:szCs w:val="28"/>
          <w:rtl/>
        </w:rPr>
        <w:t>:</w:t>
      </w:r>
    </w:p>
    <w:p w:rsidR="00DE1589" w:rsidRDefault="00DE1589" w:rsidP="00E64902">
      <w:pPr>
        <w:spacing w:line="360" w:lineRule="auto"/>
        <w:ind w:left="737"/>
        <w:jc w:val="both"/>
        <w:rPr>
          <w:rFonts w:cs="David"/>
          <w:sz w:val="24"/>
          <w:szCs w:val="24"/>
          <w:rtl/>
        </w:rPr>
      </w:pPr>
      <w:r w:rsidRPr="00C15327">
        <w:rPr>
          <w:rFonts w:cs="David"/>
          <w:sz w:val="24"/>
          <w:szCs w:val="24"/>
          <w:rtl/>
        </w:rPr>
        <w:t xml:space="preserve">דוח מצב האינטרנט של </w:t>
      </w:r>
      <w:r w:rsidRPr="00C15327">
        <w:rPr>
          <w:rFonts w:cs="David" w:hint="cs"/>
          <w:sz w:val="24"/>
          <w:szCs w:val="24"/>
          <w:rtl/>
        </w:rPr>
        <w:t>'</w:t>
      </w:r>
      <w:r w:rsidRPr="00C15327">
        <w:rPr>
          <w:rFonts w:cs="David"/>
          <w:sz w:val="24"/>
          <w:szCs w:val="24"/>
          <w:rtl/>
        </w:rPr>
        <w:t>בזק</w:t>
      </w:r>
      <w:r w:rsidRPr="00C15327">
        <w:rPr>
          <w:rFonts w:cs="David" w:hint="cs"/>
          <w:sz w:val="24"/>
          <w:szCs w:val="24"/>
          <w:rtl/>
        </w:rPr>
        <w:t>'</w:t>
      </w:r>
      <w:r w:rsidRPr="00C15327">
        <w:rPr>
          <w:rFonts w:cs="David"/>
          <w:sz w:val="24"/>
          <w:szCs w:val="24"/>
          <w:rtl/>
        </w:rPr>
        <w:t xml:space="preserve"> מעיד השנה באופן מובהק ולאורך זמן כיצד החיים שלנו משתנים ובאיזה קצב מהיר. השימוש שלנו בפלטפורמות הדיגיטליות גדל בקצבים בלתי נתפסים, ואנחנו יותר ויותר מסתמכים על הסביבה הדיגיטלית בחיינו היו</w:t>
      </w:r>
      <w:r w:rsidRPr="00C15327">
        <w:rPr>
          <w:rFonts w:cs="David" w:hint="cs"/>
          <w:sz w:val="24"/>
          <w:szCs w:val="24"/>
          <w:rtl/>
        </w:rPr>
        <w:t>ם-</w:t>
      </w:r>
      <w:r w:rsidRPr="00C15327">
        <w:rPr>
          <w:rFonts w:cs="David"/>
          <w:sz w:val="24"/>
          <w:szCs w:val="24"/>
          <w:rtl/>
        </w:rPr>
        <w:t>יו</w:t>
      </w:r>
      <w:r w:rsidRPr="00C15327">
        <w:rPr>
          <w:rFonts w:cs="David" w:hint="cs"/>
          <w:sz w:val="24"/>
          <w:szCs w:val="24"/>
          <w:rtl/>
        </w:rPr>
        <w:t xml:space="preserve">ם. </w:t>
      </w:r>
      <w:r w:rsidRPr="00C15327">
        <w:rPr>
          <w:rFonts w:cs="David"/>
          <w:sz w:val="24"/>
          <w:szCs w:val="24"/>
          <w:rtl/>
        </w:rPr>
        <w:t>הצעירים ממשיכים להוביל באימוץ טכנולוגיות חדשניות, ומסמנים את המהפכות התרבותיות הנובעות מחדירת העולם הדיגיטלי לכל פן בחיינו</w:t>
      </w:r>
      <w:r w:rsidRPr="00C15327">
        <w:rPr>
          <w:rFonts w:cs="David" w:hint="cs"/>
          <w:sz w:val="24"/>
          <w:szCs w:val="24"/>
          <w:rtl/>
        </w:rPr>
        <w:t>.</w:t>
      </w:r>
    </w:p>
    <w:p w:rsidR="00544B36" w:rsidRDefault="00544B36" w:rsidP="00431FFB">
      <w:pPr>
        <w:spacing w:line="360" w:lineRule="auto"/>
        <w:jc w:val="both"/>
        <w:rPr>
          <w:rFonts w:cs="David"/>
          <w:sz w:val="28"/>
          <w:szCs w:val="28"/>
          <w:rtl/>
        </w:rPr>
      </w:pPr>
      <w:r w:rsidRPr="00544B36">
        <w:rPr>
          <w:rFonts w:cs="David" w:hint="cs"/>
          <w:sz w:val="28"/>
          <w:szCs w:val="28"/>
          <w:rtl/>
        </w:rPr>
        <w:t>גם הנתונים התשתיתיים מעידים על צמיחה בשימוש במרשתת: קצב הגל</w:t>
      </w:r>
      <w:r>
        <w:rPr>
          <w:rFonts w:cs="David" w:hint="cs"/>
          <w:sz w:val="28"/>
          <w:szCs w:val="28"/>
          <w:rtl/>
        </w:rPr>
        <w:t>י</w:t>
      </w:r>
      <w:r w:rsidRPr="00544B36">
        <w:rPr>
          <w:rFonts w:cs="David" w:hint="cs"/>
          <w:sz w:val="28"/>
          <w:szCs w:val="28"/>
          <w:rtl/>
        </w:rPr>
        <w:t xml:space="preserve">שה ממשיך לעלות בהתאם לשימושים המוגברים ברשת, כאשר רוחב הפס הממוצע באינטרנט הנייח עומד כיום על 65 מגה, </w:t>
      </w:r>
      <w:r w:rsidRPr="00544B36">
        <w:rPr>
          <w:rFonts w:cs="David" w:hint="cs"/>
          <w:b/>
          <w:bCs/>
          <w:sz w:val="28"/>
          <w:szCs w:val="28"/>
          <w:rtl/>
        </w:rPr>
        <w:t>עלייה של כ-30%</w:t>
      </w:r>
      <w:r w:rsidRPr="00544B36">
        <w:rPr>
          <w:rFonts w:cs="David" w:hint="cs"/>
          <w:sz w:val="28"/>
          <w:szCs w:val="28"/>
          <w:rtl/>
        </w:rPr>
        <w:t xml:space="preserve"> בהשוואה לשנה שעברה. הגולש הממוצע מוריד כיום קבצים בנפח של כ-4 גיגה ביום, </w:t>
      </w:r>
      <w:r w:rsidRPr="00544B36">
        <w:rPr>
          <w:rFonts w:cs="David" w:hint="cs"/>
          <w:b/>
          <w:bCs/>
          <w:sz w:val="28"/>
          <w:szCs w:val="28"/>
          <w:rtl/>
        </w:rPr>
        <w:t>עלייה של 38% תוך שנה.</w:t>
      </w:r>
      <w:r>
        <w:rPr>
          <w:rStyle w:val="a5"/>
          <w:rFonts w:cs="David"/>
          <w:b/>
          <w:bCs/>
          <w:sz w:val="28"/>
          <w:szCs w:val="28"/>
          <w:rtl/>
        </w:rPr>
        <w:footnoteReference w:id="22"/>
      </w:r>
    </w:p>
    <w:p w:rsidR="003F776A" w:rsidRDefault="003F776A" w:rsidP="005A293A">
      <w:pPr>
        <w:spacing w:line="360" w:lineRule="auto"/>
        <w:jc w:val="both"/>
        <w:rPr>
          <w:rFonts w:cs="David"/>
          <w:sz w:val="28"/>
          <w:szCs w:val="28"/>
          <w:rtl/>
        </w:rPr>
      </w:pPr>
    </w:p>
    <w:p w:rsidR="003F776A" w:rsidRDefault="003F776A" w:rsidP="005A293A">
      <w:pPr>
        <w:spacing w:line="360" w:lineRule="auto"/>
        <w:jc w:val="both"/>
        <w:rPr>
          <w:rFonts w:cs="David"/>
          <w:sz w:val="28"/>
          <w:szCs w:val="28"/>
          <w:rtl/>
        </w:rPr>
      </w:pPr>
    </w:p>
    <w:p w:rsidR="000D4C54" w:rsidRDefault="000D4C54" w:rsidP="005A293A">
      <w:pPr>
        <w:spacing w:line="360" w:lineRule="auto"/>
        <w:jc w:val="both"/>
        <w:rPr>
          <w:rFonts w:cs="David"/>
          <w:sz w:val="28"/>
          <w:szCs w:val="28"/>
          <w:rtl/>
        </w:rPr>
      </w:pPr>
    </w:p>
    <w:p w:rsidR="000D4C54" w:rsidRDefault="000D4C54" w:rsidP="005A293A">
      <w:pPr>
        <w:spacing w:line="360" w:lineRule="auto"/>
        <w:jc w:val="both"/>
        <w:rPr>
          <w:rFonts w:cs="David"/>
          <w:sz w:val="28"/>
          <w:szCs w:val="28"/>
          <w:rtl/>
        </w:rPr>
      </w:pPr>
    </w:p>
    <w:p w:rsidR="00544B36" w:rsidRDefault="00544B36" w:rsidP="005A293A">
      <w:pPr>
        <w:spacing w:line="360" w:lineRule="auto"/>
        <w:jc w:val="both"/>
        <w:rPr>
          <w:rFonts w:cs="David"/>
          <w:sz w:val="24"/>
          <w:szCs w:val="24"/>
          <w:rtl/>
        </w:rPr>
      </w:pPr>
      <w:r>
        <w:rPr>
          <w:rFonts w:cs="David" w:hint="cs"/>
          <w:sz w:val="28"/>
          <w:szCs w:val="28"/>
          <w:rtl/>
        </w:rPr>
        <w:t>להלן יוצגו ממצאים בנוגע להבדל המגדרי בשימוש במרשתת ולמידת ההשכלה של משתמשי המרשתת:</w:t>
      </w:r>
    </w:p>
    <w:tbl>
      <w:tblPr>
        <w:bidiVisual/>
        <w:tblW w:w="6946" w:type="dxa"/>
        <w:tblInd w:w="734" w:type="dxa"/>
        <w:tblLook w:val="04A0" w:firstRow="1" w:lastRow="0" w:firstColumn="1" w:lastColumn="0" w:noHBand="0" w:noVBand="1"/>
      </w:tblPr>
      <w:tblGrid>
        <w:gridCol w:w="2539"/>
        <w:gridCol w:w="846"/>
        <w:gridCol w:w="846"/>
        <w:gridCol w:w="2715"/>
      </w:tblGrid>
      <w:tr w:rsidR="004871BE" w:rsidRPr="004871BE" w:rsidTr="00544B36">
        <w:trPr>
          <w:trHeight w:val="426"/>
        </w:trPr>
        <w:tc>
          <w:tcPr>
            <w:tcW w:w="6946" w:type="dxa"/>
            <w:gridSpan w:val="4"/>
            <w:tcBorders>
              <w:top w:val="nil"/>
              <w:left w:val="nil"/>
              <w:bottom w:val="double" w:sz="6" w:space="0" w:color="auto"/>
              <w:right w:val="nil"/>
            </w:tcBorders>
            <w:shd w:val="clear" w:color="auto" w:fill="auto"/>
            <w:noWrap/>
            <w:vAlign w:val="center"/>
          </w:tcPr>
          <w:p w:rsidR="00A82038" w:rsidRPr="004871BE" w:rsidRDefault="005A293A" w:rsidP="000B0025">
            <w:pPr>
              <w:spacing w:after="0" w:line="240" w:lineRule="auto"/>
              <w:ind w:left="-113"/>
              <w:rPr>
                <w:rFonts w:ascii="Arial" w:eastAsia="Times New Roman" w:hAnsi="Arial" w:cs="Arial"/>
                <w:b/>
                <w:bCs/>
                <w:color w:val="000000"/>
              </w:rPr>
            </w:pPr>
            <w:r w:rsidRPr="005A293A">
              <w:rPr>
                <w:rFonts w:cs="David" w:hint="cs"/>
                <w:b/>
                <w:bCs/>
                <w:sz w:val="28"/>
                <w:szCs w:val="28"/>
                <w:rtl/>
              </w:rPr>
              <w:t>טבלה מספר 2</w:t>
            </w:r>
            <w:r w:rsidRPr="005A293A">
              <w:rPr>
                <w:rFonts w:cs="David" w:hint="cs"/>
                <w:sz w:val="28"/>
                <w:szCs w:val="28"/>
                <w:rtl/>
              </w:rPr>
              <w:t xml:space="preserve"> </w:t>
            </w:r>
            <w:r w:rsidRPr="005A293A">
              <w:rPr>
                <w:rFonts w:cs="David"/>
                <w:sz w:val="28"/>
                <w:szCs w:val="28"/>
                <w:rtl/>
              </w:rPr>
              <w:t>–</w:t>
            </w:r>
            <w:r w:rsidRPr="005A293A">
              <w:rPr>
                <w:rFonts w:cs="David" w:hint="cs"/>
                <w:sz w:val="28"/>
                <w:szCs w:val="28"/>
                <w:rtl/>
              </w:rPr>
              <w:t xml:space="preserve"> גלישה במרשתת לפי מגדר</w:t>
            </w:r>
            <w:r w:rsidRPr="005A293A">
              <w:rPr>
                <w:rStyle w:val="a5"/>
                <w:rFonts w:cs="David"/>
                <w:sz w:val="28"/>
                <w:szCs w:val="28"/>
                <w:rtl/>
              </w:rPr>
              <w:footnoteReference w:id="23"/>
            </w:r>
          </w:p>
        </w:tc>
      </w:tr>
      <w:tr w:rsidR="004871BE" w:rsidRPr="004871BE" w:rsidTr="004871BE">
        <w:trPr>
          <w:trHeight w:val="915"/>
        </w:trPr>
        <w:tc>
          <w:tcPr>
            <w:tcW w:w="2539" w:type="dxa"/>
            <w:tcBorders>
              <w:top w:val="nil"/>
              <w:left w:val="double" w:sz="6" w:space="0" w:color="auto"/>
              <w:bottom w:val="dotDash" w:sz="4" w:space="0" w:color="auto"/>
              <w:right w:val="dotDash" w:sz="4" w:space="0" w:color="auto"/>
            </w:tcBorders>
            <w:shd w:val="clear" w:color="000000" w:fill="D9D9D9"/>
            <w:noWrap/>
            <w:vAlign w:val="bottom"/>
            <w:hideMark/>
          </w:tcPr>
          <w:p w:rsidR="004871BE" w:rsidRPr="004871BE" w:rsidRDefault="004871BE" w:rsidP="00A82038">
            <w:pPr>
              <w:spacing w:after="0" w:line="240" w:lineRule="auto"/>
              <w:jc w:val="center"/>
              <w:rPr>
                <w:rFonts w:ascii="Arial" w:eastAsia="Times New Roman" w:hAnsi="Arial" w:cs="David"/>
                <w:b/>
                <w:bCs/>
                <w:color w:val="000000"/>
                <w:rtl/>
              </w:rPr>
            </w:pPr>
            <w:r w:rsidRPr="004871BE">
              <w:rPr>
                <w:rFonts w:ascii="Arial" w:eastAsia="Times New Roman" w:hAnsi="Arial" w:cs="David" w:hint="cs"/>
                <w:b/>
                <w:bCs/>
                <w:color w:val="000000"/>
                <w:rtl/>
              </w:rPr>
              <w:t>האם גולש באינטרנט</w:t>
            </w:r>
          </w:p>
        </w:tc>
        <w:tc>
          <w:tcPr>
            <w:tcW w:w="846" w:type="dxa"/>
            <w:tcBorders>
              <w:top w:val="nil"/>
              <w:left w:val="dotDash" w:sz="4" w:space="0" w:color="auto"/>
              <w:bottom w:val="dotDash" w:sz="4" w:space="0" w:color="auto"/>
              <w:right w:val="dotDash" w:sz="4" w:space="0" w:color="auto"/>
            </w:tcBorders>
            <w:shd w:val="clear" w:color="000000" w:fill="D9D9D9"/>
            <w:noWrap/>
            <w:vAlign w:val="center"/>
            <w:hideMark/>
          </w:tcPr>
          <w:p w:rsidR="004871BE" w:rsidRPr="004871BE" w:rsidRDefault="004871BE" w:rsidP="00A82038">
            <w:pPr>
              <w:spacing w:after="0" w:line="240" w:lineRule="auto"/>
              <w:jc w:val="center"/>
              <w:rPr>
                <w:rFonts w:ascii="Arial" w:eastAsia="Times New Roman" w:hAnsi="Arial" w:cs="David"/>
                <w:b/>
                <w:bCs/>
                <w:color w:val="000000"/>
                <w:rtl/>
              </w:rPr>
            </w:pPr>
            <w:r w:rsidRPr="004871BE">
              <w:rPr>
                <w:rFonts w:ascii="Arial" w:eastAsia="Times New Roman" w:hAnsi="Arial" w:cs="David" w:hint="cs"/>
                <w:b/>
                <w:bCs/>
                <w:color w:val="000000"/>
                <w:rtl/>
              </w:rPr>
              <w:t>גברים</w:t>
            </w:r>
          </w:p>
        </w:tc>
        <w:tc>
          <w:tcPr>
            <w:tcW w:w="846" w:type="dxa"/>
            <w:tcBorders>
              <w:top w:val="nil"/>
              <w:left w:val="dotDash" w:sz="4" w:space="0" w:color="auto"/>
              <w:bottom w:val="dotDash" w:sz="4" w:space="0" w:color="auto"/>
              <w:right w:val="dotDash" w:sz="4" w:space="0" w:color="auto"/>
            </w:tcBorders>
            <w:shd w:val="clear" w:color="000000" w:fill="D9D9D9"/>
            <w:noWrap/>
            <w:vAlign w:val="center"/>
            <w:hideMark/>
          </w:tcPr>
          <w:p w:rsidR="004871BE" w:rsidRPr="004871BE" w:rsidRDefault="004871BE" w:rsidP="00A82038">
            <w:pPr>
              <w:spacing w:after="0" w:line="240" w:lineRule="auto"/>
              <w:jc w:val="center"/>
              <w:rPr>
                <w:rFonts w:ascii="Arial" w:eastAsia="Times New Roman" w:hAnsi="Arial" w:cs="David"/>
                <w:b/>
                <w:bCs/>
                <w:color w:val="000000"/>
                <w:rtl/>
              </w:rPr>
            </w:pPr>
            <w:r w:rsidRPr="004871BE">
              <w:rPr>
                <w:rFonts w:ascii="Arial" w:eastAsia="Times New Roman" w:hAnsi="Arial" w:cs="David" w:hint="cs"/>
                <w:b/>
                <w:bCs/>
                <w:color w:val="000000"/>
                <w:rtl/>
              </w:rPr>
              <w:t>נשים</w:t>
            </w:r>
          </w:p>
        </w:tc>
        <w:tc>
          <w:tcPr>
            <w:tcW w:w="2715" w:type="dxa"/>
            <w:tcBorders>
              <w:top w:val="nil"/>
              <w:left w:val="dotDash" w:sz="4" w:space="0" w:color="auto"/>
              <w:bottom w:val="dotDash" w:sz="4" w:space="0" w:color="auto"/>
              <w:right w:val="double" w:sz="6" w:space="0" w:color="auto"/>
            </w:tcBorders>
            <w:shd w:val="clear" w:color="000000" w:fill="D9D9D9"/>
            <w:noWrap/>
            <w:vAlign w:val="center"/>
            <w:hideMark/>
          </w:tcPr>
          <w:p w:rsidR="004871BE" w:rsidRPr="004871BE" w:rsidRDefault="004871BE" w:rsidP="00A82038">
            <w:pPr>
              <w:spacing w:after="0" w:line="240" w:lineRule="auto"/>
              <w:jc w:val="center"/>
              <w:rPr>
                <w:rFonts w:ascii="Arial" w:eastAsia="Times New Roman" w:hAnsi="Arial" w:cs="David"/>
                <w:b/>
                <w:bCs/>
                <w:color w:val="000000"/>
                <w:rtl/>
              </w:rPr>
            </w:pPr>
            <w:r w:rsidRPr="004871BE">
              <w:rPr>
                <w:rFonts w:ascii="Arial" w:eastAsia="Times New Roman" w:hAnsi="Arial" w:cs="David" w:hint="cs"/>
                <w:b/>
                <w:bCs/>
                <w:color w:val="000000"/>
                <w:rtl/>
              </w:rPr>
              <w:t>סה''כ</w:t>
            </w:r>
          </w:p>
        </w:tc>
      </w:tr>
      <w:tr w:rsidR="004871BE" w:rsidRPr="004871BE" w:rsidTr="004871BE">
        <w:trPr>
          <w:trHeight w:val="675"/>
        </w:trPr>
        <w:tc>
          <w:tcPr>
            <w:tcW w:w="2539" w:type="dxa"/>
            <w:tcBorders>
              <w:top w:val="nil"/>
              <w:left w:val="double" w:sz="6" w:space="0" w:color="auto"/>
              <w:bottom w:val="dotDash" w:sz="4" w:space="0" w:color="auto"/>
              <w:right w:val="dotDash" w:sz="4" w:space="0" w:color="auto"/>
            </w:tcBorders>
            <w:shd w:val="clear" w:color="000000" w:fill="F2F2F2"/>
            <w:vAlign w:val="center"/>
            <w:hideMark/>
          </w:tcPr>
          <w:p w:rsidR="004871BE" w:rsidRPr="004871BE" w:rsidRDefault="004871BE" w:rsidP="00A82038">
            <w:pPr>
              <w:spacing w:after="0" w:line="240" w:lineRule="auto"/>
              <w:rPr>
                <w:rFonts w:ascii="Arial" w:eastAsia="Times New Roman" w:hAnsi="Arial" w:cs="David"/>
                <w:b/>
                <w:bCs/>
                <w:color w:val="000000"/>
              </w:rPr>
            </w:pPr>
            <w:r w:rsidRPr="004871BE">
              <w:rPr>
                <w:rFonts w:ascii="Arial" w:eastAsia="Times New Roman" w:hAnsi="Arial" w:cs="David" w:hint="cs"/>
                <w:b/>
                <w:bCs/>
                <w:color w:val="000000"/>
                <w:rtl/>
              </w:rPr>
              <w:t xml:space="preserve">סה''כ </w:t>
            </w:r>
          </w:p>
        </w:tc>
        <w:tc>
          <w:tcPr>
            <w:tcW w:w="846" w:type="dxa"/>
            <w:tcBorders>
              <w:top w:val="nil"/>
              <w:left w:val="dotDash" w:sz="4" w:space="0" w:color="auto"/>
              <w:bottom w:val="dotDash" w:sz="4" w:space="0" w:color="auto"/>
              <w:right w:val="dotDash" w:sz="4" w:space="0" w:color="auto"/>
            </w:tcBorders>
            <w:shd w:val="clear" w:color="000000" w:fill="F2F2F2"/>
            <w:noWrap/>
            <w:vAlign w:val="center"/>
            <w:hideMark/>
          </w:tcPr>
          <w:p w:rsidR="004871BE" w:rsidRPr="004871BE" w:rsidRDefault="004871BE" w:rsidP="00A82038">
            <w:pPr>
              <w:bidi w:val="0"/>
              <w:spacing w:after="0" w:line="240" w:lineRule="auto"/>
              <w:jc w:val="center"/>
              <w:rPr>
                <w:rFonts w:ascii="Arial" w:eastAsia="Times New Roman" w:hAnsi="Arial" w:cs="David"/>
                <w:color w:val="000000"/>
                <w:rtl/>
              </w:rPr>
            </w:pPr>
            <w:r w:rsidRPr="004871BE">
              <w:rPr>
                <w:rFonts w:ascii="Arial" w:eastAsia="Times New Roman" w:hAnsi="Arial" w:cs="David" w:hint="cs"/>
                <w:color w:val="000000"/>
              </w:rPr>
              <w:t>100%</w:t>
            </w:r>
          </w:p>
        </w:tc>
        <w:tc>
          <w:tcPr>
            <w:tcW w:w="846" w:type="dxa"/>
            <w:tcBorders>
              <w:top w:val="nil"/>
              <w:left w:val="dotDash" w:sz="4" w:space="0" w:color="auto"/>
              <w:bottom w:val="dotDash" w:sz="4" w:space="0" w:color="auto"/>
              <w:right w:val="dotDash" w:sz="4" w:space="0" w:color="auto"/>
            </w:tcBorders>
            <w:shd w:val="clear" w:color="000000" w:fill="F2F2F2"/>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100%</w:t>
            </w:r>
          </w:p>
        </w:tc>
        <w:tc>
          <w:tcPr>
            <w:tcW w:w="2715" w:type="dxa"/>
            <w:tcBorders>
              <w:top w:val="nil"/>
              <w:left w:val="dotDash" w:sz="4" w:space="0" w:color="auto"/>
              <w:bottom w:val="dotDash" w:sz="4" w:space="0" w:color="auto"/>
              <w:right w:val="double" w:sz="6" w:space="0" w:color="auto"/>
            </w:tcBorders>
            <w:shd w:val="clear" w:color="000000" w:fill="F2F2F2"/>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100%</w:t>
            </w:r>
          </w:p>
        </w:tc>
      </w:tr>
      <w:tr w:rsidR="004871BE" w:rsidRPr="004871BE" w:rsidTr="004871BE">
        <w:trPr>
          <w:trHeight w:val="675"/>
        </w:trPr>
        <w:tc>
          <w:tcPr>
            <w:tcW w:w="2539" w:type="dxa"/>
            <w:tcBorders>
              <w:top w:val="nil"/>
              <w:left w:val="double" w:sz="6" w:space="0" w:color="auto"/>
              <w:bottom w:val="dotDash" w:sz="4" w:space="0" w:color="auto"/>
              <w:right w:val="dotDash" w:sz="4" w:space="0" w:color="auto"/>
            </w:tcBorders>
            <w:shd w:val="clear" w:color="000000" w:fill="D9D9D9"/>
            <w:vAlign w:val="center"/>
            <w:hideMark/>
          </w:tcPr>
          <w:p w:rsidR="004871BE" w:rsidRPr="004871BE" w:rsidRDefault="004871BE" w:rsidP="00A82038">
            <w:pPr>
              <w:spacing w:after="0" w:line="240" w:lineRule="auto"/>
              <w:rPr>
                <w:rFonts w:ascii="Arial" w:eastAsia="Times New Roman" w:hAnsi="Arial" w:cs="David"/>
                <w:b/>
                <w:bCs/>
                <w:color w:val="000000"/>
              </w:rPr>
            </w:pPr>
            <w:r w:rsidRPr="004871BE">
              <w:rPr>
                <w:rFonts w:ascii="Arial" w:eastAsia="Times New Roman" w:hAnsi="Arial" w:cs="David" w:hint="cs"/>
                <w:b/>
                <w:bCs/>
                <w:color w:val="000000"/>
                <w:rtl/>
              </w:rPr>
              <w:t>אני לא גולש באינטרנט לא במחשב ולא בסלולר</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tl/>
              </w:rPr>
            </w:pPr>
            <w:r w:rsidRPr="004871BE">
              <w:rPr>
                <w:rFonts w:ascii="Arial" w:eastAsia="Times New Roman" w:hAnsi="Arial" w:cs="David" w:hint="cs"/>
                <w:color w:val="000000"/>
              </w:rPr>
              <w:t>18%</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33%</w:t>
            </w:r>
          </w:p>
        </w:tc>
        <w:tc>
          <w:tcPr>
            <w:tcW w:w="2715" w:type="dxa"/>
            <w:tcBorders>
              <w:top w:val="nil"/>
              <w:left w:val="dotDash" w:sz="4" w:space="0" w:color="auto"/>
              <w:bottom w:val="dotDash" w:sz="4" w:space="0" w:color="auto"/>
              <w:right w:val="double" w:sz="6"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25%</w:t>
            </w:r>
          </w:p>
        </w:tc>
      </w:tr>
      <w:tr w:rsidR="004871BE" w:rsidRPr="004871BE" w:rsidTr="0009792C">
        <w:trPr>
          <w:trHeight w:val="675"/>
        </w:trPr>
        <w:tc>
          <w:tcPr>
            <w:tcW w:w="2539" w:type="dxa"/>
            <w:tcBorders>
              <w:top w:val="nil"/>
              <w:left w:val="double" w:sz="6" w:space="0" w:color="auto"/>
              <w:bottom w:val="dotDash" w:sz="4" w:space="0" w:color="auto"/>
              <w:right w:val="dotDash" w:sz="4" w:space="0" w:color="auto"/>
            </w:tcBorders>
            <w:shd w:val="clear" w:color="000000" w:fill="D9D9D9"/>
            <w:vAlign w:val="center"/>
            <w:hideMark/>
          </w:tcPr>
          <w:p w:rsidR="004871BE" w:rsidRPr="004871BE" w:rsidRDefault="004871BE" w:rsidP="00A82038">
            <w:pPr>
              <w:spacing w:after="0" w:line="240" w:lineRule="auto"/>
              <w:rPr>
                <w:rFonts w:ascii="Arial" w:eastAsia="Times New Roman" w:hAnsi="Arial" w:cs="David"/>
                <w:b/>
                <w:bCs/>
                <w:color w:val="000000"/>
              </w:rPr>
            </w:pPr>
            <w:r w:rsidRPr="004871BE">
              <w:rPr>
                <w:rFonts w:ascii="Arial" w:eastAsia="Times New Roman" w:hAnsi="Arial" w:cs="David" w:hint="cs"/>
                <w:b/>
                <w:bCs/>
                <w:color w:val="000000"/>
                <w:rtl/>
              </w:rPr>
              <w:t>כן גם במחשב וגם בסלולרי</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tl/>
              </w:rPr>
            </w:pPr>
            <w:r w:rsidRPr="004871BE">
              <w:rPr>
                <w:rFonts w:ascii="Arial" w:eastAsia="Times New Roman" w:hAnsi="Arial" w:cs="David" w:hint="cs"/>
                <w:color w:val="000000"/>
              </w:rPr>
              <w:t>49%</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39%</w:t>
            </w:r>
          </w:p>
        </w:tc>
        <w:tc>
          <w:tcPr>
            <w:tcW w:w="2715" w:type="dxa"/>
            <w:tcBorders>
              <w:top w:val="nil"/>
              <w:left w:val="dotDash" w:sz="4" w:space="0" w:color="auto"/>
              <w:bottom w:val="dotDash" w:sz="4" w:space="0" w:color="auto"/>
              <w:right w:val="double" w:sz="6"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44%</w:t>
            </w:r>
          </w:p>
        </w:tc>
      </w:tr>
      <w:tr w:rsidR="004871BE" w:rsidRPr="004871BE" w:rsidTr="0009792C">
        <w:trPr>
          <w:trHeight w:val="675"/>
        </w:trPr>
        <w:tc>
          <w:tcPr>
            <w:tcW w:w="2539" w:type="dxa"/>
            <w:tcBorders>
              <w:top w:val="nil"/>
              <w:left w:val="double" w:sz="6" w:space="0" w:color="auto"/>
              <w:bottom w:val="dotDash" w:sz="4" w:space="0" w:color="auto"/>
              <w:right w:val="dotDash" w:sz="4" w:space="0" w:color="auto"/>
            </w:tcBorders>
            <w:shd w:val="clear" w:color="000000" w:fill="D9D9D9"/>
            <w:vAlign w:val="center"/>
            <w:hideMark/>
          </w:tcPr>
          <w:p w:rsidR="004871BE" w:rsidRPr="004871BE" w:rsidRDefault="004871BE" w:rsidP="00A82038">
            <w:pPr>
              <w:spacing w:after="0" w:line="240" w:lineRule="auto"/>
              <w:rPr>
                <w:rFonts w:ascii="Arial" w:eastAsia="Times New Roman" w:hAnsi="Arial" w:cs="David"/>
                <w:b/>
                <w:bCs/>
                <w:color w:val="000000"/>
              </w:rPr>
            </w:pPr>
            <w:r w:rsidRPr="004871BE">
              <w:rPr>
                <w:rFonts w:ascii="Arial" w:eastAsia="Times New Roman" w:hAnsi="Arial" w:cs="David" w:hint="cs"/>
                <w:b/>
                <w:bCs/>
                <w:color w:val="000000"/>
                <w:rtl/>
              </w:rPr>
              <w:t>כן, רק במחשב</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tl/>
              </w:rPr>
            </w:pPr>
            <w:r w:rsidRPr="004871BE">
              <w:rPr>
                <w:rFonts w:ascii="Arial" w:eastAsia="Times New Roman" w:hAnsi="Arial" w:cs="David" w:hint="cs"/>
                <w:color w:val="000000"/>
              </w:rPr>
              <w:t>5%</w:t>
            </w:r>
          </w:p>
        </w:tc>
        <w:tc>
          <w:tcPr>
            <w:tcW w:w="846" w:type="dxa"/>
            <w:tcBorders>
              <w:top w:val="nil"/>
              <w:left w:val="dotDash" w:sz="4" w:space="0" w:color="auto"/>
              <w:bottom w:val="dotDash" w:sz="4"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3%</w:t>
            </w:r>
          </w:p>
        </w:tc>
        <w:tc>
          <w:tcPr>
            <w:tcW w:w="2715" w:type="dxa"/>
            <w:tcBorders>
              <w:top w:val="nil"/>
              <w:left w:val="dotDash" w:sz="4" w:space="0" w:color="auto"/>
              <w:bottom w:val="dotDash" w:sz="4" w:space="0" w:color="auto"/>
              <w:right w:val="double" w:sz="6"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4%</w:t>
            </w:r>
          </w:p>
        </w:tc>
      </w:tr>
      <w:tr w:rsidR="004871BE" w:rsidRPr="004871BE" w:rsidTr="0009792C">
        <w:trPr>
          <w:trHeight w:val="675"/>
        </w:trPr>
        <w:tc>
          <w:tcPr>
            <w:tcW w:w="2539" w:type="dxa"/>
            <w:tcBorders>
              <w:top w:val="nil"/>
              <w:left w:val="double" w:sz="6" w:space="0" w:color="auto"/>
              <w:bottom w:val="double" w:sz="6" w:space="0" w:color="auto"/>
              <w:right w:val="dotDash" w:sz="4" w:space="0" w:color="auto"/>
            </w:tcBorders>
            <w:shd w:val="clear" w:color="000000" w:fill="D9D9D9"/>
            <w:vAlign w:val="center"/>
            <w:hideMark/>
          </w:tcPr>
          <w:p w:rsidR="004871BE" w:rsidRPr="004871BE" w:rsidRDefault="004871BE" w:rsidP="00A82038">
            <w:pPr>
              <w:spacing w:after="0" w:line="240" w:lineRule="auto"/>
              <w:rPr>
                <w:rFonts w:ascii="Arial" w:eastAsia="Times New Roman" w:hAnsi="Arial" w:cs="David"/>
                <w:b/>
                <w:bCs/>
                <w:color w:val="000000"/>
              </w:rPr>
            </w:pPr>
            <w:r w:rsidRPr="004871BE">
              <w:rPr>
                <w:rFonts w:ascii="Arial" w:eastAsia="Times New Roman" w:hAnsi="Arial" w:cs="David" w:hint="cs"/>
                <w:b/>
                <w:bCs/>
                <w:color w:val="000000"/>
                <w:rtl/>
              </w:rPr>
              <w:t>כן, רק בסלולרי</w:t>
            </w:r>
          </w:p>
        </w:tc>
        <w:tc>
          <w:tcPr>
            <w:tcW w:w="846" w:type="dxa"/>
            <w:tcBorders>
              <w:top w:val="nil"/>
              <w:left w:val="dotDash" w:sz="4" w:space="0" w:color="auto"/>
              <w:bottom w:val="double" w:sz="6"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tl/>
              </w:rPr>
            </w:pPr>
            <w:r w:rsidRPr="004871BE">
              <w:rPr>
                <w:rFonts w:ascii="Arial" w:eastAsia="Times New Roman" w:hAnsi="Arial" w:cs="David" w:hint="cs"/>
                <w:color w:val="000000"/>
              </w:rPr>
              <w:t>28%</w:t>
            </w:r>
          </w:p>
        </w:tc>
        <w:tc>
          <w:tcPr>
            <w:tcW w:w="846" w:type="dxa"/>
            <w:tcBorders>
              <w:top w:val="nil"/>
              <w:left w:val="dotDash" w:sz="4" w:space="0" w:color="auto"/>
              <w:bottom w:val="double" w:sz="6" w:space="0" w:color="auto"/>
              <w:right w:val="dotDash" w:sz="4"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25%</w:t>
            </w:r>
          </w:p>
        </w:tc>
        <w:tc>
          <w:tcPr>
            <w:tcW w:w="2715" w:type="dxa"/>
            <w:tcBorders>
              <w:top w:val="nil"/>
              <w:left w:val="dotDash" w:sz="4" w:space="0" w:color="auto"/>
              <w:bottom w:val="double" w:sz="6" w:space="0" w:color="auto"/>
              <w:right w:val="double" w:sz="6" w:space="0" w:color="auto"/>
            </w:tcBorders>
            <w:shd w:val="clear" w:color="auto" w:fill="auto"/>
            <w:noWrap/>
            <w:vAlign w:val="center"/>
            <w:hideMark/>
          </w:tcPr>
          <w:p w:rsidR="004871BE" w:rsidRPr="004871BE" w:rsidRDefault="004871BE" w:rsidP="00A82038">
            <w:pPr>
              <w:bidi w:val="0"/>
              <w:spacing w:after="0" w:line="240" w:lineRule="auto"/>
              <w:jc w:val="center"/>
              <w:rPr>
                <w:rFonts w:ascii="Arial" w:eastAsia="Times New Roman" w:hAnsi="Arial" w:cs="David"/>
                <w:color w:val="000000"/>
              </w:rPr>
            </w:pPr>
            <w:r w:rsidRPr="004871BE">
              <w:rPr>
                <w:rFonts w:ascii="Arial" w:eastAsia="Times New Roman" w:hAnsi="Arial" w:cs="David" w:hint="cs"/>
                <w:color w:val="000000"/>
              </w:rPr>
              <w:t>27%</w:t>
            </w:r>
          </w:p>
        </w:tc>
      </w:tr>
    </w:tbl>
    <w:p w:rsidR="005F64EB" w:rsidRDefault="00C532C6" w:rsidP="00431FFB">
      <w:pPr>
        <w:spacing w:line="360" w:lineRule="auto"/>
        <w:ind w:left="651"/>
        <w:jc w:val="both"/>
        <w:rPr>
          <w:rFonts w:cs="David"/>
          <w:b/>
          <w:bCs/>
          <w:sz w:val="28"/>
          <w:szCs w:val="28"/>
          <w:rtl/>
        </w:rPr>
      </w:pPr>
      <w:r w:rsidRPr="00283709">
        <w:rPr>
          <w:rFonts w:cs="David" w:hint="cs"/>
          <w:sz w:val="24"/>
          <w:szCs w:val="24"/>
          <w:rtl/>
        </w:rPr>
        <w:t xml:space="preserve">הגברים משתמשים במרשתת באחוז גבוה יותר מהנשים. </w:t>
      </w:r>
      <w:r w:rsidR="00431FFB">
        <w:rPr>
          <w:rFonts w:cs="David" w:hint="cs"/>
          <w:sz w:val="24"/>
          <w:szCs w:val="24"/>
          <w:rtl/>
        </w:rPr>
        <w:t>75% מכלל הגברים והנשים גולשים במרשתת.</w:t>
      </w:r>
    </w:p>
    <w:p w:rsidR="009F37D7" w:rsidRPr="00172686" w:rsidRDefault="00CB1EF0" w:rsidP="005F64EB">
      <w:pPr>
        <w:spacing w:line="360" w:lineRule="auto"/>
        <w:ind w:left="651"/>
        <w:jc w:val="both"/>
        <w:rPr>
          <w:rFonts w:cs="David"/>
          <w:sz w:val="28"/>
          <w:szCs w:val="28"/>
          <w:rtl/>
        </w:rPr>
      </w:pPr>
      <w:r w:rsidRPr="00F11A4E">
        <w:rPr>
          <w:rFonts w:cs="David" w:hint="cs"/>
          <w:b/>
          <w:bCs/>
          <w:sz w:val="28"/>
          <w:szCs w:val="28"/>
          <w:rtl/>
        </w:rPr>
        <w:t>טבלה מספר 3</w:t>
      </w:r>
      <w:r>
        <w:rPr>
          <w:rFonts w:cs="David" w:hint="cs"/>
          <w:sz w:val="28"/>
          <w:szCs w:val="28"/>
          <w:rtl/>
        </w:rPr>
        <w:t xml:space="preserve"> - גלישה במרשתת לפי השכלת המרואיין</w:t>
      </w:r>
      <w:r w:rsidR="00385DE0">
        <w:rPr>
          <w:rStyle w:val="a5"/>
          <w:rFonts w:cs="David"/>
          <w:sz w:val="28"/>
          <w:szCs w:val="28"/>
          <w:rtl/>
        </w:rPr>
        <w:footnoteReference w:id="24"/>
      </w:r>
    </w:p>
    <w:tbl>
      <w:tblPr>
        <w:bidiVisual/>
        <w:tblW w:w="6946" w:type="dxa"/>
        <w:tblInd w:w="768" w:type="dxa"/>
        <w:tblLook w:val="04A0" w:firstRow="1" w:lastRow="0" w:firstColumn="1" w:lastColumn="0" w:noHBand="0" w:noVBand="1"/>
      </w:tblPr>
      <w:tblGrid>
        <w:gridCol w:w="1119"/>
        <w:gridCol w:w="856"/>
        <w:gridCol w:w="716"/>
        <w:gridCol w:w="856"/>
        <w:gridCol w:w="898"/>
        <w:gridCol w:w="856"/>
        <w:gridCol w:w="856"/>
        <w:gridCol w:w="789"/>
      </w:tblGrid>
      <w:tr w:rsidR="008922F0" w:rsidRPr="008922F0" w:rsidTr="009F37D7">
        <w:trPr>
          <w:trHeight w:val="265"/>
        </w:trPr>
        <w:tc>
          <w:tcPr>
            <w:tcW w:w="1119" w:type="dxa"/>
            <w:tcBorders>
              <w:top w:val="nil"/>
              <w:left w:val="nil"/>
              <w:bottom w:val="nil"/>
              <w:right w:val="nil"/>
            </w:tcBorders>
            <w:shd w:val="clear" w:color="auto" w:fill="auto"/>
            <w:noWrap/>
            <w:vAlign w:val="bottom"/>
            <w:hideMark/>
          </w:tcPr>
          <w:p w:rsidR="008922F0" w:rsidRPr="008922F0" w:rsidRDefault="008922F0" w:rsidP="00653C67">
            <w:pPr>
              <w:spacing w:after="0" w:line="240" w:lineRule="auto"/>
              <w:rPr>
                <w:rFonts w:ascii="Arial" w:eastAsia="Times New Roman" w:hAnsi="Arial" w:cs="Arial"/>
                <w:b/>
                <w:bCs/>
                <w:color w:val="000000"/>
              </w:rPr>
            </w:pPr>
          </w:p>
        </w:tc>
        <w:tc>
          <w:tcPr>
            <w:tcW w:w="856"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716"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856"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898"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856"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856"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c>
          <w:tcPr>
            <w:tcW w:w="789" w:type="dxa"/>
            <w:tcBorders>
              <w:top w:val="nil"/>
              <w:left w:val="nil"/>
              <w:bottom w:val="nil"/>
              <w:right w:val="nil"/>
            </w:tcBorders>
            <w:shd w:val="clear" w:color="000000" w:fill="FFFFFF"/>
            <w:noWrap/>
            <w:vAlign w:val="bottom"/>
            <w:hideMark/>
          </w:tcPr>
          <w:p w:rsidR="008922F0" w:rsidRPr="008922F0" w:rsidRDefault="008922F0" w:rsidP="008922F0">
            <w:pPr>
              <w:bidi w:val="0"/>
              <w:spacing w:after="0" w:line="240" w:lineRule="auto"/>
              <w:rPr>
                <w:rFonts w:ascii="Arial" w:eastAsia="Times New Roman" w:hAnsi="Arial" w:cs="Arial"/>
                <w:color w:val="000000"/>
              </w:rPr>
            </w:pPr>
            <w:r w:rsidRPr="008922F0">
              <w:rPr>
                <w:rFonts w:ascii="Arial" w:eastAsia="Times New Roman" w:hAnsi="Arial" w:cs="Arial"/>
                <w:color w:val="000000"/>
              </w:rPr>
              <w:t> </w:t>
            </w:r>
          </w:p>
        </w:tc>
      </w:tr>
      <w:tr w:rsidR="008922F0" w:rsidRPr="008922F0" w:rsidTr="00AD56DA">
        <w:trPr>
          <w:trHeight w:val="1024"/>
        </w:trPr>
        <w:tc>
          <w:tcPr>
            <w:tcW w:w="1119" w:type="dxa"/>
            <w:tcBorders>
              <w:top w:val="double" w:sz="6" w:space="0" w:color="auto"/>
              <w:left w:val="double" w:sz="6" w:space="0" w:color="auto"/>
              <w:bottom w:val="dotDash" w:sz="4" w:space="0" w:color="auto"/>
              <w:right w:val="dotDash" w:sz="4" w:space="0" w:color="auto"/>
            </w:tcBorders>
            <w:shd w:val="clear" w:color="000000" w:fill="D9D9D9"/>
            <w:noWrap/>
            <w:vAlign w:val="center"/>
            <w:hideMark/>
          </w:tcPr>
          <w:p w:rsidR="008922F0" w:rsidRPr="008922F0" w:rsidRDefault="008922F0" w:rsidP="008922F0">
            <w:pPr>
              <w:spacing w:after="0" w:line="240" w:lineRule="auto"/>
              <w:jc w:val="center"/>
              <w:rPr>
                <w:rFonts w:ascii="Arial" w:eastAsia="Times New Roman" w:hAnsi="Arial" w:cs="David"/>
                <w:b/>
                <w:bCs/>
                <w:color w:val="000000"/>
              </w:rPr>
            </w:pPr>
            <w:r w:rsidRPr="008922F0">
              <w:rPr>
                <w:rFonts w:ascii="Arial" w:eastAsia="Times New Roman" w:hAnsi="Arial" w:cs="David" w:hint="cs"/>
                <w:b/>
                <w:bCs/>
                <w:color w:val="000000"/>
                <w:rtl/>
              </w:rPr>
              <w:t>השכלה</w:t>
            </w:r>
          </w:p>
        </w:tc>
        <w:tc>
          <w:tcPr>
            <w:tcW w:w="856"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סטודנט לתואר שני ומעלה</w:t>
            </w:r>
          </w:p>
        </w:tc>
        <w:tc>
          <w:tcPr>
            <w:tcW w:w="716"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תואר ראשון</w:t>
            </w:r>
          </w:p>
        </w:tc>
        <w:tc>
          <w:tcPr>
            <w:tcW w:w="856"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סטודנט לתואר ראשון</w:t>
            </w:r>
          </w:p>
        </w:tc>
        <w:tc>
          <w:tcPr>
            <w:tcW w:w="898"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על תיכונית – לא אקדמית</w:t>
            </w:r>
          </w:p>
        </w:tc>
        <w:tc>
          <w:tcPr>
            <w:tcW w:w="856"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תיכונית עם תעודת בגרות</w:t>
            </w:r>
          </w:p>
        </w:tc>
        <w:tc>
          <w:tcPr>
            <w:tcW w:w="856" w:type="dxa"/>
            <w:tcBorders>
              <w:top w:val="double" w:sz="6" w:space="0" w:color="auto"/>
              <w:left w:val="dotDash" w:sz="4"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תיכונית ללא תעודת בגרות</w:t>
            </w:r>
          </w:p>
        </w:tc>
        <w:tc>
          <w:tcPr>
            <w:tcW w:w="789" w:type="dxa"/>
            <w:tcBorders>
              <w:top w:val="double" w:sz="6" w:space="0" w:color="auto"/>
              <w:left w:val="dotDash" w:sz="4" w:space="0" w:color="auto"/>
              <w:bottom w:val="dotDash" w:sz="4" w:space="0" w:color="auto"/>
              <w:right w:val="double" w:sz="6"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יסודית</w:t>
            </w:r>
          </w:p>
        </w:tc>
      </w:tr>
      <w:tr w:rsidR="008922F0" w:rsidRPr="008922F0" w:rsidTr="00AD56DA">
        <w:trPr>
          <w:trHeight w:val="480"/>
        </w:trPr>
        <w:tc>
          <w:tcPr>
            <w:tcW w:w="1119" w:type="dxa"/>
            <w:tcBorders>
              <w:top w:val="nil"/>
              <w:left w:val="double" w:sz="6"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tl/>
              </w:rPr>
            </w:pPr>
            <w:r w:rsidRPr="008922F0">
              <w:rPr>
                <w:rFonts w:ascii="Arial" w:eastAsia="Times New Roman" w:hAnsi="Arial" w:cs="David" w:hint="cs"/>
                <w:b/>
                <w:bCs/>
                <w:color w:val="000000"/>
                <w:rtl/>
              </w:rPr>
              <w:t>לא גולשים באינטרנט בכלל</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tl/>
              </w:rPr>
            </w:pPr>
            <w:r w:rsidRPr="008922F0">
              <w:rPr>
                <w:rFonts w:ascii="Arial" w:eastAsia="Times New Roman" w:hAnsi="Arial" w:cs="David" w:hint="cs"/>
                <w:color w:val="000000"/>
              </w:rPr>
              <w:t>0%</w:t>
            </w:r>
          </w:p>
        </w:tc>
        <w:tc>
          <w:tcPr>
            <w:tcW w:w="71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5%</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0%</w:t>
            </w:r>
          </w:p>
        </w:tc>
        <w:tc>
          <w:tcPr>
            <w:tcW w:w="898"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9%</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12%</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39%</w:t>
            </w:r>
          </w:p>
        </w:tc>
        <w:tc>
          <w:tcPr>
            <w:tcW w:w="789" w:type="dxa"/>
            <w:tcBorders>
              <w:top w:val="nil"/>
              <w:left w:val="dotDash" w:sz="4" w:space="0" w:color="auto"/>
              <w:bottom w:val="dotDash" w:sz="4" w:space="0" w:color="auto"/>
              <w:right w:val="double" w:sz="6"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80%</w:t>
            </w:r>
          </w:p>
        </w:tc>
      </w:tr>
      <w:tr w:rsidR="008922F0" w:rsidRPr="008922F0" w:rsidTr="0009792C">
        <w:trPr>
          <w:trHeight w:val="480"/>
        </w:trPr>
        <w:tc>
          <w:tcPr>
            <w:tcW w:w="1119" w:type="dxa"/>
            <w:tcBorders>
              <w:top w:val="nil"/>
              <w:left w:val="double" w:sz="6"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Pr>
            </w:pPr>
            <w:r w:rsidRPr="008922F0">
              <w:rPr>
                <w:rFonts w:ascii="Arial" w:eastAsia="Times New Roman" w:hAnsi="Arial" w:cs="David" w:hint="cs"/>
                <w:b/>
                <w:bCs/>
                <w:color w:val="000000"/>
                <w:rtl/>
              </w:rPr>
              <w:t xml:space="preserve">גולשים בסלולר ובמחשב </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tl/>
              </w:rPr>
            </w:pPr>
            <w:r w:rsidRPr="008922F0">
              <w:rPr>
                <w:rFonts w:ascii="Arial" w:eastAsia="Times New Roman" w:hAnsi="Arial" w:cs="David" w:hint="cs"/>
                <w:color w:val="000000"/>
              </w:rPr>
              <w:t>84%</w:t>
            </w:r>
          </w:p>
        </w:tc>
        <w:tc>
          <w:tcPr>
            <w:tcW w:w="71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71%</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85%</w:t>
            </w:r>
          </w:p>
        </w:tc>
        <w:tc>
          <w:tcPr>
            <w:tcW w:w="898"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50%</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48%</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28%</w:t>
            </w:r>
          </w:p>
        </w:tc>
        <w:tc>
          <w:tcPr>
            <w:tcW w:w="789" w:type="dxa"/>
            <w:tcBorders>
              <w:top w:val="nil"/>
              <w:left w:val="dotDash" w:sz="4" w:space="0" w:color="auto"/>
              <w:bottom w:val="dotDash" w:sz="4" w:space="0" w:color="auto"/>
              <w:right w:val="double" w:sz="6"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4%</w:t>
            </w:r>
          </w:p>
        </w:tc>
      </w:tr>
      <w:tr w:rsidR="008922F0" w:rsidRPr="008922F0" w:rsidTr="00AD56DA">
        <w:trPr>
          <w:trHeight w:val="480"/>
        </w:trPr>
        <w:tc>
          <w:tcPr>
            <w:tcW w:w="1119" w:type="dxa"/>
            <w:tcBorders>
              <w:top w:val="nil"/>
              <w:left w:val="double" w:sz="6" w:space="0" w:color="auto"/>
              <w:bottom w:val="dotDash" w:sz="4"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Pr>
            </w:pPr>
            <w:r w:rsidRPr="008922F0">
              <w:rPr>
                <w:rFonts w:ascii="Arial" w:eastAsia="Times New Roman" w:hAnsi="Arial" w:cs="David" w:hint="cs"/>
                <w:b/>
                <w:bCs/>
                <w:color w:val="000000"/>
                <w:rtl/>
              </w:rPr>
              <w:t>גולשים רק במחשב</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tl/>
              </w:rPr>
            </w:pPr>
            <w:r w:rsidRPr="008922F0">
              <w:rPr>
                <w:rFonts w:ascii="Arial" w:eastAsia="Times New Roman" w:hAnsi="Arial" w:cs="David" w:hint="cs"/>
                <w:color w:val="000000"/>
              </w:rPr>
              <w:t>12%</w:t>
            </w:r>
          </w:p>
        </w:tc>
        <w:tc>
          <w:tcPr>
            <w:tcW w:w="71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2%</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2%</w:t>
            </w:r>
          </w:p>
        </w:tc>
        <w:tc>
          <w:tcPr>
            <w:tcW w:w="898"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9%</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5%</w:t>
            </w:r>
          </w:p>
        </w:tc>
        <w:tc>
          <w:tcPr>
            <w:tcW w:w="856" w:type="dxa"/>
            <w:tcBorders>
              <w:top w:val="nil"/>
              <w:left w:val="dotDash" w:sz="4" w:space="0" w:color="auto"/>
              <w:bottom w:val="dotDash" w:sz="4"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4%</w:t>
            </w:r>
          </w:p>
        </w:tc>
        <w:tc>
          <w:tcPr>
            <w:tcW w:w="789" w:type="dxa"/>
            <w:tcBorders>
              <w:top w:val="nil"/>
              <w:left w:val="dotDash" w:sz="4" w:space="0" w:color="auto"/>
              <w:bottom w:val="dotDash" w:sz="4" w:space="0" w:color="auto"/>
              <w:right w:val="double" w:sz="6"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1%</w:t>
            </w:r>
          </w:p>
        </w:tc>
      </w:tr>
      <w:tr w:rsidR="008922F0" w:rsidRPr="008922F0" w:rsidTr="00AD56DA">
        <w:trPr>
          <w:trHeight w:val="480"/>
        </w:trPr>
        <w:tc>
          <w:tcPr>
            <w:tcW w:w="1119" w:type="dxa"/>
            <w:tcBorders>
              <w:top w:val="nil"/>
              <w:left w:val="double" w:sz="6" w:space="0" w:color="auto"/>
              <w:bottom w:val="double" w:sz="6" w:space="0" w:color="auto"/>
              <w:right w:val="dotDash" w:sz="4" w:space="0" w:color="auto"/>
            </w:tcBorders>
            <w:shd w:val="clear" w:color="000000" w:fill="D9D9D9"/>
            <w:vAlign w:val="center"/>
            <w:hideMark/>
          </w:tcPr>
          <w:p w:rsidR="008922F0" w:rsidRPr="008922F0" w:rsidRDefault="008922F0" w:rsidP="008922F0">
            <w:pPr>
              <w:spacing w:after="0" w:line="240" w:lineRule="auto"/>
              <w:jc w:val="center"/>
              <w:rPr>
                <w:rFonts w:ascii="Arial" w:eastAsia="Times New Roman" w:hAnsi="Arial" w:cs="David"/>
                <w:b/>
                <w:bCs/>
                <w:color w:val="000000"/>
              </w:rPr>
            </w:pPr>
            <w:r w:rsidRPr="008922F0">
              <w:rPr>
                <w:rFonts w:ascii="Arial" w:eastAsia="Times New Roman" w:hAnsi="Arial" w:cs="David" w:hint="cs"/>
                <w:b/>
                <w:bCs/>
                <w:color w:val="000000"/>
                <w:rtl/>
              </w:rPr>
              <w:t>גולשים רק בסוללר</w:t>
            </w:r>
          </w:p>
        </w:tc>
        <w:tc>
          <w:tcPr>
            <w:tcW w:w="856"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tl/>
              </w:rPr>
            </w:pPr>
            <w:r w:rsidRPr="008922F0">
              <w:rPr>
                <w:rFonts w:ascii="Arial" w:eastAsia="Times New Roman" w:hAnsi="Arial" w:cs="David" w:hint="cs"/>
                <w:color w:val="000000"/>
              </w:rPr>
              <w:t>4%</w:t>
            </w:r>
          </w:p>
        </w:tc>
        <w:tc>
          <w:tcPr>
            <w:tcW w:w="716"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21%</w:t>
            </w:r>
          </w:p>
        </w:tc>
        <w:tc>
          <w:tcPr>
            <w:tcW w:w="856"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12%</w:t>
            </w:r>
          </w:p>
        </w:tc>
        <w:tc>
          <w:tcPr>
            <w:tcW w:w="898"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32%</w:t>
            </w:r>
          </w:p>
        </w:tc>
        <w:tc>
          <w:tcPr>
            <w:tcW w:w="856"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36%</w:t>
            </w:r>
          </w:p>
        </w:tc>
        <w:tc>
          <w:tcPr>
            <w:tcW w:w="856" w:type="dxa"/>
            <w:tcBorders>
              <w:top w:val="nil"/>
              <w:left w:val="dotDash" w:sz="4" w:space="0" w:color="auto"/>
              <w:bottom w:val="double" w:sz="6" w:space="0" w:color="auto"/>
              <w:right w:val="dotDash" w:sz="4"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29%</w:t>
            </w:r>
          </w:p>
        </w:tc>
        <w:tc>
          <w:tcPr>
            <w:tcW w:w="789" w:type="dxa"/>
            <w:tcBorders>
              <w:top w:val="nil"/>
              <w:left w:val="dotDash" w:sz="4" w:space="0" w:color="auto"/>
              <w:bottom w:val="double" w:sz="6" w:space="0" w:color="auto"/>
              <w:right w:val="double" w:sz="6" w:space="0" w:color="auto"/>
            </w:tcBorders>
            <w:shd w:val="clear" w:color="auto" w:fill="auto"/>
            <w:noWrap/>
            <w:vAlign w:val="center"/>
            <w:hideMark/>
          </w:tcPr>
          <w:p w:rsidR="008922F0" w:rsidRPr="008922F0" w:rsidRDefault="008922F0" w:rsidP="008922F0">
            <w:pPr>
              <w:bidi w:val="0"/>
              <w:spacing w:after="0" w:line="240" w:lineRule="auto"/>
              <w:jc w:val="center"/>
              <w:rPr>
                <w:rFonts w:ascii="Arial" w:eastAsia="Times New Roman" w:hAnsi="Arial" w:cs="David"/>
                <w:color w:val="000000"/>
              </w:rPr>
            </w:pPr>
            <w:r w:rsidRPr="008922F0">
              <w:rPr>
                <w:rFonts w:ascii="Arial" w:eastAsia="Times New Roman" w:hAnsi="Arial" w:cs="David" w:hint="cs"/>
                <w:color w:val="000000"/>
              </w:rPr>
              <w:t>15%</w:t>
            </w:r>
          </w:p>
        </w:tc>
      </w:tr>
    </w:tbl>
    <w:p w:rsidR="00FE22AD" w:rsidRDefault="0034385D" w:rsidP="00283709">
      <w:pPr>
        <w:spacing w:line="360" w:lineRule="auto"/>
        <w:ind w:firstLine="720"/>
        <w:jc w:val="both"/>
        <w:rPr>
          <w:rFonts w:cs="David"/>
          <w:sz w:val="28"/>
          <w:szCs w:val="28"/>
          <w:rtl/>
        </w:rPr>
      </w:pPr>
      <w:r w:rsidRPr="00283709">
        <w:rPr>
          <w:rFonts w:cs="David" w:hint="cs"/>
          <w:sz w:val="24"/>
          <w:szCs w:val="24"/>
          <w:rtl/>
        </w:rPr>
        <w:t>ככל שרמת ההשכלה עולה כך גדל השימוש במרשתת.</w:t>
      </w:r>
    </w:p>
    <w:p w:rsidR="00553B94" w:rsidRDefault="00553B94" w:rsidP="00280727">
      <w:pPr>
        <w:spacing w:line="360" w:lineRule="auto"/>
        <w:rPr>
          <w:rFonts w:cs="David"/>
          <w:sz w:val="28"/>
          <w:szCs w:val="28"/>
          <w:rtl/>
        </w:rPr>
      </w:pPr>
    </w:p>
    <w:p w:rsidR="00280727" w:rsidRPr="00C65BB0" w:rsidRDefault="00280727" w:rsidP="00C65BB0">
      <w:pPr>
        <w:pStyle w:val="a6"/>
        <w:numPr>
          <w:ilvl w:val="0"/>
          <w:numId w:val="19"/>
        </w:numPr>
        <w:spacing w:line="360" w:lineRule="auto"/>
        <w:ind w:left="360"/>
        <w:jc w:val="both"/>
        <w:rPr>
          <w:rFonts w:cs="David"/>
          <w:b/>
          <w:bCs/>
          <w:sz w:val="28"/>
          <w:szCs w:val="28"/>
          <w:rtl/>
        </w:rPr>
      </w:pPr>
      <w:r w:rsidRPr="00C65BB0">
        <w:rPr>
          <w:rFonts w:cs="David" w:hint="cs"/>
          <w:b/>
          <w:bCs/>
          <w:sz w:val="28"/>
          <w:szCs w:val="28"/>
          <w:rtl/>
        </w:rPr>
        <w:lastRenderedPageBreak/>
        <w:t>שימוש ברשתות חברתיות</w:t>
      </w:r>
    </w:p>
    <w:p w:rsidR="00F428BE" w:rsidRDefault="00280727" w:rsidP="00F428BE">
      <w:pPr>
        <w:spacing w:line="360" w:lineRule="auto"/>
        <w:jc w:val="both"/>
        <w:rPr>
          <w:rFonts w:cs="David"/>
          <w:sz w:val="28"/>
          <w:szCs w:val="28"/>
          <w:rtl/>
        </w:rPr>
      </w:pPr>
      <w:r w:rsidRPr="00EA4F50">
        <w:rPr>
          <w:rFonts w:cs="David" w:hint="cs"/>
          <w:sz w:val="28"/>
          <w:szCs w:val="28"/>
          <w:rtl/>
        </w:rPr>
        <w:t xml:space="preserve">כעת לאחר שנסקר השימוש במרשתת באופן כללי, </w:t>
      </w:r>
      <w:r w:rsidRPr="000D3F74">
        <w:rPr>
          <w:rFonts w:cs="David" w:hint="cs"/>
          <w:sz w:val="28"/>
          <w:szCs w:val="28"/>
          <w:rtl/>
        </w:rPr>
        <w:t xml:space="preserve">ומאחר שהעבודה מתמקדת בנושא </w:t>
      </w:r>
      <w:r w:rsidR="001532AE" w:rsidRPr="000D3F74">
        <w:rPr>
          <w:rFonts w:cs="David" w:hint="cs"/>
          <w:sz w:val="28"/>
          <w:szCs w:val="28"/>
          <w:rtl/>
        </w:rPr>
        <w:t xml:space="preserve">תופעת ההסתה לגזענות ולאלימות </w:t>
      </w:r>
      <w:r w:rsidR="001532AE" w:rsidRPr="000D3F74">
        <w:rPr>
          <w:rFonts w:cs="David" w:hint="cs"/>
          <w:b/>
          <w:bCs/>
          <w:sz w:val="28"/>
          <w:szCs w:val="28"/>
          <w:rtl/>
        </w:rPr>
        <w:t>ב</w:t>
      </w:r>
      <w:r w:rsidRPr="000D3F74">
        <w:rPr>
          <w:rFonts w:cs="David" w:hint="cs"/>
          <w:b/>
          <w:bCs/>
          <w:sz w:val="28"/>
          <w:szCs w:val="28"/>
          <w:rtl/>
        </w:rPr>
        <w:t>רשתות החברתיות</w:t>
      </w:r>
      <w:r w:rsidRPr="000D3F74">
        <w:rPr>
          <w:rFonts w:cs="David" w:hint="cs"/>
          <w:sz w:val="28"/>
          <w:szCs w:val="28"/>
          <w:rtl/>
        </w:rPr>
        <w:t>,</w:t>
      </w:r>
      <w:r w:rsidRPr="00EA4F50">
        <w:rPr>
          <w:rFonts w:cs="David" w:hint="cs"/>
          <w:sz w:val="28"/>
          <w:szCs w:val="28"/>
          <w:rtl/>
        </w:rPr>
        <w:t xml:space="preserve"> נסקרה תמונת המצב בנושא </w:t>
      </w:r>
      <w:r w:rsidR="00F428BE">
        <w:rPr>
          <w:rFonts w:cs="David" w:hint="cs"/>
          <w:sz w:val="28"/>
          <w:szCs w:val="28"/>
          <w:rtl/>
        </w:rPr>
        <w:t xml:space="preserve">הרשתות החברתיות </w:t>
      </w:r>
      <w:r w:rsidRPr="00EA4F50">
        <w:rPr>
          <w:rFonts w:cs="David" w:hint="cs"/>
          <w:sz w:val="28"/>
          <w:szCs w:val="28"/>
          <w:rtl/>
        </w:rPr>
        <w:t xml:space="preserve">בישראל. </w:t>
      </w:r>
    </w:p>
    <w:p w:rsidR="000916D7" w:rsidRDefault="00280727" w:rsidP="00F428BE">
      <w:pPr>
        <w:spacing w:line="360" w:lineRule="auto"/>
        <w:jc w:val="both"/>
        <w:rPr>
          <w:rFonts w:cs="David"/>
          <w:sz w:val="28"/>
          <w:szCs w:val="28"/>
          <w:rtl/>
        </w:rPr>
      </w:pPr>
      <w:r w:rsidRPr="00EA4F50">
        <w:rPr>
          <w:rFonts w:cs="David" w:hint="cs"/>
          <w:sz w:val="28"/>
          <w:szCs w:val="28"/>
          <w:rtl/>
        </w:rPr>
        <w:t>מן הנתונים עולה</w:t>
      </w:r>
      <w:r w:rsidR="000D3F74">
        <w:rPr>
          <w:rFonts w:cs="David" w:hint="cs"/>
          <w:sz w:val="28"/>
          <w:szCs w:val="28"/>
          <w:rtl/>
        </w:rPr>
        <w:t>,</w:t>
      </w:r>
      <w:r w:rsidRPr="00EA4F50">
        <w:rPr>
          <w:rFonts w:cs="David" w:hint="cs"/>
          <w:sz w:val="28"/>
          <w:szCs w:val="28"/>
          <w:rtl/>
        </w:rPr>
        <w:t xml:space="preserve"> כי לצד השימוש הנפוץ במרשתת במדינת ישראל, גם הגלישה ברשתות החברתיות הולכת והופכת נפוצה יותר ויותר</w:t>
      </w:r>
      <w:r>
        <w:rPr>
          <w:rFonts w:cs="David" w:hint="cs"/>
          <w:sz w:val="28"/>
          <w:szCs w:val="28"/>
          <w:rtl/>
        </w:rPr>
        <w:t xml:space="preserve"> </w:t>
      </w:r>
      <w:r w:rsidR="00A84F4E" w:rsidRPr="00283709">
        <w:rPr>
          <w:rFonts w:cs="David" w:hint="cs"/>
          <w:sz w:val="28"/>
          <w:szCs w:val="28"/>
          <w:rtl/>
        </w:rPr>
        <w:t>בישראל</w:t>
      </w:r>
      <w:r w:rsidR="00A90BF8" w:rsidRPr="00283709">
        <w:rPr>
          <w:rFonts w:cs="David" w:hint="cs"/>
          <w:sz w:val="28"/>
          <w:szCs w:val="28"/>
          <w:rtl/>
        </w:rPr>
        <w:t xml:space="preserve"> עם </w:t>
      </w:r>
      <w:r w:rsidR="00DE1589" w:rsidRPr="00283709">
        <w:rPr>
          <w:rFonts w:cs="David" w:hint="cs"/>
          <w:b/>
          <w:bCs/>
          <w:sz w:val="28"/>
          <w:szCs w:val="28"/>
          <w:rtl/>
        </w:rPr>
        <w:t>4.9 מיליון ישראלים מחוברים ל'פייסבוק'</w:t>
      </w:r>
      <w:r w:rsidR="000D3F74">
        <w:rPr>
          <w:rFonts w:cs="David" w:hint="cs"/>
          <w:sz w:val="28"/>
          <w:szCs w:val="28"/>
          <w:rtl/>
        </w:rPr>
        <w:t xml:space="preserve">, </w:t>
      </w:r>
      <w:r w:rsidR="00A90BF8" w:rsidRPr="00283709">
        <w:rPr>
          <w:rFonts w:cs="David" w:hint="cs"/>
          <w:sz w:val="28"/>
          <w:szCs w:val="28"/>
          <w:rtl/>
        </w:rPr>
        <w:t>שהם 59.9% מכלל האוכלוסייה;</w:t>
      </w:r>
      <w:r w:rsidR="00DE1589" w:rsidRPr="00283709">
        <w:rPr>
          <w:rStyle w:val="a5"/>
          <w:rFonts w:cs="David"/>
          <w:sz w:val="28"/>
          <w:szCs w:val="28"/>
          <w:rtl/>
        </w:rPr>
        <w:footnoteReference w:id="25"/>
      </w:r>
      <w:r w:rsidR="00A90BF8" w:rsidRPr="00283709">
        <w:rPr>
          <w:rFonts w:cs="David" w:hint="cs"/>
          <w:b/>
          <w:bCs/>
          <w:sz w:val="28"/>
          <w:szCs w:val="28"/>
        </w:rPr>
        <w:t xml:space="preserve"> </w:t>
      </w:r>
      <w:r w:rsidR="00DE1589" w:rsidRPr="00283709">
        <w:rPr>
          <w:rFonts w:cs="David" w:hint="cs"/>
          <w:b/>
          <w:bCs/>
          <w:sz w:val="28"/>
          <w:szCs w:val="28"/>
          <w:rtl/>
        </w:rPr>
        <w:t>כ-90% מהאוכלוסייה בישראל מחוברת ל'וואטסאפ'</w:t>
      </w:r>
      <w:r w:rsidR="00A90BF8" w:rsidRPr="00283709">
        <w:rPr>
          <w:rFonts w:cs="David" w:hint="cs"/>
          <w:sz w:val="28"/>
          <w:szCs w:val="28"/>
        </w:rPr>
        <w:t xml:space="preserve"> - </w:t>
      </w:r>
      <w:r w:rsidR="00A90BF8" w:rsidRPr="00283709">
        <w:rPr>
          <w:rFonts w:cs="David" w:hint="cs"/>
          <w:sz w:val="28"/>
          <w:szCs w:val="28"/>
          <w:rtl/>
        </w:rPr>
        <w:t>ה</w:t>
      </w:r>
      <w:r w:rsidR="00DE1589" w:rsidRPr="00283709">
        <w:rPr>
          <w:rFonts w:cs="David" w:hint="cs"/>
          <w:sz w:val="28"/>
          <w:szCs w:val="28"/>
          <w:rtl/>
        </w:rPr>
        <w:t>מדובר בנ</w:t>
      </w:r>
      <w:r w:rsidR="00A90BF8" w:rsidRPr="00283709">
        <w:rPr>
          <w:rFonts w:cs="David" w:hint="cs"/>
          <w:sz w:val="28"/>
          <w:szCs w:val="28"/>
          <w:rtl/>
        </w:rPr>
        <w:t>תון חדירה מרשים לפי כל קנה מידה;</w:t>
      </w:r>
      <w:r w:rsidR="0030785C" w:rsidRPr="00283709">
        <w:rPr>
          <w:rStyle w:val="a5"/>
          <w:rFonts w:cs="David"/>
          <w:sz w:val="28"/>
          <w:szCs w:val="28"/>
          <w:rtl/>
        </w:rPr>
        <w:footnoteReference w:id="26"/>
      </w:r>
      <w:r w:rsidR="00A90BF8" w:rsidRPr="00283709">
        <w:rPr>
          <w:rFonts w:cs="David" w:hint="cs"/>
          <w:sz w:val="28"/>
          <w:szCs w:val="28"/>
          <w:rtl/>
        </w:rPr>
        <w:t xml:space="preserve"> </w:t>
      </w:r>
      <w:r w:rsidR="00DE1589" w:rsidRPr="00283709">
        <w:rPr>
          <w:rFonts w:cs="David" w:hint="cs"/>
          <w:sz w:val="28"/>
          <w:szCs w:val="28"/>
          <w:rtl/>
        </w:rPr>
        <w:t>ה'סנאפצ'ט' הינו זירת הנוער וממשיך לצמוח משנה לשנה, עם כ</w:t>
      </w:r>
      <w:r w:rsidR="00DE1589" w:rsidRPr="00283709">
        <w:rPr>
          <w:rFonts w:cs="David" w:hint="cs"/>
          <w:b/>
          <w:bCs/>
          <w:sz w:val="28"/>
          <w:szCs w:val="28"/>
          <w:rtl/>
        </w:rPr>
        <w:t>-50% מבני הנוער הפעילים בו</w:t>
      </w:r>
      <w:r w:rsidR="00DE1589" w:rsidRPr="00283709">
        <w:rPr>
          <w:rFonts w:cs="David" w:hint="cs"/>
          <w:sz w:val="28"/>
          <w:szCs w:val="28"/>
          <w:rtl/>
        </w:rPr>
        <w:t>, לעומת 10% בלבד מהמבוגרים.</w:t>
      </w:r>
      <w:r w:rsidR="0030785C" w:rsidRPr="00283709">
        <w:rPr>
          <w:rStyle w:val="a5"/>
          <w:rFonts w:cs="David"/>
          <w:sz w:val="28"/>
          <w:szCs w:val="28"/>
          <w:rtl/>
        </w:rPr>
        <w:footnoteReference w:id="27"/>
      </w:r>
    </w:p>
    <w:p w:rsidR="00DE1589" w:rsidRPr="00830C61" w:rsidRDefault="00736F5D" w:rsidP="00195882">
      <w:pPr>
        <w:spacing w:line="360" w:lineRule="auto"/>
        <w:jc w:val="both"/>
        <w:rPr>
          <w:rFonts w:cs="David"/>
          <w:sz w:val="28"/>
          <w:szCs w:val="28"/>
          <w:rtl/>
        </w:rPr>
      </w:pPr>
      <w:r w:rsidRPr="00283709">
        <w:rPr>
          <w:rFonts w:cs="David" w:hint="cs"/>
          <w:sz w:val="28"/>
          <w:szCs w:val="28"/>
          <w:rtl/>
        </w:rPr>
        <w:t xml:space="preserve">בבחינת </w:t>
      </w:r>
      <w:r w:rsidR="00875EEB" w:rsidRPr="00283709">
        <w:rPr>
          <w:rFonts w:cs="David" w:hint="cs"/>
          <w:sz w:val="28"/>
          <w:szCs w:val="28"/>
          <w:rtl/>
        </w:rPr>
        <w:t xml:space="preserve">מאפייני הגלישה </w:t>
      </w:r>
      <w:r w:rsidR="0059452B" w:rsidRPr="00283709">
        <w:rPr>
          <w:rFonts w:cs="David" w:hint="cs"/>
          <w:sz w:val="28"/>
          <w:szCs w:val="28"/>
          <w:rtl/>
        </w:rPr>
        <w:t xml:space="preserve">ספציפית </w:t>
      </w:r>
      <w:r w:rsidR="00875EEB" w:rsidRPr="00283709">
        <w:rPr>
          <w:rFonts w:cs="David" w:hint="cs"/>
          <w:sz w:val="28"/>
          <w:szCs w:val="28"/>
          <w:rtl/>
        </w:rPr>
        <w:t>ב</w:t>
      </w:r>
      <w:r w:rsidR="00DE1589" w:rsidRPr="00283709">
        <w:rPr>
          <w:rFonts w:cs="David" w:hint="cs"/>
          <w:sz w:val="28"/>
          <w:szCs w:val="28"/>
          <w:rtl/>
        </w:rPr>
        <w:t>'פייסבוק'</w:t>
      </w:r>
      <w:r w:rsidRPr="00283709">
        <w:rPr>
          <w:rFonts w:cs="David" w:hint="cs"/>
          <w:sz w:val="28"/>
          <w:szCs w:val="28"/>
          <w:rtl/>
        </w:rPr>
        <w:t>, כרשת החברתית המקוונת הנפוצה ביותר</w:t>
      </w:r>
      <w:r w:rsidR="00195882">
        <w:rPr>
          <w:rFonts w:cs="David" w:hint="cs"/>
          <w:sz w:val="28"/>
          <w:szCs w:val="28"/>
          <w:rtl/>
        </w:rPr>
        <w:t xml:space="preserve">, </w:t>
      </w:r>
      <w:r w:rsidRPr="00283709">
        <w:rPr>
          <w:rFonts w:cs="David" w:hint="cs"/>
          <w:sz w:val="28"/>
          <w:szCs w:val="28"/>
          <w:rtl/>
        </w:rPr>
        <w:t>עולה כ</w:t>
      </w:r>
      <w:r w:rsidR="00EA6810" w:rsidRPr="00283709">
        <w:rPr>
          <w:rFonts w:cs="David" w:hint="cs"/>
          <w:sz w:val="28"/>
          <w:szCs w:val="28"/>
          <w:rtl/>
        </w:rPr>
        <w:t>ך:</w:t>
      </w:r>
      <w:r w:rsidR="00EA6810" w:rsidRPr="00283709">
        <w:rPr>
          <w:rStyle w:val="a5"/>
          <w:rFonts w:cs="David"/>
          <w:sz w:val="28"/>
          <w:szCs w:val="28"/>
          <w:rtl/>
        </w:rPr>
        <w:footnoteReference w:id="28"/>
      </w:r>
      <w:r>
        <w:rPr>
          <w:rFonts w:cs="David" w:hint="cs"/>
          <w:sz w:val="28"/>
          <w:szCs w:val="28"/>
          <w:rtl/>
        </w:rPr>
        <w:t xml:space="preserve"> </w:t>
      </w:r>
    </w:p>
    <w:p w:rsidR="00466C2D" w:rsidRPr="00721492" w:rsidRDefault="00466C2D" w:rsidP="000B0025">
      <w:pPr>
        <w:spacing w:line="360" w:lineRule="auto"/>
        <w:jc w:val="both"/>
        <w:rPr>
          <w:rFonts w:cs="David"/>
          <w:sz w:val="28"/>
          <w:szCs w:val="28"/>
          <w:rtl/>
        </w:rPr>
      </w:pPr>
      <w:r w:rsidRPr="000B0025">
        <w:rPr>
          <w:rFonts w:cs="David" w:hint="cs"/>
          <w:b/>
          <w:bCs/>
          <w:sz w:val="28"/>
          <w:szCs w:val="28"/>
          <w:rtl/>
        </w:rPr>
        <w:t xml:space="preserve">גרף מספר </w:t>
      </w:r>
      <w:r w:rsidR="00721492" w:rsidRPr="000B0025">
        <w:rPr>
          <w:rFonts w:cs="David" w:hint="cs"/>
          <w:b/>
          <w:bCs/>
          <w:sz w:val="28"/>
          <w:szCs w:val="28"/>
          <w:rtl/>
        </w:rPr>
        <w:t>8</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משתמשי 'פייסבוק' בישראל</w:t>
      </w:r>
    </w:p>
    <w:p w:rsidR="009804D6" w:rsidRDefault="009804D6" w:rsidP="000B0025">
      <w:pPr>
        <w:spacing w:line="360" w:lineRule="auto"/>
        <w:ind w:left="-170"/>
        <w:jc w:val="both"/>
        <w:rPr>
          <w:rFonts w:cs="David"/>
          <w:sz w:val="28"/>
          <w:szCs w:val="28"/>
        </w:rPr>
      </w:pPr>
      <w:r w:rsidRPr="001023A8">
        <w:rPr>
          <w:noProof/>
        </w:rPr>
        <w:drawing>
          <wp:inline distT="0" distB="0" distL="0" distR="0" wp14:anchorId="6B2C2549" wp14:editId="179F4F24">
            <wp:extent cx="4991100" cy="2730979"/>
            <wp:effectExtent l="0" t="0" r="0" b="0"/>
            <wp:docPr id="2" name="תמונה 2" descr="http://www.fialkov.co.il/wp-content/uploads/facebook-info-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alkov.co.il/wp-content/uploads/facebook-info-0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4" t="-216" r="-2322" b="89723"/>
                    <a:stretch/>
                  </pic:blipFill>
                  <pic:spPr bwMode="auto">
                    <a:xfrm>
                      <a:off x="0" y="0"/>
                      <a:ext cx="5011474" cy="2742127"/>
                    </a:xfrm>
                    <a:prstGeom prst="rect">
                      <a:avLst/>
                    </a:prstGeom>
                    <a:noFill/>
                    <a:ln>
                      <a:noFill/>
                    </a:ln>
                    <a:extLst>
                      <a:ext uri="{53640926-AAD7-44D8-BBD7-CCE9431645EC}">
                        <a14:shadowObscured xmlns:a14="http://schemas.microsoft.com/office/drawing/2010/main"/>
                      </a:ext>
                    </a:extLst>
                  </pic:spPr>
                </pic:pic>
              </a:graphicData>
            </a:graphic>
          </wp:inline>
        </w:drawing>
      </w:r>
    </w:p>
    <w:p w:rsidR="00EA6810" w:rsidRPr="00B76BDC" w:rsidRDefault="00EA6810" w:rsidP="000B0025">
      <w:pPr>
        <w:spacing w:line="360" w:lineRule="auto"/>
        <w:jc w:val="both"/>
        <w:rPr>
          <w:rFonts w:cs="David"/>
          <w:sz w:val="24"/>
          <w:szCs w:val="24"/>
          <w:rtl/>
        </w:rPr>
      </w:pPr>
      <w:r w:rsidRPr="00B76BDC">
        <w:rPr>
          <w:rFonts w:cs="David" w:hint="cs"/>
          <w:sz w:val="24"/>
          <w:szCs w:val="24"/>
          <w:rtl/>
        </w:rPr>
        <w:t>בקרב בני 18 ומעלה קבוצת הגיל הפעילה ביותר ב'פייסבוק' בישראל היא זו של בני ובנות 34-25, עם 31% בנים ו-28% בנות. בסך הכול מבין הגולשים 53% הם גברים מעל גיל 18 ו-47% נשים.</w:t>
      </w:r>
    </w:p>
    <w:p w:rsidR="00466C2D" w:rsidRPr="00721492" w:rsidRDefault="00466C2D" w:rsidP="000B0025">
      <w:pPr>
        <w:spacing w:line="360" w:lineRule="auto"/>
        <w:ind w:left="226" w:hanging="226"/>
        <w:jc w:val="both"/>
        <w:rPr>
          <w:rFonts w:cs="David"/>
          <w:sz w:val="28"/>
          <w:szCs w:val="28"/>
          <w:rtl/>
        </w:rPr>
      </w:pPr>
      <w:r w:rsidRPr="000B0025">
        <w:rPr>
          <w:rFonts w:cs="David" w:hint="cs"/>
          <w:b/>
          <w:bCs/>
          <w:sz w:val="28"/>
          <w:szCs w:val="28"/>
          <w:rtl/>
        </w:rPr>
        <w:lastRenderedPageBreak/>
        <w:t xml:space="preserve">גרף מספר </w:t>
      </w:r>
      <w:r w:rsidR="00721492" w:rsidRPr="000B0025">
        <w:rPr>
          <w:rFonts w:cs="David" w:hint="cs"/>
          <w:b/>
          <w:bCs/>
          <w:sz w:val="28"/>
          <w:szCs w:val="28"/>
          <w:rtl/>
        </w:rPr>
        <w:t>9</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רמת ההשכלה בקרב גולשי 'פייסבוק'</w:t>
      </w:r>
    </w:p>
    <w:p w:rsidR="009804D6" w:rsidRDefault="009804D6" w:rsidP="000B0025">
      <w:pPr>
        <w:tabs>
          <w:tab w:val="left" w:pos="-58"/>
        </w:tabs>
        <w:spacing w:line="360" w:lineRule="auto"/>
        <w:jc w:val="both"/>
        <w:rPr>
          <w:rFonts w:cs="David"/>
          <w:sz w:val="28"/>
          <w:szCs w:val="28"/>
          <w:rtl/>
        </w:rPr>
      </w:pPr>
      <w:r w:rsidRPr="001023A8">
        <w:rPr>
          <w:noProof/>
        </w:rPr>
        <w:drawing>
          <wp:inline distT="0" distB="0" distL="0" distR="0" wp14:anchorId="29A06290" wp14:editId="08F1EB3C">
            <wp:extent cx="4905375" cy="2266315"/>
            <wp:effectExtent l="0" t="0" r="9525" b="635"/>
            <wp:docPr id="6" name="תמונה 6" descr="http://www.fialkov.co.il/wp-content/uploads/facebook-info-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alkov.co.il/wp-content/uploads/facebook-info-0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92" t="19341" r="562" b="70270"/>
                    <a:stretch/>
                  </pic:blipFill>
                  <pic:spPr bwMode="auto">
                    <a:xfrm>
                      <a:off x="0" y="0"/>
                      <a:ext cx="4954719" cy="2289112"/>
                    </a:xfrm>
                    <a:prstGeom prst="rect">
                      <a:avLst/>
                    </a:prstGeom>
                    <a:noFill/>
                    <a:ln>
                      <a:noFill/>
                    </a:ln>
                    <a:extLst>
                      <a:ext uri="{53640926-AAD7-44D8-BBD7-CCE9431645EC}">
                        <a14:shadowObscured xmlns:a14="http://schemas.microsoft.com/office/drawing/2010/main"/>
                      </a:ext>
                    </a:extLst>
                  </pic:spPr>
                </pic:pic>
              </a:graphicData>
            </a:graphic>
          </wp:inline>
        </w:drawing>
      </w:r>
    </w:p>
    <w:p w:rsidR="00E218AE" w:rsidRPr="00E218AE" w:rsidRDefault="00E218AE" w:rsidP="00F5259A">
      <w:pPr>
        <w:spacing w:line="360" w:lineRule="auto"/>
        <w:jc w:val="both"/>
        <w:rPr>
          <w:rFonts w:cs="David"/>
          <w:sz w:val="24"/>
          <w:szCs w:val="24"/>
          <w:rtl/>
        </w:rPr>
      </w:pPr>
      <w:r w:rsidRPr="002C67E9">
        <w:rPr>
          <w:rFonts w:cs="David" w:hint="cs"/>
          <w:sz w:val="24"/>
          <w:szCs w:val="24"/>
          <w:rtl/>
        </w:rPr>
        <w:t>70% ממשתתפי הרשת הבוגרים הם סטודנטים או בוגרי מוסדות אקדמיים, 27%</w:t>
      </w:r>
      <w:r w:rsidRPr="00E218AE">
        <w:rPr>
          <w:rFonts w:cs="David" w:hint="cs"/>
          <w:sz w:val="24"/>
          <w:szCs w:val="24"/>
          <w:rtl/>
        </w:rPr>
        <w:t xml:space="preserve"> הם בוגרי תיכון ו-3% בלבד הם בוגרי בית ספר יסודי בלבד.</w:t>
      </w:r>
    </w:p>
    <w:p w:rsidR="00466C2D" w:rsidRPr="00721492" w:rsidRDefault="00466C2D" w:rsidP="000B0025">
      <w:pPr>
        <w:spacing w:line="360" w:lineRule="auto"/>
        <w:jc w:val="both"/>
        <w:rPr>
          <w:rFonts w:cs="David"/>
          <w:sz w:val="28"/>
          <w:szCs w:val="28"/>
          <w:rtl/>
        </w:rPr>
      </w:pPr>
      <w:r w:rsidRPr="000B0025">
        <w:rPr>
          <w:rFonts w:cs="David" w:hint="cs"/>
          <w:b/>
          <w:bCs/>
          <w:sz w:val="28"/>
          <w:szCs w:val="28"/>
          <w:rtl/>
        </w:rPr>
        <w:t xml:space="preserve">גרף מספר </w:t>
      </w:r>
      <w:r w:rsidR="00721492" w:rsidRPr="000B0025">
        <w:rPr>
          <w:rFonts w:cs="David" w:hint="cs"/>
          <w:b/>
          <w:bCs/>
          <w:sz w:val="28"/>
          <w:szCs w:val="28"/>
          <w:rtl/>
        </w:rPr>
        <w:t>10</w:t>
      </w:r>
      <w:r w:rsidRPr="00721492">
        <w:rPr>
          <w:rFonts w:cs="David" w:hint="cs"/>
          <w:sz w:val="28"/>
          <w:szCs w:val="28"/>
          <w:rtl/>
        </w:rPr>
        <w:t xml:space="preserve"> </w:t>
      </w:r>
      <w:r w:rsidRPr="00721492">
        <w:rPr>
          <w:rFonts w:cs="David"/>
          <w:sz w:val="28"/>
          <w:szCs w:val="28"/>
          <w:rtl/>
        </w:rPr>
        <w:t>–</w:t>
      </w:r>
      <w:r w:rsidRPr="00721492">
        <w:rPr>
          <w:rFonts w:cs="David" w:hint="cs"/>
          <w:sz w:val="28"/>
          <w:szCs w:val="28"/>
          <w:rtl/>
        </w:rPr>
        <w:t xml:space="preserve"> אופן הגלישה</w:t>
      </w:r>
    </w:p>
    <w:p w:rsidR="009804D6" w:rsidRDefault="009804D6" w:rsidP="000B0025">
      <w:pPr>
        <w:spacing w:line="360" w:lineRule="auto"/>
        <w:jc w:val="both"/>
        <w:rPr>
          <w:rFonts w:cs="David"/>
          <w:sz w:val="28"/>
          <w:szCs w:val="28"/>
          <w:rtl/>
        </w:rPr>
      </w:pPr>
      <w:r>
        <w:rPr>
          <w:noProof/>
        </w:rPr>
        <w:drawing>
          <wp:inline distT="0" distB="0" distL="0" distR="0" wp14:anchorId="2C59EE18" wp14:editId="110FEB1C">
            <wp:extent cx="4836795" cy="2876550"/>
            <wp:effectExtent l="0" t="0" r="1905" b="0"/>
            <wp:docPr id="7" name="תמונה 7" descr="http://www.fialkov.co.il/wp-content/uploads/facebook-info-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alkov.co.il/wp-content/uploads/facebook-info-01-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8" t="39617" r="-159" b="42724"/>
                    <a:stretch/>
                  </pic:blipFill>
                  <pic:spPr bwMode="auto">
                    <a:xfrm>
                      <a:off x="0" y="0"/>
                      <a:ext cx="4851523" cy="2885309"/>
                    </a:xfrm>
                    <a:prstGeom prst="rect">
                      <a:avLst/>
                    </a:prstGeom>
                    <a:noFill/>
                    <a:ln>
                      <a:noFill/>
                    </a:ln>
                    <a:extLst>
                      <a:ext uri="{53640926-AAD7-44D8-BBD7-CCE9431645EC}">
                        <a14:shadowObscured xmlns:a14="http://schemas.microsoft.com/office/drawing/2010/main"/>
                      </a:ext>
                    </a:extLst>
                  </pic:spPr>
                </pic:pic>
              </a:graphicData>
            </a:graphic>
          </wp:inline>
        </w:drawing>
      </w:r>
    </w:p>
    <w:p w:rsidR="0026669B" w:rsidRPr="002C67E9" w:rsidRDefault="0026669B" w:rsidP="00F5259A">
      <w:pPr>
        <w:spacing w:line="360" w:lineRule="auto"/>
        <w:jc w:val="both"/>
        <w:rPr>
          <w:rFonts w:cs="David"/>
          <w:sz w:val="24"/>
          <w:szCs w:val="24"/>
          <w:rtl/>
        </w:rPr>
      </w:pPr>
      <w:r w:rsidRPr="002C67E9">
        <w:rPr>
          <w:rFonts w:cs="David" w:hint="cs"/>
          <w:sz w:val="24"/>
          <w:szCs w:val="24"/>
          <w:rtl/>
        </w:rPr>
        <w:t>שיעור הבוגרים הגולשים ל'פייסבוק' באמצעות טלפונים סלולאריים או טאבלטים הגיע בשנת 2016 ל-52% מכלל הגולשים לעומת 43% בשנת 2015 ו-23% בשנת 2014.</w:t>
      </w:r>
    </w:p>
    <w:p w:rsidR="000D4C54" w:rsidRDefault="000D4C54" w:rsidP="000D4C54">
      <w:pPr>
        <w:spacing w:line="360" w:lineRule="auto"/>
        <w:jc w:val="both"/>
        <w:rPr>
          <w:rFonts w:cs="David"/>
          <w:b/>
          <w:bCs/>
          <w:sz w:val="28"/>
          <w:szCs w:val="28"/>
          <w:rtl/>
        </w:rPr>
      </w:pPr>
    </w:p>
    <w:p w:rsidR="000D4C54" w:rsidRDefault="000D4C54" w:rsidP="000D4C54">
      <w:pPr>
        <w:spacing w:line="360" w:lineRule="auto"/>
        <w:jc w:val="both"/>
        <w:rPr>
          <w:rFonts w:cs="David"/>
          <w:b/>
          <w:bCs/>
          <w:sz w:val="28"/>
          <w:szCs w:val="28"/>
          <w:rtl/>
        </w:rPr>
      </w:pPr>
    </w:p>
    <w:p w:rsidR="000D4C54" w:rsidRDefault="000D4C54" w:rsidP="000D4C54">
      <w:pPr>
        <w:spacing w:line="360" w:lineRule="auto"/>
        <w:jc w:val="both"/>
        <w:rPr>
          <w:rFonts w:cs="David"/>
          <w:b/>
          <w:bCs/>
          <w:sz w:val="28"/>
          <w:szCs w:val="28"/>
          <w:rtl/>
        </w:rPr>
      </w:pPr>
    </w:p>
    <w:p w:rsidR="000B0025" w:rsidRDefault="000B0025" w:rsidP="000B0025">
      <w:pPr>
        <w:spacing w:line="360" w:lineRule="auto"/>
        <w:ind w:left="283"/>
        <w:jc w:val="both"/>
        <w:rPr>
          <w:rFonts w:cs="David"/>
          <w:b/>
          <w:bCs/>
          <w:sz w:val="28"/>
          <w:szCs w:val="28"/>
          <w:rtl/>
        </w:rPr>
      </w:pPr>
    </w:p>
    <w:p w:rsidR="003218BC" w:rsidRPr="003218BC" w:rsidRDefault="00F5259A" w:rsidP="003218BC">
      <w:pPr>
        <w:spacing w:line="360" w:lineRule="auto"/>
        <w:jc w:val="both"/>
        <w:rPr>
          <w:rFonts w:cs="David"/>
          <w:sz w:val="28"/>
          <w:szCs w:val="28"/>
          <w:rtl/>
        </w:rPr>
      </w:pPr>
      <w:r>
        <w:rPr>
          <w:rFonts w:cs="David" w:hint="cs"/>
          <w:sz w:val="28"/>
          <w:szCs w:val="28"/>
          <w:rtl/>
        </w:rPr>
        <w:lastRenderedPageBreak/>
        <w:t>מ</w:t>
      </w:r>
      <w:r w:rsidR="003218BC" w:rsidRPr="003218BC">
        <w:rPr>
          <w:rFonts w:cs="David" w:hint="cs"/>
          <w:sz w:val="28"/>
          <w:szCs w:val="28"/>
          <w:rtl/>
        </w:rPr>
        <w:t>בחינה פרטנית של תפוצת השיח הגזעני והמסית ברשתות החברתיות בישראל עול</w:t>
      </w:r>
      <w:r w:rsidR="003218BC">
        <w:rPr>
          <w:rFonts w:cs="David" w:hint="cs"/>
          <w:sz w:val="28"/>
          <w:szCs w:val="28"/>
          <w:rtl/>
        </w:rPr>
        <w:t>ה</w:t>
      </w:r>
      <w:r w:rsidR="003218BC" w:rsidRPr="003218BC">
        <w:rPr>
          <w:rFonts w:cs="David" w:hint="cs"/>
          <w:sz w:val="28"/>
          <w:szCs w:val="28"/>
          <w:rtl/>
        </w:rPr>
        <w:t xml:space="preserve"> כך:</w:t>
      </w:r>
      <w:r w:rsidR="003218BC">
        <w:rPr>
          <w:rStyle w:val="a5"/>
          <w:rFonts w:cs="David"/>
          <w:sz w:val="28"/>
          <w:szCs w:val="28"/>
          <w:rtl/>
        </w:rPr>
        <w:footnoteReference w:id="29"/>
      </w:r>
    </w:p>
    <w:p w:rsidR="000D4C54" w:rsidRPr="000D4C54" w:rsidRDefault="000D4C54" w:rsidP="000B0025">
      <w:pPr>
        <w:spacing w:line="360" w:lineRule="auto"/>
        <w:jc w:val="both"/>
        <w:rPr>
          <w:rFonts w:cs="David"/>
          <w:sz w:val="28"/>
          <w:szCs w:val="28"/>
          <w:rtl/>
        </w:rPr>
      </w:pPr>
      <w:r>
        <w:rPr>
          <w:rFonts w:cs="David" w:hint="cs"/>
          <w:b/>
          <w:bCs/>
          <w:sz w:val="28"/>
          <w:szCs w:val="28"/>
          <w:rtl/>
        </w:rPr>
        <w:t xml:space="preserve">גרף מספר </w:t>
      </w:r>
      <w:r w:rsidR="000B0025">
        <w:rPr>
          <w:rFonts w:cs="David" w:hint="cs"/>
          <w:b/>
          <w:bCs/>
          <w:sz w:val="28"/>
          <w:szCs w:val="28"/>
          <w:rtl/>
        </w:rPr>
        <w:t>11</w:t>
      </w:r>
      <w:r>
        <w:rPr>
          <w:rFonts w:cs="David" w:hint="cs"/>
          <w:b/>
          <w:bCs/>
          <w:sz w:val="28"/>
          <w:szCs w:val="28"/>
          <w:rtl/>
        </w:rPr>
        <w:t xml:space="preserve"> </w:t>
      </w:r>
      <w:r>
        <w:rPr>
          <w:rFonts w:cs="David"/>
          <w:b/>
          <w:bCs/>
          <w:sz w:val="28"/>
          <w:szCs w:val="28"/>
          <w:rtl/>
        </w:rPr>
        <w:t>–</w:t>
      </w:r>
      <w:r>
        <w:rPr>
          <w:rFonts w:cs="David" w:hint="cs"/>
          <w:b/>
          <w:bCs/>
          <w:sz w:val="28"/>
          <w:szCs w:val="28"/>
          <w:rtl/>
        </w:rPr>
        <w:t xml:space="preserve"> </w:t>
      </w:r>
      <w:r w:rsidRPr="000D4C54">
        <w:rPr>
          <w:rFonts w:cs="David" w:hint="cs"/>
          <w:sz w:val="28"/>
          <w:szCs w:val="28"/>
          <w:rtl/>
        </w:rPr>
        <w:t>אחוז השימוש ב'פייסבוק' לשיח גזעני ומסית</w:t>
      </w:r>
    </w:p>
    <w:p w:rsidR="000D4C54" w:rsidRDefault="000D4C54" w:rsidP="000B0025">
      <w:pPr>
        <w:spacing w:line="360" w:lineRule="auto"/>
        <w:jc w:val="both"/>
        <w:rPr>
          <w:rFonts w:cs="David"/>
          <w:b/>
          <w:bCs/>
          <w:sz w:val="28"/>
          <w:szCs w:val="28"/>
          <w:rtl/>
        </w:rPr>
      </w:pPr>
      <w:r w:rsidRPr="000D4C54">
        <w:rPr>
          <w:rFonts w:cs="David"/>
          <w:b/>
          <w:bCs/>
          <w:noProof/>
          <w:sz w:val="28"/>
          <w:szCs w:val="28"/>
        </w:rPr>
        <w:drawing>
          <wp:inline distT="0" distB="0" distL="0" distR="0" wp14:anchorId="7DA673CB" wp14:editId="42EF174F">
            <wp:extent cx="4497499" cy="3084000"/>
            <wp:effectExtent l="0" t="0" r="17780" b="2540"/>
            <wp:docPr id="8" name="תרשים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4C54" w:rsidRPr="000D4C54" w:rsidRDefault="000D4C54" w:rsidP="000B0025">
      <w:pPr>
        <w:spacing w:line="360" w:lineRule="auto"/>
        <w:jc w:val="both"/>
        <w:rPr>
          <w:rFonts w:cs="David"/>
          <w:sz w:val="24"/>
          <w:szCs w:val="24"/>
          <w:rtl/>
        </w:rPr>
      </w:pPr>
      <w:r w:rsidRPr="000D4C54">
        <w:rPr>
          <w:rFonts w:cs="David" w:hint="cs"/>
          <w:sz w:val="24"/>
          <w:szCs w:val="24"/>
          <w:rtl/>
        </w:rPr>
        <w:t>87% מהשיח הגזעני והאלים בישראל נגד החברה הערבית מתנהל ב'פייסבוק'.</w:t>
      </w:r>
    </w:p>
    <w:p w:rsidR="0026669B" w:rsidRPr="00854211" w:rsidRDefault="00431FFB" w:rsidP="00C8676A">
      <w:pPr>
        <w:spacing w:line="360" w:lineRule="auto"/>
        <w:jc w:val="both"/>
        <w:rPr>
          <w:rFonts w:cs="David"/>
          <w:sz w:val="24"/>
          <w:szCs w:val="24"/>
          <w:rtl/>
        </w:rPr>
      </w:pPr>
      <w:r>
        <w:rPr>
          <w:rFonts w:cs="David" w:hint="cs"/>
          <w:sz w:val="28"/>
          <w:szCs w:val="28"/>
          <w:rtl/>
        </w:rPr>
        <w:t>מ</w:t>
      </w:r>
      <w:r w:rsidR="008543ED" w:rsidRPr="00F40744">
        <w:rPr>
          <w:rFonts w:cs="David" w:hint="cs"/>
          <w:sz w:val="28"/>
          <w:szCs w:val="28"/>
          <w:rtl/>
        </w:rPr>
        <w:t xml:space="preserve">סיכום הנתונים </w:t>
      </w:r>
      <w:r>
        <w:rPr>
          <w:rFonts w:cs="David" w:hint="cs"/>
          <w:sz w:val="28"/>
          <w:szCs w:val="28"/>
          <w:rtl/>
        </w:rPr>
        <w:t xml:space="preserve">עולה </w:t>
      </w:r>
      <w:r w:rsidR="008543ED" w:rsidRPr="00F40744">
        <w:rPr>
          <w:rFonts w:cs="David" w:hint="cs"/>
          <w:sz w:val="28"/>
          <w:szCs w:val="28"/>
          <w:rtl/>
        </w:rPr>
        <w:t xml:space="preserve">כי </w:t>
      </w:r>
      <w:r w:rsidR="008543ED" w:rsidRPr="003218BC">
        <w:rPr>
          <w:rFonts w:cs="David" w:hint="cs"/>
          <w:b/>
          <w:bCs/>
          <w:sz w:val="28"/>
          <w:szCs w:val="28"/>
          <w:rtl/>
        </w:rPr>
        <w:t>בישראל</w:t>
      </w:r>
      <w:r w:rsidR="008543ED" w:rsidRPr="00F40744">
        <w:rPr>
          <w:rFonts w:cs="David" w:hint="cs"/>
          <w:sz w:val="28"/>
          <w:szCs w:val="28"/>
          <w:rtl/>
        </w:rPr>
        <w:t xml:space="preserve"> </w:t>
      </w:r>
      <w:r w:rsidR="008543ED" w:rsidRPr="00F40744">
        <w:rPr>
          <w:rFonts w:cs="David" w:hint="cs"/>
          <w:b/>
          <w:bCs/>
          <w:sz w:val="28"/>
          <w:szCs w:val="28"/>
          <w:rtl/>
        </w:rPr>
        <w:t xml:space="preserve">אחוז </w:t>
      </w:r>
      <w:r w:rsidR="00F40744" w:rsidRPr="00F40744">
        <w:rPr>
          <w:rFonts w:cs="David" w:hint="cs"/>
          <w:b/>
          <w:bCs/>
          <w:sz w:val="28"/>
          <w:szCs w:val="28"/>
          <w:rtl/>
        </w:rPr>
        <w:t>המשתמשים ב</w:t>
      </w:r>
      <w:r w:rsidR="008543ED" w:rsidRPr="00F40744">
        <w:rPr>
          <w:rFonts w:cs="David" w:hint="cs"/>
          <w:b/>
          <w:bCs/>
          <w:sz w:val="28"/>
          <w:szCs w:val="28"/>
          <w:rtl/>
        </w:rPr>
        <w:t>מרשתת ו</w:t>
      </w:r>
      <w:r w:rsidR="00F40744" w:rsidRPr="00F40744">
        <w:rPr>
          <w:rFonts w:cs="David" w:hint="cs"/>
          <w:b/>
          <w:bCs/>
          <w:sz w:val="28"/>
          <w:szCs w:val="28"/>
          <w:rtl/>
        </w:rPr>
        <w:t>ב</w:t>
      </w:r>
      <w:r w:rsidR="008543ED" w:rsidRPr="00F40744">
        <w:rPr>
          <w:rFonts w:cs="David" w:hint="cs"/>
          <w:b/>
          <w:bCs/>
          <w:sz w:val="28"/>
          <w:szCs w:val="28"/>
          <w:rtl/>
        </w:rPr>
        <w:t>רשתות החברתיות</w:t>
      </w:r>
      <w:r w:rsidR="00F40744" w:rsidRPr="00F40744">
        <w:rPr>
          <w:rFonts w:cs="David" w:hint="cs"/>
          <w:b/>
          <w:bCs/>
          <w:sz w:val="28"/>
          <w:szCs w:val="28"/>
          <w:rtl/>
        </w:rPr>
        <w:t xml:space="preserve"> הינו גבוה מאד</w:t>
      </w:r>
      <w:r w:rsidR="00F40744" w:rsidRPr="00F40744">
        <w:rPr>
          <w:rFonts w:cs="David" w:hint="cs"/>
          <w:sz w:val="28"/>
          <w:szCs w:val="28"/>
          <w:rtl/>
        </w:rPr>
        <w:t>, ו</w:t>
      </w:r>
      <w:r w:rsidR="008543ED" w:rsidRPr="00F40744">
        <w:rPr>
          <w:rFonts w:cs="David" w:hint="cs"/>
          <w:sz w:val="28"/>
          <w:szCs w:val="28"/>
          <w:rtl/>
        </w:rPr>
        <w:t xml:space="preserve">בהתאם למגמה העולמית חשיפה זו הינה </w:t>
      </w:r>
      <w:r w:rsidR="008543ED" w:rsidRPr="00F40744">
        <w:rPr>
          <w:rFonts w:cs="David" w:hint="cs"/>
          <w:b/>
          <w:bCs/>
          <w:sz w:val="28"/>
          <w:szCs w:val="28"/>
          <w:rtl/>
        </w:rPr>
        <w:t>במגמת עלייה משנה לשנה</w:t>
      </w:r>
      <w:r w:rsidR="008543ED" w:rsidRPr="00F40744">
        <w:rPr>
          <w:rFonts w:cs="David" w:hint="cs"/>
          <w:sz w:val="28"/>
          <w:szCs w:val="28"/>
          <w:rtl/>
        </w:rPr>
        <w:t xml:space="preserve">. </w:t>
      </w:r>
      <w:r>
        <w:rPr>
          <w:rFonts w:cs="David" w:hint="cs"/>
          <w:sz w:val="28"/>
          <w:szCs w:val="28"/>
          <w:rtl/>
        </w:rPr>
        <w:t xml:space="preserve">מאפייני המשתמשים במרשתת וברשתות החברתיות מצביעים על </w:t>
      </w:r>
      <w:r w:rsidR="00BE7CFA" w:rsidRPr="00B44B15">
        <w:rPr>
          <w:rFonts w:cs="David" w:hint="cs"/>
          <w:b/>
          <w:bCs/>
          <w:sz w:val="28"/>
          <w:szCs w:val="28"/>
          <w:rtl/>
        </w:rPr>
        <w:t xml:space="preserve">אחוז גבוה יותר של </w:t>
      </w:r>
      <w:r>
        <w:rPr>
          <w:rFonts w:cs="David" w:hint="cs"/>
          <w:b/>
          <w:bCs/>
          <w:sz w:val="28"/>
          <w:szCs w:val="28"/>
          <w:rtl/>
        </w:rPr>
        <w:t>גולשי</w:t>
      </w:r>
      <w:r w:rsidR="00BE7CFA" w:rsidRPr="00B44B15">
        <w:rPr>
          <w:rFonts w:cs="David" w:hint="cs"/>
          <w:b/>
          <w:bCs/>
          <w:sz w:val="28"/>
          <w:szCs w:val="28"/>
          <w:rtl/>
        </w:rPr>
        <w:t xml:space="preserve">ם </w:t>
      </w:r>
      <w:r w:rsidR="00BE7CFA" w:rsidRPr="00017C5D">
        <w:rPr>
          <w:rFonts w:cs="David" w:hint="cs"/>
          <w:b/>
          <w:bCs/>
          <w:sz w:val="28"/>
          <w:szCs w:val="28"/>
          <w:rtl/>
        </w:rPr>
        <w:t xml:space="preserve">מאשר </w:t>
      </w:r>
      <w:r w:rsidRPr="00017C5D">
        <w:rPr>
          <w:rFonts w:cs="David" w:hint="cs"/>
          <w:b/>
          <w:bCs/>
          <w:sz w:val="28"/>
          <w:szCs w:val="28"/>
          <w:rtl/>
        </w:rPr>
        <w:t>גול</w:t>
      </w:r>
      <w:r w:rsidR="005753BB" w:rsidRPr="00017C5D">
        <w:rPr>
          <w:rFonts w:cs="David" w:hint="cs"/>
          <w:b/>
          <w:bCs/>
          <w:sz w:val="28"/>
          <w:szCs w:val="28"/>
          <w:rtl/>
        </w:rPr>
        <w:t>ש</w:t>
      </w:r>
      <w:r w:rsidRPr="00017C5D">
        <w:rPr>
          <w:rFonts w:cs="David" w:hint="cs"/>
          <w:b/>
          <w:bCs/>
          <w:sz w:val="28"/>
          <w:szCs w:val="28"/>
          <w:rtl/>
        </w:rPr>
        <w:t>ות</w:t>
      </w:r>
      <w:r>
        <w:rPr>
          <w:rFonts w:cs="David" w:hint="cs"/>
          <w:sz w:val="28"/>
          <w:szCs w:val="28"/>
          <w:rtl/>
        </w:rPr>
        <w:t xml:space="preserve"> ברשת; </w:t>
      </w:r>
      <w:r w:rsidR="00BE7CFA" w:rsidRPr="00F40744">
        <w:rPr>
          <w:rFonts w:cs="David" w:hint="cs"/>
          <w:sz w:val="28"/>
          <w:szCs w:val="28"/>
          <w:rtl/>
        </w:rPr>
        <w:t xml:space="preserve">הגיל הפעיל הינו </w:t>
      </w:r>
      <w:r w:rsidR="00BE7CFA" w:rsidRPr="00B44B15">
        <w:rPr>
          <w:rFonts w:cs="David" w:hint="cs"/>
          <w:b/>
          <w:bCs/>
          <w:sz w:val="28"/>
          <w:szCs w:val="28"/>
          <w:rtl/>
        </w:rPr>
        <w:t>אמצע שנות העשרים עד אמצע שנות השלושים</w:t>
      </w:r>
      <w:r w:rsidR="00BE7CFA" w:rsidRPr="00F40744">
        <w:rPr>
          <w:rFonts w:cs="David" w:hint="cs"/>
          <w:sz w:val="28"/>
          <w:szCs w:val="28"/>
          <w:rtl/>
        </w:rPr>
        <w:t xml:space="preserve"> </w:t>
      </w:r>
      <w:r w:rsidR="00BE7CFA" w:rsidRPr="00431FFB">
        <w:rPr>
          <w:rFonts w:cs="David" w:hint="cs"/>
          <w:b/>
          <w:bCs/>
          <w:sz w:val="28"/>
          <w:szCs w:val="28"/>
          <w:rtl/>
        </w:rPr>
        <w:t>ולהשכלה</w:t>
      </w:r>
      <w:r w:rsidR="00BE7CFA" w:rsidRPr="00F22AC2">
        <w:rPr>
          <w:rFonts w:cs="David" w:hint="cs"/>
          <w:b/>
          <w:bCs/>
          <w:sz w:val="28"/>
          <w:szCs w:val="28"/>
          <w:rtl/>
        </w:rPr>
        <w:t xml:space="preserve"> </w:t>
      </w:r>
      <w:r w:rsidR="00BE7CFA" w:rsidRPr="00B371FE">
        <w:rPr>
          <w:rFonts w:cs="David" w:hint="cs"/>
          <w:sz w:val="28"/>
          <w:szCs w:val="28"/>
          <w:rtl/>
        </w:rPr>
        <w:t>יש השפעה משמעותית על הגלישה הן במרשתת והן ברשתות החברתיות. עו</w:t>
      </w:r>
      <w:r w:rsidR="00BE7CFA" w:rsidRPr="00F40744">
        <w:rPr>
          <w:rFonts w:cs="David" w:hint="cs"/>
          <w:sz w:val="28"/>
          <w:szCs w:val="28"/>
          <w:rtl/>
        </w:rPr>
        <w:t xml:space="preserve">ד </w:t>
      </w:r>
      <w:r>
        <w:rPr>
          <w:rFonts w:cs="David" w:hint="cs"/>
          <w:sz w:val="28"/>
          <w:szCs w:val="28"/>
          <w:rtl/>
        </w:rPr>
        <w:t xml:space="preserve">עולה </w:t>
      </w:r>
      <w:r w:rsidR="00BE7CFA" w:rsidRPr="00F40744">
        <w:rPr>
          <w:rFonts w:cs="David" w:hint="cs"/>
          <w:sz w:val="28"/>
          <w:szCs w:val="28"/>
          <w:rtl/>
        </w:rPr>
        <w:t xml:space="preserve">כי </w:t>
      </w:r>
      <w:r w:rsidR="00BE7CFA" w:rsidRPr="00F22AC2">
        <w:rPr>
          <w:rFonts w:cs="David" w:hint="cs"/>
          <w:b/>
          <w:bCs/>
          <w:sz w:val="28"/>
          <w:szCs w:val="28"/>
          <w:rtl/>
        </w:rPr>
        <w:t xml:space="preserve">העלייה בשימוש בטלפונים הסלולאריים </w:t>
      </w:r>
      <w:r w:rsidR="00854211">
        <w:rPr>
          <w:rFonts w:cs="David" w:hint="cs"/>
          <w:b/>
          <w:bCs/>
          <w:sz w:val="28"/>
          <w:szCs w:val="28"/>
          <w:rtl/>
        </w:rPr>
        <w:t xml:space="preserve">וטאבלטים </w:t>
      </w:r>
      <w:r w:rsidR="00BE7CFA" w:rsidRPr="00F22AC2">
        <w:rPr>
          <w:rFonts w:cs="David" w:hint="cs"/>
          <w:b/>
          <w:bCs/>
          <w:sz w:val="28"/>
          <w:szCs w:val="28"/>
          <w:rtl/>
        </w:rPr>
        <w:t>הפכה את הגלישה לזמינה יותר</w:t>
      </w:r>
      <w:r w:rsidR="00F40744" w:rsidRPr="00F40744">
        <w:rPr>
          <w:rFonts w:cs="David" w:hint="cs"/>
          <w:sz w:val="28"/>
          <w:szCs w:val="28"/>
          <w:rtl/>
        </w:rPr>
        <w:t xml:space="preserve"> ובכך </w:t>
      </w:r>
      <w:r>
        <w:rPr>
          <w:rFonts w:cs="David" w:hint="cs"/>
          <w:sz w:val="28"/>
          <w:szCs w:val="28"/>
          <w:rtl/>
        </w:rPr>
        <w:t xml:space="preserve">הביאה </w:t>
      </w:r>
      <w:r w:rsidR="00F40744" w:rsidRPr="00F40744">
        <w:rPr>
          <w:rFonts w:cs="David" w:hint="cs"/>
          <w:sz w:val="28"/>
          <w:szCs w:val="28"/>
          <w:rtl/>
        </w:rPr>
        <w:t>לשימוש הגובר ברשתות החברתיות.</w:t>
      </w:r>
      <w:r w:rsidR="00724A53">
        <w:rPr>
          <w:rFonts w:cs="David" w:hint="cs"/>
          <w:b/>
          <w:bCs/>
          <w:sz w:val="32"/>
          <w:szCs w:val="32"/>
          <w:rtl/>
        </w:rPr>
        <w:t xml:space="preserve"> </w:t>
      </w:r>
      <w:r w:rsidR="00854211" w:rsidRPr="00854211">
        <w:rPr>
          <w:rFonts w:cs="David" w:hint="cs"/>
          <w:sz w:val="28"/>
          <w:szCs w:val="28"/>
          <w:rtl/>
        </w:rPr>
        <w:t>בדיקה פרטנית של השיח</w:t>
      </w:r>
      <w:r w:rsidR="00854211">
        <w:rPr>
          <w:rFonts w:cs="David" w:hint="cs"/>
          <w:sz w:val="28"/>
          <w:szCs w:val="28"/>
          <w:rtl/>
        </w:rPr>
        <w:t xml:space="preserve"> כנגד המגזר הערבי </w:t>
      </w:r>
      <w:r w:rsidR="00C8676A">
        <w:rPr>
          <w:rFonts w:cs="David" w:hint="cs"/>
          <w:sz w:val="28"/>
          <w:szCs w:val="28"/>
          <w:rtl/>
        </w:rPr>
        <w:t>מ</w:t>
      </w:r>
      <w:r w:rsidR="00854211">
        <w:rPr>
          <w:rFonts w:cs="David" w:hint="cs"/>
          <w:sz w:val="28"/>
          <w:szCs w:val="28"/>
          <w:rtl/>
        </w:rPr>
        <w:t xml:space="preserve">עלה כי </w:t>
      </w:r>
      <w:r w:rsidR="00724A53" w:rsidRPr="00854211">
        <w:rPr>
          <w:rFonts w:cs="David" w:hint="cs"/>
          <w:sz w:val="28"/>
          <w:szCs w:val="28"/>
          <w:rtl/>
        </w:rPr>
        <w:t>'פייסבוק' היא הפלטפורמה העיקרית לפרסום השיח המסית והגזעני ברשת.</w:t>
      </w:r>
    </w:p>
    <w:p w:rsidR="00017C5D" w:rsidRPr="001015C6" w:rsidRDefault="00017C5D" w:rsidP="002C4E24">
      <w:pPr>
        <w:spacing w:line="360" w:lineRule="auto"/>
        <w:jc w:val="both"/>
        <w:rPr>
          <w:rFonts w:cs="David"/>
          <w:b/>
          <w:bCs/>
          <w:sz w:val="28"/>
          <w:szCs w:val="28"/>
          <w:rtl/>
        </w:rPr>
      </w:pPr>
      <w:r w:rsidRPr="001015C6">
        <w:rPr>
          <w:rFonts w:cs="David" w:hint="cs"/>
          <w:sz w:val="28"/>
          <w:szCs w:val="28"/>
          <w:rtl/>
        </w:rPr>
        <w:t>האחוז הגבוה של המשתמשים, שצומח משנה לשנה לצד הזמינות הגבוהה לגלישה</w:t>
      </w:r>
      <w:r w:rsidR="008A6AD1" w:rsidRPr="001015C6">
        <w:rPr>
          <w:rFonts w:cs="David" w:hint="cs"/>
          <w:sz w:val="28"/>
          <w:szCs w:val="28"/>
          <w:rtl/>
        </w:rPr>
        <w:t>,</w:t>
      </w:r>
      <w:r w:rsidRPr="001015C6">
        <w:rPr>
          <w:rFonts w:cs="David" w:hint="cs"/>
          <w:sz w:val="28"/>
          <w:szCs w:val="28"/>
          <w:rtl/>
        </w:rPr>
        <w:t xml:space="preserve"> </w:t>
      </w:r>
      <w:r w:rsidR="008A6AD1" w:rsidRPr="001015C6">
        <w:rPr>
          <w:rFonts w:cs="David" w:hint="cs"/>
          <w:b/>
          <w:bCs/>
          <w:sz w:val="28"/>
          <w:szCs w:val="28"/>
          <w:rtl/>
        </w:rPr>
        <w:t>הופכ</w:t>
      </w:r>
      <w:r w:rsidR="002C4E24">
        <w:rPr>
          <w:rFonts w:cs="David" w:hint="cs"/>
          <w:b/>
          <w:bCs/>
          <w:sz w:val="28"/>
          <w:szCs w:val="28"/>
          <w:rtl/>
        </w:rPr>
        <w:t>ים</w:t>
      </w:r>
      <w:r w:rsidR="008A6AD1" w:rsidRPr="001015C6">
        <w:rPr>
          <w:rFonts w:cs="David" w:hint="cs"/>
          <w:b/>
          <w:bCs/>
          <w:sz w:val="28"/>
          <w:szCs w:val="28"/>
          <w:rtl/>
        </w:rPr>
        <w:t xml:space="preserve"> את הרשתות החברתיות</w:t>
      </w:r>
      <w:r w:rsidR="00BE743F">
        <w:rPr>
          <w:rFonts w:cs="David" w:hint="cs"/>
          <w:b/>
          <w:bCs/>
          <w:sz w:val="28"/>
          <w:szCs w:val="28"/>
          <w:rtl/>
        </w:rPr>
        <w:t xml:space="preserve"> בישראל</w:t>
      </w:r>
      <w:r w:rsidR="002C4E24">
        <w:rPr>
          <w:rFonts w:cs="David" w:hint="cs"/>
          <w:b/>
          <w:bCs/>
          <w:sz w:val="28"/>
          <w:szCs w:val="28"/>
          <w:rtl/>
        </w:rPr>
        <w:t>,</w:t>
      </w:r>
      <w:r w:rsidR="00C8676A">
        <w:rPr>
          <w:rFonts w:cs="David" w:hint="cs"/>
          <w:b/>
          <w:bCs/>
          <w:sz w:val="28"/>
          <w:szCs w:val="28"/>
          <w:rtl/>
        </w:rPr>
        <w:t xml:space="preserve"> בדגש </w:t>
      </w:r>
      <w:r w:rsidR="002C4E24">
        <w:rPr>
          <w:rFonts w:cs="David" w:hint="cs"/>
          <w:b/>
          <w:bCs/>
          <w:sz w:val="28"/>
          <w:szCs w:val="28"/>
          <w:rtl/>
        </w:rPr>
        <w:t>על</w:t>
      </w:r>
      <w:r w:rsidR="00C8676A">
        <w:rPr>
          <w:rFonts w:cs="David" w:hint="cs"/>
          <w:b/>
          <w:bCs/>
          <w:sz w:val="28"/>
          <w:szCs w:val="28"/>
          <w:rtl/>
        </w:rPr>
        <w:t xml:space="preserve"> 'פייסבוק',</w:t>
      </w:r>
      <w:r w:rsidR="008A6AD1" w:rsidRPr="001015C6">
        <w:rPr>
          <w:rFonts w:cs="David" w:hint="cs"/>
          <w:b/>
          <w:bCs/>
          <w:sz w:val="28"/>
          <w:szCs w:val="28"/>
          <w:rtl/>
        </w:rPr>
        <w:t xml:space="preserve"> לקרקע ה</w:t>
      </w:r>
      <w:r w:rsidRPr="001015C6">
        <w:rPr>
          <w:rFonts w:cs="David" w:hint="cs"/>
          <w:b/>
          <w:bCs/>
          <w:sz w:val="28"/>
          <w:szCs w:val="28"/>
          <w:rtl/>
        </w:rPr>
        <w:t xml:space="preserve">מאפשרת תפוצה גבוהה של דעות ועמדות, כולל </w:t>
      </w:r>
      <w:r w:rsidR="00BE743F">
        <w:rPr>
          <w:rFonts w:cs="David" w:hint="cs"/>
          <w:b/>
          <w:bCs/>
          <w:sz w:val="28"/>
          <w:szCs w:val="28"/>
          <w:rtl/>
        </w:rPr>
        <w:t xml:space="preserve">כאלו </w:t>
      </w:r>
      <w:r w:rsidRPr="001015C6">
        <w:rPr>
          <w:rFonts w:cs="David" w:hint="cs"/>
          <w:b/>
          <w:bCs/>
          <w:sz w:val="28"/>
          <w:szCs w:val="28"/>
          <w:rtl/>
        </w:rPr>
        <w:t xml:space="preserve">קיצוניות וגזעניות. </w:t>
      </w:r>
    </w:p>
    <w:p w:rsidR="00DE1589" w:rsidRDefault="00DE1589" w:rsidP="00F119A4">
      <w:pPr>
        <w:spacing w:line="360" w:lineRule="auto"/>
        <w:jc w:val="both"/>
        <w:rPr>
          <w:rFonts w:cs="David"/>
          <w:b/>
          <w:bCs/>
          <w:sz w:val="32"/>
          <w:szCs w:val="32"/>
          <w:rtl/>
        </w:rPr>
      </w:pPr>
      <w:r w:rsidRPr="00162C32">
        <w:rPr>
          <w:rFonts w:cs="David" w:hint="cs"/>
          <w:b/>
          <w:bCs/>
          <w:sz w:val="32"/>
          <w:szCs w:val="32"/>
          <w:rtl/>
        </w:rPr>
        <w:lastRenderedPageBreak/>
        <w:t>ב.</w:t>
      </w:r>
      <w:r>
        <w:rPr>
          <w:rFonts w:cs="David" w:hint="cs"/>
          <w:b/>
          <w:bCs/>
          <w:sz w:val="32"/>
          <w:szCs w:val="32"/>
          <w:rtl/>
        </w:rPr>
        <w:t xml:space="preserve"> </w:t>
      </w:r>
      <w:r w:rsidRPr="00162C32">
        <w:rPr>
          <w:rFonts w:cs="David" w:hint="cs"/>
          <w:b/>
          <w:bCs/>
          <w:sz w:val="32"/>
          <w:szCs w:val="32"/>
          <w:rtl/>
        </w:rPr>
        <w:t>מאפייני המרשתת</w:t>
      </w:r>
      <w:r>
        <w:rPr>
          <w:rFonts w:cs="David" w:hint="cs"/>
          <w:b/>
          <w:bCs/>
          <w:sz w:val="32"/>
          <w:szCs w:val="32"/>
          <w:rtl/>
        </w:rPr>
        <w:t xml:space="preserve"> והרשתות החברתיות המשפיעים על שיח הגזענות וההסתה</w:t>
      </w:r>
    </w:p>
    <w:p w:rsidR="00991916" w:rsidRPr="00877828" w:rsidRDefault="008D7B5E" w:rsidP="00643454">
      <w:pPr>
        <w:spacing w:line="360" w:lineRule="auto"/>
        <w:jc w:val="both"/>
        <w:rPr>
          <w:rFonts w:cs="David"/>
          <w:sz w:val="28"/>
          <w:szCs w:val="28"/>
          <w:rtl/>
        </w:rPr>
      </w:pPr>
      <w:r>
        <w:rPr>
          <w:rFonts w:cs="David" w:hint="cs"/>
          <w:sz w:val="28"/>
          <w:szCs w:val="28"/>
          <w:rtl/>
        </w:rPr>
        <w:t xml:space="preserve">הנתונים העולמיים והישראליים מעלים את </w:t>
      </w:r>
      <w:r w:rsidR="00283709">
        <w:rPr>
          <w:rFonts w:cs="David" w:hint="cs"/>
          <w:sz w:val="28"/>
          <w:szCs w:val="28"/>
          <w:rtl/>
        </w:rPr>
        <w:t xml:space="preserve">השאלה </w:t>
      </w:r>
      <w:r w:rsidR="00F75D33" w:rsidRPr="00534B48">
        <w:rPr>
          <w:rFonts w:cs="David" w:hint="cs"/>
          <w:sz w:val="28"/>
          <w:szCs w:val="28"/>
          <w:rtl/>
        </w:rPr>
        <w:t>מה</w:t>
      </w:r>
      <w:r w:rsidR="00877828" w:rsidRPr="00534B48">
        <w:rPr>
          <w:rFonts w:cs="David" w:hint="cs"/>
          <w:sz w:val="28"/>
          <w:szCs w:val="28"/>
          <w:rtl/>
        </w:rPr>
        <w:t>ם</w:t>
      </w:r>
      <w:r w:rsidR="00F75D33" w:rsidRPr="00534B48">
        <w:rPr>
          <w:rFonts w:cs="David" w:hint="cs"/>
          <w:sz w:val="28"/>
          <w:szCs w:val="28"/>
          <w:rtl/>
        </w:rPr>
        <w:t xml:space="preserve"> </w:t>
      </w:r>
      <w:r w:rsidR="00CE4E05" w:rsidRPr="00534B48">
        <w:rPr>
          <w:rFonts w:cs="David" w:hint="cs"/>
          <w:sz w:val="28"/>
          <w:szCs w:val="28"/>
          <w:rtl/>
        </w:rPr>
        <w:t>המאפיינים ש</w:t>
      </w:r>
      <w:r w:rsidR="00F75D33" w:rsidRPr="00534B48">
        <w:rPr>
          <w:rFonts w:cs="David" w:hint="cs"/>
          <w:sz w:val="28"/>
          <w:szCs w:val="28"/>
          <w:rtl/>
        </w:rPr>
        <w:t>גור</w:t>
      </w:r>
      <w:r w:rsidR="00877828" w:rsidRPr="00534B48">
        <w:rPr>
          <w:rFonts w:cs="David" w:hint="cs"/>
          <w:sz w:val="28"/>
          <w:szCs w:val="28"/>
          <w:rtl/>
        </w:rPr>
        <w:t>מי</w:t>
      </w:r>
      <w:r w:rsidR="00F75D33" w:rsidRPr="00534B48">
        <w:rPr>
          <w:rFonts w:cs="David" w:hint="cs"/>
          <w:sz w:val="28"/>
          <w:szCs w:val="28"/>
          <w:rtl/>
        </w:rPr>
        <w:t xml:space="preserve">ם לנתונים </w:t>
      </w:r>
      <w:r w:rsidR="006A58DD" w:rsidRPr="006A58DD">
        <w:rPr>
          <w:rFonts w:cs="David" w:hint="cs"/>
          <w:sz w:val="28"/>
          <w:szCs w:val="28"/>
          <w:rtl/>
        </w:rPr>
        <w:t xml:space="preserve">שהוצגו </w:t>
      </w:r>
      <w:r w:rsidR="006A58DD" w:rsidRPr="00FB3F0A">
        <w:rPr>
          <w:rFonts w:cs="David" w:hint="cs"/>
          <w:sz w:val="28"/>
          <w:szCs w:val="28"/>
          <w:rtl/>
        </w:rPr>
        <w:t>כאן</w:t>
      </w:r>
      <w:r w:rsidR="00991916" w:rsidRPr="00FB3F0A">
        <w:rPr>
          <w:rFonts w:cs="David" w:hint="cs"/>
          <w:sz w:val="28"/>
          <w:szCs w:val="28"/>
          <w:rtl/>
        </w:rPr>
        <w:t xml:space="preserve"> </w:t>
      </w:r>
      <w:r w:rsidR="00877828" w:rsidRPr="00FB3F0A">
        <w:rPr>
          <w:rFonts w:cs="David" w:hint="cs"/>
          <w:sz w:val="28"/>
          <w:szCs w:val="28"/>
          <w:rtl/>
        </w:rPr>
        <w:t>ומה יש ב</w:t>
      </w:r>
      <w:r w:rsidR="00CE4E05" w:rsidRPr="00FB3F0A">
        <w:rPr>
          <w:rFonts w:cs="David" w:hint="cs"/>
          <w:sz w:val="28"/>
          <w:szCs w:val="28"/>
          <w:rtl/>
        </w:rPr>
        <w:t>הם</w:t>
      </w:r>
      <w:r w:rsidR="00877828" w:rsidRPr="00FB3F0A">
        <w:rPr>
          <w:rFonts w:cs="David" w:hint="cs"/>
          <w:sz w:val="28"/>
          <w:szCs w:val="28"/>
          <w:rtl/>
        </w:rPr>
        <w:t>,</w:t>
      </w:r>
      <w:r w:rsidR="00877828" w:rsidRPr="00A77D72">
        <w:rPr>
          <w:rFonts w:cs="David" w:hint="cs"/>
          <w:b/>
          <w:bCs/>
          <w:sz w:val="28"/>
          <w:szCs w:val="28"/>
          <w:rtl/>
        </w:rPr>
        <w:t xml:space="preserve"> שמביא לשיח </w:t>
      </w:r>
      <w:r w:rsidR="00491959" w:rsidRPr="00A77D72">
        <w:rPr>
          <w:rFonts w:cs="David" w:hint="cs"/>
          <w:b/>
          <w:bCs/>
          <w:sz w:val="28"/>
          <w:szCs w:val="28"/>
          <w:rtl/>
        </w:rPr>
        <w:t xml:space="preserve">הקיצוני של </w:t>
      </w:r>
      <w:r w:rsidR="00877828" w:rsidRPr="00A77D72">
        <w:rPr>
          <w:rFonts w:cs="David" w:hint="cs"/>
          <w:b/>
          <w:bCs/>
          <w:sz w:val="28"/>
          <w:szCs w:val="28"/>
          <w:rtl/>
        </w:rPr>
        <w:t>גזענות והסתה</w:t>
      </w:r>
      <w:r w:rsidR="00AA0872" w:rsidRPr="00A77D72">
        <w:rPr>
          <w:rFonts w:cs="David" w:hint="cs"/>
          <w:b/>
          <w:bCs/>
          <w:sz w:val="28"/>
          <w:szCs w:val="28"/>
          <w:rtl/>
        </w:rPr>
        <w:t xml:space="preserve"> ואף מעצימו</w:t>
      </w:r>
      <w:r w:rsidR="00877828" w:rsidRPr="00A77D72">
        <w:rPr>
          <w:rFonts w:cs="David" w:hint="cs"/>
          <w:b/>
          <w:bCs/>
          <w:sz w:val="28"/>
          <w:szCs w:val="28"/>
          <w:rtl/>
        </w:rPr>
        <w:t>?</w:t>
      </w:r>
      <w:r w:rsidR="004608F6">
        <w:rPr>
          <w:rFonts w:cs="David" w:hint="cs"/>
          <w:sz w:val="28"/>
          <w:szCs w:val="28"/>
          <w:rtl/>
        </w:rPr>
        <w:t xml:space="preserve"> </w:t>
      </w:r>
      <w:r w:rsidR="006A58DD">
        <w:rPr>
          <w:rFonts w:cs="David" w:hint="cs"/>
          <w:sz w:val="28"/>
          <w:szCs w:val="28"/>
          <w:rtl/>
        </w:rPr>
        <w:t xml:space="preserve">בניסיון לענות עליה יוצגו </w:t>
      </w:r>
      <w:r w:rsidR="00991916">
        <w:rPr>
          <w:rFonts w:cs="David" w:hint="cs"/>
          <w:sz w:val="28"/>
          <w:szCs w:val="28"/>
          <w:rtl/>
        </w:rPr>
        <w:t xml:space="preserve">תחילה ארבעה חוקים רלוונטיים, העוסקים </w:t>
      </w:r>
      <w:r w:rsidR="00991916" w:rsidRPr="00FB3F0A">
        <w:rPr>
          <w:rFonts w:cs="David" w:hint="cs"/>
          <w:sz w:val="28"/>
          <w:szCs w:val="28"/>
          <w:rtl/>
        </w:rPr>
        <w:t>בעוצמתן של הרשתות החברתיות</w:t>
      </w:r>
      <w:r w:rsidR="006A58DD" w:rsidRPr="00FB3F0A">
        <w:rPr>
          <w:rFonts w:cs="David" w:hint="cs"/>
          <w:sz w:val="28"/>
          <w:szCs w:val="28"/>
          <w:rtl/>
        </w:rPr>
        <w:t>.</w:t>
      </w:r>
      <w:r w:rsidR="006A58DD">
        <w:rPr>
          <w:rFonts w:cs="David" w:hint="cs"/>
          <w:sz w:val="28"/>
          <w:szCs w:val="28"/>
          <w:rtl/>
        </w:rPr>
        <w:t xml:space="preserve"> </w:t>
      </w:r>
      <w:r w:rsidR="00991916">
        <w:rPr>
          <w:rFonts w:cs="David" w:hint="cs"/>
          <w:sz w:val="28"/>
          <w:szCs w:val="28"/>
          <w:rtl/>
        </w:rPr>
        <w:t>לאחר מכן, י</w:t>
      </w:r>
      <w:r w:rsidR="006A58DD">
        <w:rPr>
          <w:rFonts w:cs="David" w:hint="cs"/>
          <w:sz w:val="28"/>
          <w:szCs w:val="28"/>
          <w:rtl/>
        </w:rPr>
        <w:t>תואר</w:t>
      </w:r>
      <w:r w:rsidR="00991916">
        <w:rPr>
          <w:rFonts w:cs="David" w:hint="cs"/>
          <w:sz w:val="28"/>
          <w:szCs w:val="28"/>
          <w:rtl/>
        </w:rPr>
        <w:t xml:space="preserve">ו </w:t>
      </w:r>
      <w:r w:rsidR="004608F6" w:rsidRPr="00FB3F0A">
        <w:rPr>
          <w:rFonts w:cs="David" w:hint="cs"/>
          <w:sz w:val="28"/>
          <w:szCs w:val="28"/>
          <w:rtl/>
        </w:rPr>
        <w:t>ה</w:t>
      </w:r>
      <w:r w:rsidR="00A2630D" w:rsidRPr="00FB3F0A">
        <w:rPr>
          <w:rFonts w:cs="David" w:hint="cs"/>
          <w:sz w:val="28"/>
          <w:szCs w:val="28"/>
          <w:rtl/>
        </w:rPr>
        <w:t xml:space="preserve">מאפיינים </w:t>
      </w:r>
      <w:r w:rsidR="004608F6" w:rsidRPr="00FB3F0A">
        <w:rPr>
          <w:rFonts w:cs="David" w:hint="cs"/>
          <w:sz w:val="28"/>
          <w:szCs w:val="28"/>
          <w:rtl/>
        </w:rPr>
        <w:t>ה</w:t>
      </w:r>
      <w:r w:rsidR="00A2630D" w:rsidRPr="00FB3F0A">
        <w:rPr>
          <w:rFonts w:cs="David" w:hint="cs"/>
          <w:sz w:val="28"/>
          <w:szCs w:val="28"/>
          <w:rtl/>
        </w:rPr>
        <w:t>ייחודיים</w:t>
      </w:r>
      <w:r w:rsidR="00452991" w:rsidRPr="00FB3F0A">
        <w:rPr>
          <w:rFonts w:cs="David" w:hint="cs"/>
          <w:sz w:val="28"/>
          <w:szCs w:val="28"/>
          <w:rtl/>
        </w:rPr>
        <w:t xml:space="preserve">, </w:t>
      </w:r>
      <w:r w:rsidR="00991916" w:rsidRPr="00FB3F0A">
        <w:rPr>
          <w:rFonts w:cs="David" w:hint="cs"/>
          <w:sz w:val="28"/>
          <w:szCs w:val="28"/>
          <w:rtl/>
        </w:rPr>
        <w:t>הקיימים במרשתת והמשפיעים על הרשתות החברתיות באופן כללי, ועל העצמת</w:t>
      </w:r>
      <w:r w:rsidR="00991916" w:rsidRPr="00877828">
        <w:rPr>
          <w:rFonts w:cs="David" w:hint="cs"/>
          <w:sz w:val="28"/>
          <w:szCs w:val="28"/>
          <w:rtl/>
        </w:rPr>
        <w:t xml:space="preserve"> תופעת הגזענות וההסתה באופן פרטני.</w:t>
      </w:r>
    </w:p>
    <w:p w:rsidR="00DE1589" w:rsidRDefault="00827560" w:rsidP="00957736">
      <w:pPr>
        <w:spacing w:line="360" w:lineRule="auto"/>
        <w:jc w:val="both"/>
        <w:rPr>
          <w:rFonts w:cs="David"/>
          <w:sz w:val="28"/>
          <w:szCs w:val="28"/>
          <w:rtl/>
        </w:rPr>
      </w:pPr>
      <w:r>
        <w:rPr>
          <w:rFonts w:cs="David" w:hint="cs"/>
          <w:sz w:val="28"/>
          <w:szCs w:val="28"/>
          <w:rtl/>
        </w:rPr>
        <w:t xml:space="preserve">כבר כאן המקום לומר, כי </w:t>
      </w:r>
      <w:r w:rsidR="00F75D33">
        <w:rPr>
          <w:rFonts w:cs="David" w:hint="cs"/>
          <w:sz w:val="28"/>
          <w:szCs w:val="28"/>
          <w:rtl/>
        </w:rPr>
        <w:t xml:space="preserve">אין חולק בספרות המקצועית כי </w:t>
      </w:r>
      <w:r w:rsidR="00DE1589">
        <w:rPr>
          <w:rFonts w:cs="David" w:hint="cs"/>
          <w:sz w:val="28"/>
          <w:szCs w:val="28"/>
          <w:rtl/>
        </w:rPr>
        <w:t xml:space="preserve">למרשתת ולרשתות החברתיות </w:t>
      </w:r>
      <w:r w:rsidR="00DE1589" w:rsidRPr="00F74AF2">
        <w:rPr>
          <w:rFonts w:cs="David" w:hint="cs"/>
          <w:b/>
          <w:bCs/>
          <w:sz w:val="28"/>
          <w:szCs w:val="28"/>
          <w:rtl/>
        </w:rPr>
        <w:t>מאפיינים</w:t>
      </w:r>
      <w:r w:rsidR="00DE1589">
        <w:rPr>
          <w:rFonts w:cs="David" w:hint="cs"/>
          <w:sz w:val="28"/>
          <w:szCs w:val="28"/>
          <w:rtl/>
        </w:rPr>
        <w:t xml:space="preserve"> </w:t>
      </w:r>
      <w:r w:rsidR="00DE1589" w:rsidRPr="009F4ABF">
        <w:rPr>
          <w:rFonts w:cs="David" w:hint="cs"/>
          <w:b/>
          <w:bCs/>
          <w:sz w:val="28"/>
          <w:szCs w:val="28"/>
          <w:rtl/>
        </w:rPr>
        <w:t>ייחודיים</w:t>
      </w:r>
      <w:r w:rsidR="00DE1589">
        <w:rPr>
          <w:rFonts w:cs="David" w:hint="cs"/>
          <w:sz w:val="28"/>
          <w:szCs w:val="28"/>
          <w:rtl/>
        </w:rPr>
        <w:t xml:space="preserve"> לעומת כל אמצעי התקשורת </w:t>
      </w:r>
      <w:r w:rsidR="00DE1589" w:rsidRPr="00FB0E11">
        <w:rPr>
          <w:rFonts w:cs="David" w:hint="cs"/>
          <w:sz w:val="28"/>
          <w:szCs w:val="28"/>
          <w:rtl/>
        </w:rPr>
        <w:t>האחרים</w:t>
      </w:r>
      <w:r w:rsidR="00991916" w:rsidRPr="00FB0E11">
        <w:rPr>
          <w:rFonts w:cs="David" w:hint="cs"/>
          <w:sz w:val="28"/>
          <w:szCs w:val="28"/>
          <w:rtl/>
        </w:rPr>
        <w:t xml:space="preserve"> </w:t>
      </w:r>
      <w:r w:rsidR="00991916" w:rsidRPr="00F74AF2">
        <w:rPr>
          <w:rFonts w:cs="David" w:hint="cs"/>
          <w:sz w:val="28"/>
          <w:szCs w:val="28"/>
          <w:rtl/>
        </w:rPr>
        <w:t xml:space="preserve">וכי </w:t>
      </w:r>
      <w:r w:rsidR="00DE1589" w:rsidRPr="00F74AF2">
        <w:rPr>
          <w:rFonts w:cs="David" w:hint="cs"/>
          <w:sz w:val="28"/>
          <w:szCs w:val="28"/>
          <w:rtl/>
        </w:rPr>
        <w:t xml:space="preserve">למאפיינים אלו </w:t>
      </w:r>
      <w:r w:rsidR="00957736" w:rsidRPr="00F74AF2">
        <w:rPr>
          <w:rFonts w:cs="David" w:hint="cs"/>
          <w:sz w:val="28"/>
          <w:szCs w:val="28"/>
          <w:rtl/>
        </w:rPr>
        <w:t xml:space="preserve">נודעת </w:t>
      </w:r>
      <w:r w:rsidR="00DE1589" w:rsidRPr="00F74AF2">
        <w:rPr>
          <w:rFonts w:cs="David" w:hint="cs"/>
          <w:sz w:val="28"/>
          <w:szCs w:val="28"/>
          <w:rtl/>
        </w:rPr>
        <w:t>השפעה</w:t>
      </w:r>
      <w:r w:rsidR="00DE1589" w:rsidRPr="003C45A9">
        <w:rPr>
          <w:rFonts w:cs="David" w:hint="cs"/>
          <w:b/>
          <w:bCs/>
          <w:sz w:val="28"/>
          <w:szCs w:val="28"/>
          <w:rtl/>
        </w:rPr>
        <w:t xml:space="preserve"> דרמטית </w:t>
      </w:r>
      <w:r w:rsidR="00DE1589" w:rsidRPr="00FB0E11">
        <w:rPr>
          <w:rFonts w:cs="David" w:hint="cs"/>
          <w:sz w:val="28"/>
          <w:szCs w:val="28"/>
          <w:rtl/>
        </w:rPr>
        <w:t>על העיצוב ו</w:t>
      </w:r>
      <w:r w:rsidR="00957736">
        <w:rPr>
          <w:rFonts w:cs="David" w:hint="cs"/>
          <w:sz w:val="28"/>
          <w:szCs w:val="28"/>
          <w:rtl/>
        </w:rPr>
        <w:t xml:space="preserve">על </w:t>
      </w:r>
      <w:r w:rsidR="00DE1589" w:rsidRPr="00FB0E11">
        <w:rPr>
          <w:rFonts w:cs="David" w:hint="cs"/>
          <w:sz w:val="28"/>
          <w:szCs w:val="28"/>
          <w:rtl/>
        </w:rPr>
        <w:t xml:space="preserve">השימוש במרשתת וברשתות החברתיות, על החברה בכללותה, על התרבות ועל התקשורת. </w:t>
      </w:r>
      <w:r w:rsidR="007F6227">
        <w:rPr>
          <w:rFonts w:cs="David" w:hint="cs"/>
          <w:sz w:val="28"/>
          <w:szCs w:val="28"/>
          <w:rtl/>
        </w:rPr>
        <w:t>ככלל, השפעה זו הינה חיובית מאד ו</w:t>
      </w:r>
      <w:r w:rsidR="00957736">
        <w:rPr>
          <w:rFonts w:cs="David" w:hint="cs"/>
          <w:sz w:val="28"/>
          <w:szCs w:val="28"/>
          <w:rtl/>
        </w:rPr>
        <w:t>משיאה</w:t>
      </w:r>
      <w:r w:rsidR="007F6227">
        <w:rPr>
          <w:rFonts w:cs="David" w:hint="cs"/>
          <w:sz w:val="28"/>
          <w:szCs w:val="28"/>
          <w:rtl/>
        </w:rPr>
        <w:t xml:space="preserve"> תרומה משמעותית לעולם </w:t>
      </w:r>
      <w:r w:rsidR="00FA4E37">
        <w:rPr>
          <w:rFonts w:cs="David" w:hint="cs"/>
          <w:sz w:val="28"/>
          <w:szCs w:val="28"/>
          <w:rtl/>
        </w:rPr>
        <w:t xml:space="preserve">ולפרט, אך יש לה </w:t>
      </w:r>
      <w:r w:rsidR="00FA4E37" w:rsidRPr="009F4ABF">
        <w:rPr>
          <w:rFonts w:cs="David" w:hint="cs"/>
          <w:b/>
          <w:bCs/>
          <w:sz w:val="28"/>
          <w:szCs w:val="28"/>
          <w:rtl/>
        </w:rPr>
        <w:t>גם</w:t>
      </w:r>
      <w:r w:rsidR="00FA4E37">
        <w:rPr>
          <w:rFonts w:cs="David" w:hint="cs"/>
          <w:sz w:val="28"/>
          <w:szCs w:val="28"/>
          <w:rtl/>
        </w:rPr>
        <w:t xml:space="preserve"> </w:t>
      </w:r>
      <w:r w:rsidR="00957736">
        <w:rPr>
          <w:rFonts w:cs="David" w:hint="cs"/>
          <w:b/>
          <w:bCs/>
          <w:sz w:val="28"/>
          <w:szCs w:val="28"/>
          <w:rtl/>
        </w:rPr>
        <w:t>היבטים שליליים</w:t>
      </w:r>
      <w:r w:rsidR="009F4ABF">
        <w:rPr>
          <w:rFonts w:cs="David" w:hint="cs"/>
          <w:b/>
          <w:bCs/>
          <w:sz w:val="28"/>
          <w:szCs w:val="28"/>
          <w:rtl/>
        </w:rPr>
        <w:t>, כמו למשל, תופעת הגזענות וההסתה</w:t>
      </w:r>
      <w:r w:rsidR="00FA4E37">
        <w:rPr>
          <w:rFonts w:cs="David" w:hint="cs"/>
          <w:sz w:val="28"/>
          <w:szCs w:val="28"/>
          <w:rtl/>
        </w:rPr>
        <w:t>:</w:t>
      </w:r>
      <w:r w:rsidR="00A13FF6">
        <w:rPr>
          <w:rStyle w:val="a5"/>
          <w:rFonts w:cs="David"/>
          <w:sz w:val="28"/>
          <w:szCs w:val="28"/>
          <w:rtl/>
        </w:rPr>
        <w:footnoteReference w:id="30"/>
      </w:r>
    </w:p>
    <w:p w:rsidR="00DE1589" w:rsidRPr="005473EA" w:rsidRDefault="00DE1589" w:rsidP="005473EA">
      <w:pPr>
        <w:spacing w:line="360" w:lineRule="auto"/>
        <w:ind w:left="720"/>
        <w:jc w:val="both"/>
        <w:rPr>
          <w:rFonts w:cs="David"/>
          <w:b/>
          <w:bCs/>
          <w:sz w:val="24"/>
          <w:szCs w:val="24"/>
          <w:rtl/>
        </w:rPr>
      </w:pPr>
      <w:r w:rsidRPr="00D04C39">
        <w:rPr>
          <w:rFonts w:cs="David" w:hint="cs"/>
          <w:sz w:val="24"/>
          <w:szCs w:val="24"/>
          <w:rtl/>
        </w:rPr>
        <w:t xml:space="preserve">הטכנולוגיה החדשה מאתגרת גבולות ומרחיבה את טווח הסבלנות. המרשתת מעניקה אוקיינוס נרחב של מידע, מחשבה, אידיאולוגיות ותעמולה, מהווה מאגר בלתי נדלה המסייע רבות לחיינו. המרשתת קלה לשימוש, מקדמת את היכולת לרכוש ידע, מעוררת, מפתחת, מקרבת לבבות, אינה מכירה בגבולות גאוגרפיים, מגשרת על פני תרבויות ומקדמת הבנה בין העמים, אומים ודתות. המרשתת כוללת את מיטב המין האנושי, </w:t>
      </w:r>
      <w:r w:rsidRPr="00D04C39">
        <w:rPr>
          <w:rFonts w:cs="David" w:hint="cs"/>
          <w:b/>
          <w:bCs/>
          <w:sz w:val="24"/>
          <w:szCs w:val="24"/>
          <w:rtl/>
        </w:rPr>
        <w:t>ולצערנו, גם משקפת את הצדדים הפחות טובים של המין האנושי.</w:t>
      </w:r>
      <w:r w:rsidR="005473EA" w:rsidRPr="00D04C39">
        <w:rPr>
          <w:rFonts w:cs="David" w:hint="cs"/>
          <w:sz w:val="24"/>
          <w:szCs w:val="24"/>
          <w:rtl/>
        </w:rPr>
        <w:t xml:space="preserve"> (ההדגשות של הח"מ</w:t>
      </w:r>
      <w:r w:rsidR="005473EA" w:rsidRPr="005473EA">
        <w:rPr>
          <w:rFonts w:cs="David" w:hint="cs"/>
          <w:sz w:val="24"/>
          <w:szCs w:val="24"/>
          <w:rtl/>
        </w:rPr>
        <w:t xml:space="preserve"> </w:t>
      </w:r>
      <w:r w:rsidR="005473EA" w:rsidRPr="005473EA">
        <w:rPr>
          <w:rFonts w:cs="David"/>
          <w:sz w:val="24"/>
          <w:szCs w:val="24"/>
          <w:rtl/>
        </w:rPr>
        <w:t>–</w:t>
      </w:r>
      <w:r w:rsidR="005473EA" w:rsidRPr="005473EA">
        <w:rPr>
          <w:rFonts w:cs="David" w:hint="cs"/>
          <w:sz w:val="24"/>
          <w:szCs w:val="24"/>
          <w:rtl/>
        </w:rPr>
        <w:t xml:space="preserve"> ר"מ)</w:t>
      </w:r>
    </w:p>
    <w:p w:rsidR="00C472AA" w:rsidRDefault="00673596" w:rsidP="004F1A85">
      <w:pPr>
        <w:spacing w:line="360" w:lineRule="auto"/>
        <w:jc w:val="both"/>
        <w:rPr>
          <w:rFonts w:cs="David"/>
          <w:sz w:val="28"/>
          <w:szCs w:val="28"/>
          <w:rtl/>
        </w:rPr>
      </w:pPr>
      <w:r>
        <w:rPr>
          <w:rFonts w:cs="David" w:hint="cs"/>
          <w:sz w:val="28"/>
          <w:szCs w:val="28"/>
          <w:rtl/>
        </w:rPr>
        <w:t>כדי להבין את סוד עוצמתן של הרשתות החברתיות</w:t>
      </w:r>
      <w:r w:rsidR="008D3447">
        <w:rPr>
          <w:rFonts w:cs="David" w:hint="cs"/>
          <w:sz w:val="28"/>
          <w:szCs w:val="28"/>
          <w:rtl/>
        </w:rPr>
        <w:t>,</w:t>
      </w:r>
      <w:r>
        <w:rPr>
          <w:rFonts w:cs="David" w:hint="cs"/>
          <w:sz w:val="28"/>
          <w:szCs w:val="28"/>
          <w:rtl/>
        </w:rPr>
        <w:t xml:space="preserve"> </w:t>
      </w:r>
      <w:r w:rsidR="008D3447">
        <w:rPr>
          <w:rFonts w:cs="David" w:hint="cs"/>
          <w:sz w:val="28"/>
          <w:szCs w:val="28"/>
          <w:rtl/>
        </w:rPr>
        <w:t xml:space="preserve">מציין אשר עידן </w:t>
      </w:r>
      <w:r w:rsidR="004F1A85">
        <w:rPr>
          <w:rFonts w:cs="David" w:hint="cs"/>
          <w:sz w:val="28"/>
          <w:szCs w:val="28"/>
          <w:rtl/>
        </w:rPr>
        <w:t>ארבעה 'חוקי יסוד'</w:t>
      </w:r>
      <w:r w:rsidR="00DE1589">
        <w:rPr>
          <w:rStyle w:val="a5"/>
          <w:rFonts w:cs="David"/>
          <w:sz w:val="28"/>
          <w:szCs w:val="28"/>
          <w:rtl/>
        </w:rPr>
        <w:footnoteReference w:id="31"/>
      </w:r>
      <w:r w:rsidR="00DE1589">
        <w:rPr>
          <w:rFonts w:cs="David" w:hint="cs"/>
          <w:sz w:val="28"/>
          <w:szCs w:val="28"/>
          <w:rtl/>
        </w:rPr>
        <w:t>, ש</w:t>
      </w:r>
      <w:r w:rsidR="008D3447">
        <w:rPr>
          <w:rFonts w:cs="David" w:hint="cs"/>
          <w:sz w:val="28"/>
          <w:szCs w:val="28"/>
          <w:rtl/>
        </w:rPr>
        <w:t>לחלקם מתייחסים גם חוקרים נוספים:</w:t>
      </w:r>
    </w:p>
    <w:p w:rsidR="00DE1589" w:rsidRPr="00B94F96" w:rsidRDefault="00DE1589" w:rsidP="006944E5">
      <w:pPr>
        <w:pStyle w:val="a6"/>
        <w:numPr>
          <w:ilvl w:val="0"/>
          <w:numId w:val="12"/>
        </w:numPr>
        <w:spacing w:line="360" w:lineRule="auto"/>
        <w:jc w:val="both"/>
        <w:rPr>
          <w:rFonts w:cs="David"/>
          <w:sz w:val="28"/>
          <w:szCs w:val="28"/>
        </w:rPr>
      </w:pPr>
      <w:r w:rsidRPr="00B94F96">
        <w:rPr>
          <w:rFonts w:cs="David" w:hint="cs"/>
          <w:sz w:val="28"/>
          <w:szCs w:val="28"/>
          <w:rtl/>
        </w:rPr>
        <w:t xml:space="preserve">חוק מטקלף </w:t>
      </w:r>
      <w:r w:rsidRPr="00B94F96">
        <w:rPr>
          <w:rFonts w:cs="David"/>
          <w:sz w:val="28"/>
          <w:szCs w:val="28"/>
          <w:rtl/>
        </w:rPr>
        <w:t>–</w:t>
      </w:r>
      <w:r w:rsidRPr="00B94F96">
        <w:rPr>
          <w:rFonts w:cs="David" w:hint="cs"/>
          <w:sz w:val="28"/>
          <w:szCs w:val="28"/>
          <w:rtl/>
        </w:rPr>
        <w:t xml:space="preserve"> העוסק </w:t>
      </w:r>
      <w:r w:rsidRPr="00B94F96">
        <w:rPr>
          <w:rFonts w:cs="David" w:hint="cs"/>
          <w:b/>
          <w:bCs/>
          <w:sz w:val="28"/>
          <w:szCs w:val="28"/>
          <w:rtl/>
        </w:rPr>
        <w:t>בעוצמה החזקתית של מספר הקשרים ברשת</w:t>
      </w:r>
      <w:r w:rsidRPr="00B94F96">
        <w:rPr>
          <w:rFonts w:cs="David" w:hint="cs"/>
          <w:sz w:val="28"/>
          <w:szCs w:val="28"/>
          <w:rtl/>
        </w:rPr>
        <w:t xml:space="preserve"> מול העוצמה הרגילה של מספר המשתמשים. לפי חוק זה</w:t>
      </w:r>
      <w:r w:rsidR="00CF0255">
        <w:rPr>
          <w:rFonts w:cs="David" w:hint="cs"/>
          <w:sz w:val="28"/>
          <w:szCs w:val="28"/>
          <w:rtl/>
        </w:rPr>
        <w:t xml:space="preserve"> (שנוסחתו פחות חשובה)</w:t>
      </w:r>
      <w:r w:rsidRPr="00B94F96">
        <w:rPr>
          <w:rFonts w:cs="David" w:hint="cs"/>
          <w:sz w:val="28"/>
          <w:szCs w:val="28"/>
          <w:rtl/>
        </w:rPr>
        <w:t xml:space="preserve">, </w:t>
      </w:r>
      <w:r w:rsidR="0010093C" w:rsidRPr="00B94F96">
        <w:rPr>
          <w:rFonts w:cs="David" w:hint="cs"/>
          <w:sz w:val="28"/>
          <w:szCs w:val="28"/>
          <w:rtl/>
        </w:rPr>
        <w:t xml:space="preserve">מספר המשתמשים </w:t>
      </w:r>
      <w:r w:rsidR="0010093C" w:rsidRPr="00B94F96">
        <w:rPr>
          <w:rFonts w:cs="David" w:hint="cs"/>
          <w:sz w:val="28"/>
          <w:szCs w:val="28"/>
        </w:rPr>
        <w:t>N</w:t>
      </w:r>
      <w:r w:rsidR="0010093C" w:rsidRPr="00B94F96">
        <w:rPr>
          <w:rFonts w:cs="David" w:hint="cs"/>
          <w:sz w:val="28"/>
          <w:szCs w:val="28"/>
          <w:rtl/>
        </w:rPr>
        <w:t xml:space="preserve"> ברשת נתונה יוצר </w:t>
      </w:r>
      <w:r w:rsidR="0010093C" w:rsidRPr="00B94F96">
        <w:rPr>
          <w:rFonts w:cs="David" w:hint="cs"/>
          <w:sz w:val="28"/>
          <w:szCs w:val="28"/>
        </w:rPr>
        <w:t>N</w:t>
      </w:r>
      <w:r w:rsidR="0010093C" w:rsidRPr="00B94F96">
        <w:rPr>
          <w:rFonts w:cs="David" w:hint="cs"/>
          <w:sz w:val="28"/>
          <w:szCs w:val="28"/>
          <w:rtl/>
        </w:rPr>
        <w:t xml:space="preserve"> בריבוע קשרים. כך, למשל, </w:t>
      </w:r>
      <w:r w:rsidRPr="00B94F96">
        <w:rPr>
          <w:rFonts w:cs="David" w:hint="cs"/>
          <w:sz w:val="28"/>
          <w:szCs w:val="28"/>
          <w:rtl/>
        </w:rPr>
        <w:t>שני משתמשים יוצרים קשר אחד, שלושה משתמשים יוצרים שלושה קשרים, ארבעה משתמשים יוצרים שישה קשרים, 12 משתמשים יוצרים 66 קשרים</w:t>
      </w:r>
      <w:r w:rsidR="001D1493" w:rsidRPr="00B94F96">
        <w:rPr>
          <w:rFonts w:cs="David"/>
          <w:sz w:val="28"/>
          <w:szCs w:val="28"/>
          <w:rtl/>
        </w:rPr>
        <w:br/>
      </w:r>
      <w:r w:rsidRPr="00B94F96">
        <w:rPr>
          <w:rFonts w:cs="David" w:hint="cs"/>
          <w:sz w:val="28"/>
          <w:szCs w:val="28"/>
          <w:rtl/>
        </w:rPr>
        <w:t xml:space="preserve">ו- 1200 משתמשים יוצרים כבר שישה מיליון ושש מאות אלף קשרים. וכן </w:t>
      </w:r>
      <w:r w:rsidRPr="00B94F96">
        <w:rPr>
          <w:rFonts w:cs="David" w:hint="cs"/>
          <w:sz w:val="28"/>
          <w:szCs w:val="28"/>
          <w:rtl/>
        </w:rPr>
        <w:lastRenderedPageBreak/>
        <w:t>הלאה.</w:t>
      </w:r>
      <w:r w:rsidR="001D1493" w:rsidRPr="00B94F96">
        <w:rPr>
          <w:rFonts w:cs="David" w:hint="cs"/>
          <w:sz w:val="28"/>
          <w:szCs w:val="28"/>
          <w:rtl/>
        </w:rPr>
        <w:t xml:space="preserve"> </w:t>
      </w:r>
      <w:r w:rsidR="001D1493" w:rsidRPr="00EE5BC1">
        <w:rPr>
          <w:rFonts w:cs="David" w:hint="cs"/>
          <w:b/>
          <w:bCs/>
          <w:sz w:val="28"/>
          <w:szCs w:val="28"/>
          <w:rtl/>
        </w:rPr>
        <w:t>חוק זה מסביר מדוע הרשת כה עוצמתית ורבת קשרים האחד עם השני</w:t>
      </w:r>
      <w:r w:rsidR="001D1493" w:rsidRPr="00B94F96">
        <w:rPr>
          <w:rFonts w:cs="David" w:hint="cs"/>
          <w:sz w:val="28"/>
          <w:szCs w:val="28"/>
          <w:rtl/>
        </w:rPr>
        <w:t>.</w:t>
      </w:r>
    </w:p>
    <w:p w:rsidR="00DE1589" w:rsidRPr="006B4D82" w:rsidRDefault="00DE1589" w:rsidP="00F119A4">
      <w:pPr>
        <w:pStyle w:val="a6"/>
        <w:numPr>
          <w:ilvl w:val="0"/>
          <w:numId w:val="12"/>
        </w:numPr>
        <w:spacing w:after="120" w:line="360" w:lineRule="auto"/>
        <w:jc w:val="both"/>
        <w:rPr>
          <w:rFonts w:cs="David"/>
          <w:b/>
          <w:bCs/>
          <w:sz w:val="28"/>
          <w:szCs w:val="28"/>
        </w:rPr>
      </w:pPr>
      <w:r w:rsidRPr="004F1943">
        <w:rPr>
          <w:rFonts w:cs="David" w:hint="cs"/>
          <w:sz w:val="28"/>
          <w:szCs w:val="28"/>
          <w:rtl/>
        </w:rPr>
        <w:t xml:space="preserve">חוק שריקי </w:t>
      </w:r>
      <w:r w:rsidRPr="004F1943">
        <w:rPr>
          <w:rFonts w:cs="David"/>
          <w:sz w:val="28"/>
          <w:szCs w:val="28"/>
          <w:rtl/>
        </w:rPr>
        <w:t>–</w:t>
      </w:r>
      <w:r w:rsidRPr="004F1943">
        <w:rPr>
          <w:rFonts w:cs="David" w:hint="cs"/>
          <w:sz w:val="28"/>
          <w:szCs w:val="28"/>
          <w:rtl/>
        </w:rPr>
        <w:t xml:space="preserve"> עוסק </w:t>
      </w:r>
      <w:r w:rsidRPr="004F1943">
        <w:rPr>
          <w:rFonts w:cs="David" w:hint="cs"/>
          <w:b/>
          <w:bCs/>
          <w:sz w:val="28"/>
          <w:szCs w:val="28"/>
          <w:rtl/>
        </w:rPr>
        <w:t>בירידה דרסטית בעלות השיתוף בין בני אדם ברשתות</w:t>
      </w:r>
      <w:r w:rsidRPr="006B4D82">
        <w:rPr>
          <w:rFonts w:cs="David" w:hint="cs"/>
          <w:sz w:val="28"/>
          <w:szCs w:val="28"/>
          <w:rtl/>
        </w:rPr>
        <w:t xml:space="preserve"> </w:t>
      </w:r>
      <w:r w:rsidRPr="006B4D82">
        <w:rPr>
          <w:rFonts w:cs="David" w:hint="cs"/>
          <w:b/>
          <w:bCs/>
          <w:sz w:val="28"/>
          <w:szCs w:val="28"/>
          <w:rtl/>
        </w:rPr>
        <w:t>החברתיות,</w:t>
      </w:r>
      <w:r w:rsidRPr="006B4D82">
        <w:rPr>
          <w:rFonts w:cs="David" w:hint="cs"/>
          <w:sz w:val="28"/>
          <w:szCs w:val="28"/>
          <w:rtl/>
        </w:rPr>
        <w:t xml:space="preserve"> יחסית לעלות התקשורת המסורתי</w:t>
      </w:r>
      <w:r>
        <w:rPr>
          <w:rFonts w:cs="David" w:hint="cs"/>
          <w:sz w:val="28"/>
          <w:szCs w:val="28"/>
          <w:rtl/>
        </w:rPr>
        <w:t>ת</w:t>
      </w:r>
      <w:r w:rsidRPr="006B4D82">
        <w:rPr>
          <w:rFonts w:cs="David" w:hint="cs"/>
          <w:sz w:val="28"/>
          <w:szCs w:val="28"/>
          <w:rtl/>
        </w:rPr>
        <w:t xml:space="preserve"> של ממשלות וארגונים. עידן מביא לעניין זה את טענתו של קליי שירקי, מחבר ספר היסוד של מחאות והמהפכות: "כל אחד יכול: איך לארגן ללא ארגונים", לפיה הופעת הרשתות החברתיות חוללה שינוי היסטורי דרמטי, מבחינת ארגונים פוליטיים וארגונים עסקיים וזאת בגלל החוק האמור</w:t>
      </w:r>
      <w:r>
        <w:rPr>
          <w:rFonts w:cs="David" w:hint="cs"/>
          <w:sz w:val="28"/>
          <w:szCs w:val="28"/>
          <w:rtl/>
        </w:rPr>
        <w:t>.</w:t>
      </w:r>
      <w:r w:rsidRPr="006B4D82">
        <w:rPr>
          <w:rFonts w:cs="David" w:hint="cs"/>
          <w:sz w:val="28"/>
          <w:szCs w:val="28"/>
          <w:rtl/>
        </w:rPr>
        <w:t xml:space="preserve"> לכן, </w:t>
      </w:r>
      <w:r w:rsidRPr="003575ED">
        <w:rPr>
          <w:rFonts w:cs="David" w:hint="cs"/>
          <w:b/>
          <w:bCs/>
          <w:sz w:val="28"/>
          <w:szCs w:val="28"/>
          <w:rtl/>
        </w:rPr>
        <w:t>ינצח ההמון בשנים הבאות באמצעות הרשתות החברתיות ארגונים גדולים מסוג הון, שלטון ועיתון</w:t>
      </w:r>
      <w:r w:rsidRPr="006B4D82">
        <w:rPr>
          <w:rFonts w:cs="David" w:hint="cs"/>
          <w:sz w:val="28"/>
          <w:szCs w:val="28"/>
          <w:rtl/>
        </w:rPr>
        <w:t>.</w:t>
      </w:r>
      <w:r>
        <w:rPr>
          <w:rStyle w:val="a5"/>
          <w:rFonts w:cs="David"/>
          <w:sz w:val="28"/>
          <w:szCs w:val="28"/>
        </w:rPr>
        <w:footnoteReference w:id="32"/>
      </w:r>
      <w:r w:rsidRPr="006B4D82">
        <w:rPr>
          <w:rFonts w:cs="David" w:hint="cs"/>
          <w:sz w:val="28"/>
          <w:szCs w:val="28"/>
          <w:rtl/>
        </w:rPr>
        <w:t xml:space="preserve"> </w:t>
      </w:r>
    </w:p>
    <w:p w:rsidR="00DE1589" w:rsidRPr="006B4D82" w:rsidRDefault="00DE1589" w:rsidP="00E76A91">
      <w:pPr>
        <w:pStyle w:val="a6"/>
        <w:spacing w:line="360" w:lineRule="auto"/>
        <w:jc w:val="both"/>
        <w:rPr>
          <w:rFonts w:cs="David"/>
          <w:b/>
          <w:bCs/>
          <w:sz w:val="28"/>
          <w:szCs w:val="28"/>
        </w:rPr>
      </w:pPr>
      <w:r w:rsidRPr="006B4D82">
        <w:rPr>
          <w:rFonts w:cs="David" w:hint="cs"/>
          <w:sz w:val="28"/>
          <w:szCs w:val="28"/>
          <w:rtl/>
        </w:rPr>
        <w:t xml:space="preserve">יובל קרניאל ועידן שניר תומכים </w:t>
      </w:r>
      <w:r>
        <w:rPr>
          <w:rFonts w:cs="David" w:hint="cs"/>
          <w:sz w:val="28"/>
          <w:szCs w:val="28"/>
          <w:rtl/>
        </w:rPr>
        <w:t>אף</w:t>
      </w:r>
      <w:r w:rsidRPr="006B4D82">
        <w:rPr>
          <w:rFonts w:cs="David" w:hint="cs"/>
          <w:sz w:val="28"/>
          <w:szCs w:val="28"/>
          <w:rtl/>
        </w:rPr>
        <w:t xml:space="preserve"> הם בטענה זו ומוסיפים כי המרשתת שינתה את מבנה השוק הכלכלי ואת החשיבה על עסקאות כלכליות מסורתיות. לטענתם, מדובר בלא פחות ממהפכה</w:t>
      </w:r>
      <w:r w:rsidRPr="00B135F5">
        <w:rPr>
          <w:rFonts w:cs="David" w:hint="cs"/>
          <w:sz w:val="28"/>
          <w:szCs w:val="28"/>
          <w:rtl/>
        </w:rPr>
        <w:t xml:space="preserve">, בכך </w:t>
      </w:r>
      <w:r w:rsidRPr="00943DDE">
        <w:rPr>
          <w:rFonts w:cs="David" w:hint="cs"/>
          <w:b/>
          <w:bCs/>
          <w:sz w:val="28"/>
          <w:szCs w:val="28"/>
          <w:rtl/>
        </w:rPr>
        <w:t>שהמרשתת העמידה את תשתיות השידור שלה לכל אדם שחפץ בכך</w:t>
      </w:r>
      <w:r w:rsidRPr="00B135F5">
        <w:rPr>
          <w:rFonts w:cs="David" w:hint="cs"/>
          <w:sz w:val="28"/>
          <w:szCs w:val="28"/>
          <w:rtl/>
        </w:rPr>
        <w:t>, מבלי להטיל על אותו אדם הגבלות או תנאים כלשהם</w:t>
      </w:r>
      <w:r>
        <w:rPr>
          <w:rFonts w:cs="David" w:hint="cs"/>
          <w:sz w:val="28"/>
          <w:szCs w:val="28"/>
          <w:rtl/>
        </w:rPr>
        <w:t xml:space="preserve">. </w:t>
      </w:r>
      <w:r w:rsidRPr="00943DDE">
        <w:rPr>
          <w:rFonts w:cs="David" w:hint="cs"/>
          <w:b/>
          <w:bCs/>
          <w:sz w:val="28"/>
          <w:szCs w:val="28"/>
          <w:rtl/>
        </w:rPr>
        <w:t xml:space="preserve"> </w:t>
      </w:r>
      <w:r w:rsidRPr="00EE5BC1">
        <w:rPr>
          <w:rFonts w:cs="David" w:hint="cs"/>
          <w:b/>
          <w:bCs/>
          <w:sz w:val="28"/>
          <w:szCs w:val="28"/>
          <w:rtl/>
        </w:rPr>
        <w:t>עלויות העסקה הנמוכות במרשתת</w:t>
      </w:r>
      <w:r w:rsidRPr="00E76A91">
        <w:rPr>
          <w:rFonts w:cs="David" w:hint="cs"/>
          <w:sz w:val="28"/>
          <w:szCs w:val="28"/>
          <w:rtl/>
        </w:rPr>
        <w:t>, מגבירות את הנגישות של כל אדם לתשתיות</w:t>
      </w:r>
      <w:r w:rsidRPr="00E76A91">
        <w:rPr>
          <w:rFonts w:cs="David" w:hint="cs"/>
          <w:b/>
          <w:bCs/>
          <w:sz w:val="28"/>
          <w:szCs w:val="28"/>
          <w:rtl/>
        </w:rPr>
        <w:t xml:space="preserve"> ובכך</w:t>
      </w:r>
      <w:r w:rsidRPr="00E76A91">
        <w:rPr>
          <w:rFonts w:cs="David" w:hint="cs"/>
          <w:sz w:val="28"/>
          <w:szCs w:val="28"/>
          <w:rtl/>
        </w:rPr>
        <w:t xml:space="preserve"> </w:t>
      </w:r>
      <w:r w:rsidRPr="00E76A91">
        <w:rPr>
          <w:rFonts w:cs="David" w:hint="cs"/>
          <w:b/>
          <w:bCs/>
          <w:sz w:val="28"/>
          <w:szCs w:val="28"/>
          <w:rtl/>
        </w:rPr>
        <w:t>מרחיבות את חופש הביטוי של הפרט לממדים חדשים</w:t>
      </w:r>
      <w:r w:rsidR="00E76A91" w:rsidRPr="00E76A91">
        <w:rPr>
          <w:rFonts w:cs="David" w:hint="cs"/>
          <w:b/>
          <w:bCs/>
          <w:sz w:val="28"/>
          <w:szCs w:val="28"/>
          <w:rtl/>
        </w:rPr>
        <w:t xml:space="preserve"> </w:t>
      </w:r>
      <w:r w:rsidR="00E76A91" w:rsidRPr="004F1A85">
        <w:rPr>
          <w:rStyle w:val="a5"/>
          <w:rFonts w:cs="David"/>
          <w:b/>
          <w:bCs/>
          <w:sz w:val="28"/>
          <w:szCs w:val="28"/>
          <w:rtl/>
        </w:rPr>
        <w:footnoteReference w:id="33"/>
      </w:r>
      <w:r w:rsidR="00E76A91" w:rsidRPr="004F1A85">
        <w:rPr>
          <w:rFonts w:cs="David" w:hint="cs"/>
          <w:b/>
          <w:bCs/>
          <w:sz w:val="28"/>
          <w:szCs w:val="28"/>
          <w:rtl/>
        </w:rPr>
        <w:t xml:space="preserve"> ובכלל זה גם ביטויים פוגעניים, גזעניים ומסיתים.</w:t>
      </w:r>
    </w:p>
    <w:p w:rsidR="00DE1589" w:rsidRDefault="00DE1589" w:rsidP="00F119A4">
      <w:pPr>
        <w:pStyle w:val="a6"/>
        <w:numPr>
          <w:ilvl w:val="0"/>
          <w:numId w:val="12"/>
        </w:numPr>
        <w:spacing w:after="120" w:line="360" w:lineRule="auto"/>
        <w:jc w:val="both"/>
        <w:rPr>
          <w:rFonts w:cs="David"/>
          <w:sz w:val="28"/>
          <w:szCs w:val="28"/>
        </w:rPr>
      </w:pPr>
      <w:r>
        <w:rPr>
          <w:rFonts w:cs="David" w:hint="cs"/>
          <w:sz w:val="28"/>
          <w:szCs w:val="28"/>
          <w:rtl/>
        </w:rPr>
        <w:t xml:space="preserve">חוק אקסלרוד </w:t>
      </w:r>
      <w:r>
        <w:rPr>
          <w:rFonts w:cs="David"/>
          <w:sz w:val="28"/>
          <w:szCs w:val="28"/>
          <w:rtl/>
        </w:rPr>
        <w:t>–</w:t>
      </w:r>
      <w:r>
        <w:rPr>
          <w:rFonts w:cs="David" w:hint="cs"/>
          <w:sz w:val="28"/>
          <w:szCs w:val="28"/>
          <w:rtl/>
        </w:rPr>
        <w:t xml:space="preserve"> עוסק </w:t>
      </w:r>
      <w:r w:rsidRPr="003575ED">
        <w:rPr>
          <w:rFonts w:cs="David" w:hint="cs"/>
          <w:b/>
          <w:bCs/>
          <w:sz w:val="28"/>
          <w:szCs w:val="28"/>
          <w:rtl/>
        </w:rPr>
        <w:t>בקפיצה הגדולה באמון בין בני אדם כפונקציה של מספר האיטרציות ביניהם</w:t>
      </w:r>
      <w:r w:rsidRPr="005B0EE0">
        <w:rPr>
          <w:rFonts w:cs="David" w:hint="cs"/>
          <w:sz w:val="28"/>
          <w:szCs w:val="28"/>
          <w:rtl/>
        </w:rPr>
        <w:t xml:space="preserve"> (חזרה על פעולה</w:t>
      </w:r>
      <w:r>
        <w:rPr>
          <w:rFonts w:cs="David" w:hint="cs"/>
          <w:sz w:val="28"/>
          <w:szCs w:val="28"/>
          <w:rtl/>
        </w:rPr>
        <w:t>,</w:t>
      </w:r>
      <w:r w:rsidRPr="005B0EE0">
        <w:rPr>
          <w:rFonts w:cs="David" w:hint="cs"/>
          <w:sz w:val="28"/>
          <w:szCs w:val="28"/>
          <w:rtl/>
        </w:rPr>
        <w:t xml:space="preserve"> תוך כדי אפשרות להפיק לקחים)</w:t>
      </w:r>
      <w:r>
        <w:rPr>
          <w:rFonts w:cs="David" w:hint="cs"/>
          <w:sz w:val="28"/>
          <w:szCs w:val="28"/>
          <w:rtl/>
        </w:rPr>
        <w:t xml:space="preserve">, </w:t>
      </w:r>
      <w:r w:rsidRPr="00E06A53">
        <w:rPr>
          <w:rFonts w:cs="David" w:hint="cs"/>
          <w:sz w:val="28"/>
          <w:szCs w:val="28"/>
          <w:rtl/>
        </w:rPr>
        <w:t xml:space="preserve">שאפשריות רק בתקשורת </w:t>
      </w:r>
      <w:r w:rsidRPr="003575ED">
        <w:rPr>
          <w:rFonts w:cs="David" w:hint="cs"/>
          <w:b/>
          <w:bCs/>
          <w:sz w:val="28"/>
          <w:szCs w:val="28"/>
          <w:rtl/>
        </w:rPr>
        <w:t>"רבים-לרבים"</w:t>
      </w:r>
      <w:r>
        <w:rPr>
          <w:rFonts w:cs="David" w:hint="cs"/>
          <w:sz w:val="28"/>
          <w:szCs w:val="28"/>
          <w:rtl/>
        </w:rPr>
        <w:t>,</w:t>
      </w:r>
      <w:r w:rsidRPr="00E06A53">
        <w:rPr>
          <w:rFonts w:cs="David" w:hint="cs"/>
          <w:sz w:val="28"/>
          <w:szCs w:val="28"/>
          <w:rtl/>
        </w:rPr>
        <w:t xml:space="preserve"> כזו המתקיימת ברשתות החברתיות</w:t>
      </w:r>
      <w:r>
        <w:rPr>
          <w:rFonts w:cs="David" w:hint="cs"/>
          <w:sz w:val="28"/>
          <w:szCs w:val="28"/>
          <w:rtl/>
        </w:rPr>
        <w:t xml:space="preserve"> ולא בתקשורת "יחיד-לרבים" האופיינית לעיתונים ולטלוויזיה.</w:t>
      </w:r>
    </w:p>
    <w:p w:rsidR="00170637" w:rsidRPr="00170637" w:rsidRDefault="00DE1589" w:rsidP="004F1A85">
      <w:pPr>
        <w:pStyle w:val="a6"/>
        <w:numPr>
          <w:ilvl w:val="0"/>
          <w:numId w:val="12"/>
        </w:numPr>
        <w:spacing w:after="120" w:line="360" w:lineRule="auto"/>
        <w:jc w:val="both"/>
        <w:rPr>
          <w:rFonts w:cs="David"/>
          <w:sz w:val="28"/>
          <w:szCs w:val="28"/>
        </w:rPr>
      </w:pPr>
      <w:r w:rsidRPr="00C337A1">
        <w:rPr>
          <w:rFonts w:cs="David" w:hint="cs"/>
          <w:sz w:val="28"/>
          <w:szCs w:val="28"/>
          <w:rtl/>
        </w:rPr>
        <w:t xml:space="preserve">חוק מקלוהן </w:t>
      </w:r>
      <w:r w:rsidRPr="00C337A1">
        <w:rPr>
          <w:rFonts w:cs="David"/>
          <w:sz w:val="28"/>
          <w:szCs w:val="28"/>
          <w:rtl/>
        </w:rPr>
        <w:t>–</w:t>
      </w:r>
      <w:r w:rsidRPr="00C337A1">
        <w:rPr>
          <w:rFonts w:cs="David" w:hint="cs"/>
          <w:sz w:val="28"/>
          <w:szCs w:val="28"/>
          <w:rtl/>
        </w:rPr>
        <w:t xml:space="preserve"> בראשית ימיה עוררה המרשתת תקוות גדולות לשינוי סדרי עולם וליצירת תנאים חדשים, שיקדמו משמעותית את חופש הביטוי של הפרט: החופש לבטא עמדות ודעות, החופש לפרסם מידע, החופש לחקור וללמוד וכך לגבש דעה, החופש לבחור ולגבש זהות אוטונומית ועוד. תקוות אלו נבעו בעיקר </w:t>
      </w:r>
      <w:r w:rsidRPr="00C337A1">
        <w:rPr>
          <w:rFonts w:cs="David" w:hint="cs"/>
          <w:b/>
          <w:bCs/>
          <w:sz w:val="28"/>
          <w:szCs w:val="28"/>
          <w:rtl/>
        </w:rPr>
        <w:t>מאופייה המבוזר של הרשת, המאפשר תקשורת ישירה ובלתי אמצעית בין המשתמשים</w:t>
      </w:r>
      <w:r w:rsidRPr="00C337A1">
        <w:rPr>
          <w:rFonts w:cs="David" w:hint="cs"/>
          <w:sz w:val="28"/>
          <w:szCs w:val="28"/>
          <w:rtl/>
        </w:rPr>
        <w:t xml:space="preserve">. בספריו של מרשל מקלוהן קבע האחרון כי </w:t>
      </w:r>
      <w:r w:rsidRPr="00C337A1">
        <w:rPr>
          <w:rFonts w:cs="David" w:hint="cs"/>
          <w:b/>
          <w:bCs/>
          <w:sz w:val="28"/>
          <w:szCs w:val="28"/>
          <w:rtl/>
        </w:rPr>
        <w:t>"המדיום הוא המסר"</w:t>
      </w:r>
      <w:r w:rsidRPr="00C337A1">
        <w:rPr>
          <w:rFonts w:cs="David" w:hint="cs"/>
          <w:sz w:val="28"/>
          <w:szCs w:val="28"/>
          <w:rtl/>
        </w:rPr>
        <w:t>.</w:t>
      </w:r>
      <w:r>
        <w:rPr>
          <w:rStyle w:val="a5"/>
          <w:rFonts w:cs="David"/>
          <w:sz w:val="28"/>
          <w:szCs w:val="28"/>
          <w:rtl/>
        </w:rPr>
        <w:footnoteReference w:id="34"/>
      </w:r>
      <w:r w:rsidRPr="00C337A1">
        <w:rPr>
          <w:rFonts w:cs="David" w:hint="cs"/>
          <w:sz w:val="28"/>
          <w:szCs w:val="28"/>
          <w:rtl/>
        </w:rPr>
        <w:t xml:space="preserve"> כלומר, מהפכות מתרחשות בעיקר כשמופיעה טכנולוגיה חדשה בחברה קפואה, אשר 'מפרקת' את המוסדות הישנים ובעקבות</w:t>
      </w:r>
      <w:r w:rsidR="004F1A85">
        <w:rPr>
          <w:rFonts w:cs="David" w:hint="cs"/>
          <w:sz w:val="28"/>
          <w:szCs w:val="28"/>
          <w:rtl/>
        </w:rPr>
        <w:t>יה</w:t>
      </w:r>
      <w:r w:rsidRPr="00C337A1">
        <w:rPr>
          <w:rFonts w:cs="David" w:hint="cs"/>
          <w:sz w:val="28"/>
          <w:szCs w:val="28"/>
          <w:rtl/>
        </w:rPr>
        <w:t xml:space="preserve"> נוצר שינוי, הגורם לציבור גדול להגיב ולפעול ביחד, למרות שלא היה קשר קודם ביניהם </w:t>
      </w:r>
      <w:r w:rsidR="00EE5BC1" w:rsidRPr="00C337A1">
        <w:rPr>
          <w:rFonts w:cs="David" w:hint="cs"/>
          <w:sz w:val="28"/>
          <w:szCs w:val="28"/>
          <w:rtl/>
        </w:rPr>
        <w:t>ולעיתים, גם ללא סיבה נראית לעין.</w:t>
      </w:r>
    </w:p>
    <w:p w:rsidR="00DE1589" w:rsidRDefault="00DE1589" w:rsidP="00170637">
      <w:pPr>
        <w:pStyle w:val="a6"/>
        <w:spacing w:after="120" w:line="360" w:lineRule="auto"/>
        <w:jc w:val="both"/>
        <w:rPr>
          <w:rFonts w:cs="David"/>
          <w:sz w:val="28"/>
          <w:szCs w:val="28"/>
          <w:rtl/>
        </w:rPr>
      </w:pPr>
      <w:r w:rsidRPr="00C337A1">
        <w:rPr>
          <w:rFonts w:cs="David" w:hint="cs"/>
          <w:sz w:val="28"/>
          <w:szCs w:val="28"/>
          <w:rtl/>
        </w:rPr>
        <w:lastRenderedPageBreak/>
        <w:t>בהקשר זה, טוענת ניבה אלקין-קורן</w:t>
      </w:r>
      <w:r>
        <w:rPr>
          <w:rStyle w:val="a5"/>
          <w:rFonts w:cs="David"/>
          <w:sz w:val="28"/>
          <w:szCs w:val="28"/>
          <w:rtl/>
        </w:rPr>
        <w:footnoteReference w:id="35"/>
      </w:r>
      <w:r w:rsidRPr="00C337A1">
        <w:rPr>
          <w:rFonts w:cs="David" w:hint="cs"/>
          <w:sz w:val="28"/>
          <w:szCs w:val="28"/>
          <w:rtl/>
        </w:rPr>
        <w:t xml:space="preserve"> כי הדימוי המבוזר של המרשתת  ועמו ההבטחה הגדולה לחירות ולחופש הביטוי, התבססו על שני מיתוסים עיקריים באשר לאופיו של השיח ברשת. המיתוס הראשון מתמקד בכך, ש</w:t>
      </w:r>
      <w:r w:rsidR="00F944F4" w:rsidRPr="00C337A1">
        <w:rPr>
          <w:rFonts w:cs="David" w:hint="cs"/>
          <w:b/>
          <w:bCs/>
          <w:sz w:val="28"/>
          <w:szCs w:val="28"/>
          <w:rtl/>
        </w:rPr>
        <w:t>'</w:t>
      </w:r>
      <w:r w:rsidRPr="00C337A1">
        <w:rPr>
          <w:rFonts w:cs="David" w:hint="cs"/>
          <w:b/>
          <w:bCs/>
          <w:sz w:val="28"/>
          <w:szCs w:val="28"/>
          <w:rtl/>
        </w:rPr>
        <w:t>כל אחד ברשת יכול להיות דובר</w:t>
      </w:r>
      <w:r w:rsidR="00F944F4" w:rsidRPr="00C337A1">
        <w:rPr>
          <w:rFonts w:cs="David" w:hint="cs"/>
          <w:b/>
          <w:bCs/>
          <w:sz w:val="28"/>
          <w:szCs w:val="28"/>
          <w:rtl/>
        </w:rPr>
        <w:t>'</w:t>
      </w:r>
      <w:r w:rsidRPr="00C337A1">
        <w:rPr>
          <w:rFonts w:cs="David" w:hint="cs"/>
          <w:b/>
          <w:bCs/>
          <w:sz w:val="28"/>
          <w:szCs w:val="28"/>
          <w:rtl/>
        </w:rPr>
        <w:t xml:space="preserve"> - המרשתת מעניקה לפרט עוצמה חסרת תקדים להעברת מסרים</w:t>
      </w:r>
      <w:r w:rsidRPr="00C337A1">
        <w:rPr>
          <w:rFonts w:cs="David" w:hint="cs"/>
          <w:sz w:val="28"/>
          <w:szCs w:val="28"/>
          <w:rtl/>
        </w:rPr>
        <w:t>. בסביבה זו, כל גולש יכול לבטא את עמדותיו בפני קהל עצום של משתמשי הרשת בכל העולם. המיתוס השני מתמקד בחופש המידע ומאחר שהינו פחות רלוונטי לסוגיית ההסתה, בה עוסקת העבודה, לא נרחיב בו.</w:t>
      </w:r>
    </w:p>
    <w:p w:rsidR="00C337A1" w:rsidRDefault="00DE1589" w:rsidP="00170637">
      <w:pPr>
        <w:pStyle w:val="a6"/>
        <w:spacing w:line="360" w:lineRule="auto"/>
        <w:jc w:val="both"/>
        <w:rPr>
          <w:rFonts w:cs="David"/>
          <w:sz w:val="28"/>
          <w:szCs w:val="28"/>
          <w:rtl/>
        </w:rPr>
      </w:pPr>
      <w:r>
        <w:rPr>
          <w:rFonts w:cs="David" w:hint="cs"/>
          <w:sz w:val="28"/>
          <w:szCs w:val="28"/>
          <w:rtl/>
        </w:rPr>
        <w:t>באשר</w:t>
      </w:r>
      <w:r w:rsidR="001D1493">
        <w:rPr>
          <w:rFonts w:cs="David" w:hint="cs"/>
          <w:sz w:val="28"/>
          <w:szCs w:val="28"/>
          <w:rtl/>
        </w:rPr>
        <w:t xml:space="preserve"> למיתוס הראשון </w:t>
      </w:r>
      <w:r>
        <w:rPr>
          <w:rFonts w:cs="David" w:hint="cs"/>
          <w:sz w:val="28"/>
          <w:szCs w:val="28"/>
          <w:rtl/>
        </w:rPr>
        <w:t xml:space="preserve">הטענה היא, </w:t>
      </w:r>
      <w:r w:rsidRPr="00E40F0E">
        <w:rPr>
          <w:rFonts w:cs="David" w:hint="cs"/>
          <w:b/>
          <w:bCs/>
          <w:sz w:val="28"/>
          <w:szCs w:val="28"/>
          <w:rtl/>
        </w:rPr>
        <w:t>שהרשת יוצרת פוטנציאל טבעי לביזור השיח ולפתיחתו למספר רב של דוברים</w:t>
      </w:r>
      <w:r>
        <w:rPr>
          <w:rFonts w:cs="David" w:hint="cs"/>
          <w:b/>
          <w:bCs/>
          <w:sz w:val="28"/>
          <w:szCs w:val="28"/>
          <w:rtl/>
        </w:rPr>
        <w:t>,</w:t>
      </w:r>
      <w:r w:rsidRPr="00E40F0E">
        <w:rPr>
          <w:rFonts w:cs="David" w:hint="cs"/>
          <w:b/>
          <w:bCs/>
          <w:sz w:val="28"/>
          <w:szCs w:val="28"/>
          <w:rtl/>
        </w:rPr>
        <w:t xml:space="preserve"> שלא יכלו בעבר לקחת חלק בשיח שכזה</w:t>
      </w:r>
      <w:r w:rsidR="00E76A91">
        <w:rPr>
          <w:rFonts w:cs="David" w:hint="cs"/>
          <w:sz w:val="28"/>
          <w:szCs w:val="28"/>
          <w:rtl/>
        </w:rPr>
        <w:t xml:space="preserve"> והסיבות לכך </w:t>
      </w:r>
      <w:r>
        <w:rPr>
          <w:rFonts w:cs="David" w:hint="cs"/>
          <w:sz w:val="28"/>
          <w:szCs w:val="28"/>
          <w:rtl/>
        </w:rPr>
        <w:t>הינן, כי הטכנולוגיה כבר אינה מחייבת ריכוז השליטה באמצעי תקשורת מעטים וכבר אין צורך בהקצאת ערוצי שידור לזכיינים (לכן גם אין צורך ברישוי ובפיקוח). הסיבה השנייה, היא זו המצוינת לעיל והעוסקת בעלויות הנמוכות של הוצאות ההפצה ברשת.</w:t>
      </w:r>
      <w:r w:rsidR="001D1493">
        <w:rPr>
          <w:rStyle w:val="a5"/>
          <w:rFonts w:cs="David"/>
          <w:sz w:val="28"/>
          <w:szCs w:val="28"/>
          <w:rtl/>
        </w:rPr>
        <w:footnoteReference w:id="36"/>
      </w:r>
      <w:r>
        <w:rPr>
          <w:rFonts w:cs="David" w:hint="cs"/>
          <w:sz w:val="28"/>
          <w:szCs w:val="28"/>
          <w:rtl/>
        </w:rPr>
        <w:t xml:space="preserve"> </w:t>
      </w:r>
    </w:p>
    <w:p w:rsidR="00C337A1" w:rsidRPr="006740D7" w:rsidRDefault="00434E68" w:rsidP="00170637">
      <w:pPr>
        <w:pStyle w:val="a6"/>
        <w:spacing w:line="360" w:lineRule="auto"/>
        <w:jc w:val="both"/>
        <w:rPr>
          <w:rFonts w:cs="David"/>
          <w:sz w:val="28"/>
          <w:szCs w:val="28"/>
          <w:rtl/>
        </w:rPr>
      </w:pPr>
      <w:r>
        <w:rPr>
          <w:rFonts w:cs="David" w:hint="cs"/>
          <w:sz w:val="28"/>
          <w:szCs w:val="28"/>
          <w:rtl/>
        </w:rPr>
        <w:t>א</w:t>
      </w:r>
      <w:r w:rsidR="00DE1589">
        <w:rPr>
          <w:rFonts w:cs="David" w:hint="cs"/>
          <w:sz w:val="28"/>
          <w:szCs w:val="28"/>
          <w:rtl/>
        </w:rPr>
        <w:t>לקין-קורן</w:t>
      </w:r>
      <w:r w:rsidR="00DE1589">
        <w:rPr>
          <w:rStyle w:val="a5"/>
          <w:rFonts w:cs="David"/>
          <w:sz w:val="28"/>
          <w:szCs w:val="28"/>
          <w:rtl/>
        </w:rPr>
        <w:footnoteReference w:id="37"/>
      </w:r>
      <w:r w:rsidR="00DE1589">
        <w:rPr>
          <w:rFonts w:cs="David" w:hint="cs"/>
          <w:sz w:val="28"/>
          <w:szCs w:val="28"/>
          <w:rtl/>
        </w:rPr>
        <w:t xml:space="preserve"> </w:t>
      </w:r>
      <w:r>
        <w:rPr>
          <w:rFonts w:cs="David" w:hint="cs"/>
          <w:sz w:val="28"/>
          <w:szCs w:val="28"/>
          <w:rtl/>
        </w:rPr>
        <w:t xml:space="preserve">מוסיפה </w:t>
      </w:r>
      <w:r w:rsidR="00900F4C">
        <w:rPr>
          <w:rFonts w:cs="David" w:hint="cs"/>
          <w:sz w:val="28"/>
          <w:szCs w:val="28"/>
          <w:rtl/>
        </w:rPr>
        <w:t xml:space="preserve">וטוענת </w:t>
      </w:r>
      <w:r w:rsidR="00DE1589">
        <w:rPr>
          <w:rFonts w:cs="David" w:hint="cs"/>
          <w:sz w:val="28"/>
          <w:szCs w:val="28"/>
          <w:rtl/>
        </w:rPr>
        <w:t xml:space="preserve">כי דווקא ההשקעה הגבוהה שנדרשה ברכישתם ובהפעלתם של אמצעי דפוס או מערכת שידור, באמצעי התקשורת המסורתיים, יצרה 'צוואר-בקבוק' טבעי והבטיחה כי 'מתווכי-התוכן' ייהנו משליטה על זרימת המידע ויקבעו מהם המסרים שיופצו בציבור. הרשת לעומת זאת, </w:t>
      </w:r>
      <w:r w:rsidR="00DE1589" w:rsidRPr="004A0832">
        <w:rPr>
          <w:rFonts w:cs="David" w:hint="cs"/>
          <w:b/>
          <w:bCs/>
          <w:sz w:val="28"/>
          <w:szCs w:val="28"/>
          <w:rtl/>
        </w:rPr>
        <w:t>מאפשרת תקשורת בלתי-אמצעית בין יוצרים למשתמשים</w:t>
      </w:r>
      <w:r w:rsidR="00DE1589">
        <w:rPr>
          <w:rFonts w:cs="David" w:hint="cs"/>
          <w:sz w:val="28"/>
          <w:szCs w:val="28"/>
          <w:rtl/>
        </w:rPr>
        <w:t xml:space="preserve">, ללא מתווכים. היא פתוחה </w:t>
      </w:r>
      <w:r w:rsidR="00DE1589" w:rsidRPr="004A0832">
        <w:rPr>
          <w:rFonts w:cs="David" w:hint="cs"/>
          <w:b/>
          <w:bCs/>
          <w:sz w:val="28"/>
          <w:szCs w:val="28"/>
          <w:rtl/>
        </w:rPr>
        <w:t>ומשוחררת ממערכת שיקולים של מנגנון מדרגי וריכוזי</w:t>
      </w:r>
      <w:r w:rsidR="00DE1589">
        <w:rPr>
          <w:rFonts w:cs="David" w:hint="cs"/>
          <w:sz w:val="28"/>
          <w:szCs w:val="28"/>
          <w:rtl/>
        </w:rPr>
        <w:t>.</w:t>
      </w:r>
      <w:r w:rsidR="00DE1589">
        <w:rPr>
          <w:rStyle w:val="a5"/>
          <w:rFonts w:cs="David"/>
          <w:sz w:val="28"/>
          <w:szCs w:val="28"/>
          <w:rtl/>
        </w:rPr>
        <w:footnoteReference w:id="38"/>
      </w:r>
      <w:r w:rsidR="00DE1589">
        <w:rPr>
          <w:rFonts w:cs="David" w:hint="cs"/>
          <w:sz w:val="28"/>
          <w:szCs w:val="28"/>
          <w:rtl/>
        </w:rPr>
        <w:t xml:space="preserve"> למעשה, </w:t>
      </w:r>
      <w:r w:rsidR="00DE1589" w:rsidRPr="006740D7">
        <w:rPr>
          <w:rFonts w:cs="David" w:hint="cs"/>
          <w:sz w:val="28"/>
          <w:szCs w:val="28"/>
          <w:rtl/>
        </w:rPr>
        <w:t>עמדות ואמירות שהיו מתקשות ככל הנראה לעבור את המסננת של 'מתווכי-התוכן' המסורתיים</w:t>
      </w:r>
      <w:r w:rsidR="00DE1589" w:rsidRPr="002D6B48">
        <w:rPr>
          <w:rFonts w:cs="David" w:hint="cs"/>
          <w:b/>
          <w:bCs/>
          <w:sz w:val="28"/>
          <w:szCs w:val="28"/>
          <w:rtl/>
        </w:rPr>
        <w:t xml:space="preserve"> - כגון ביטויי שנאה וגזענות </w:t>
      </w:r>
      <w:r w:rsidR="00DE1589">
        <w:rPr>
          <w:rFonts w:cs="David" w:hint="cs"/>
          <w:b/>
          <w:bCs/>
          <w:sz w:val="28"/>
          <w:szCs w:val="28"/>
          <w:rtl/>
        </w:rPr>
        <w:t>-</w:t>
      </w:r>
      <w:r w:rsidR="00DE1589" w:rsidRPr="002D6B48">
        <w:rPr>
          <w:rFonts w:cs="David" w:hint="cs"/>
          <w:b/>
          <w:bCs/>
          <w:sz w:val="28"/>
          <w:szCs w:val="28"/>
          <w:rtl/>
        </w:rPr>
        <w:t xml:space="preserve"> </w:t>
      </w:r>
      <w:r w:rsidR="00DE1589" w:rsidRPr="006740D7">
        <w:rPr>
          <w:rFonts w:cs="David" w:hint="cs"/>
          <w:sz w:val="28"/>
          <w:szCs w:val="28"/>
          <w:rtl/>
        </w:rPr>
        <w:t>אינן נזקקות ברשת לאישורו של איש והן זמינות לכל.</w:t>
      </w:r>
      <w:r w:rsidR="00F54081" w:rsidRPr="006740D7">
        <w:rPr>
          <w:rFonts w:cs="David" w:hint="cs"/>
          <w:sz w:val="28"/>
          <w:szCs w:val="28"/>
          <w:rtl/>
        </w:rPr>
        <w:t xml:space="preserve"> </w:t>
      </w:r>
    </w:p>
    <w:p w:rsidR="00DE1589" w:rsidRDefault="00F54081" w:rsidP="00C337A1">
      <w:pPr>
        <w:pStyle w:val="a6"/>
        <w:spacing w:line="360" w:lineRule="auto"/>
        <w:jc w:val="both"/>
        <w:rPr>
          <w:rFonts w:cs="David"/>
          <w:sz w:val="28"/>
          <w:szCs w:val="28"/>
          <w:rtl/>
        </w:rPr>
      </w:pPr>
      <w:r>
        <w:rPr>
          <w:rFonts w:cs="David" w:hint="cs"/>
          <w:sz w:val="28"/>
          <w:szCs w:val="28"/>
          <w:rtl/>
        </w:rPr>
        <w:t xml:space="preserve">לכן, </w:t>
      </w:r>
      <w:r w:rsidR="00F944F4">
        <w:rPr>
          <w:rFonts w:cs="David" w:hint="cs"/>
          <w:b/>
          <w:bCs/>
          <w:sz w:val="28"/>
          <w:szCs w:val="28"/>
          <w:rtl/>
        </w:rPr>
        <w:t>כאשר '</w:t>
      </w:r>
      <w:r w:rsidR="00DE1589" w:rsidRPr="00180732">
        <w:rPr>
          <w:rFonts w:cs="David" w:hint="cs"/>
          <w:b/>
          <w:bCs/>
          <w:sz w:val="28"/>
          <w:szCs w:val="28"/>
          <w:rtl/>
        </w:rPr>
        <w:t>כל אחד יכול להיות דובר</w:t>
      </w:r>
      <w:r w:rsidR="00F944F4">
        <w:rPr>
          <w:rFonts w:cs="David" w:hint="cs"/>
          <w:b/>
          <w:bCs/>
          <w:sz w:val="28"/>
          <w:szCs w:val="28"/>
          <w:rtl/>
        </w:rPr>
        <w:t>'</w:t>
      </w:r>
      <w:r w:rsidR="00DE1589" w:rsidRPr="00180732">
        <w:rPr>
          <w:rFonts w:cs="David" w:hint="cs"/>
          <w:b/>
          <w:bCs/>
          <w:sz w:val="28"/>
          <w:szCs w:val="28"/>
          <w:rtl/>
        </w:rPr>
        <w:t>, רבים</w:t>
      </w:r>
      <w:r w:rsidR="00DE1589" w:rsidRPr="00C326A5">
        <w:rPr>
          <w:rFonts w:cs="David" w:hint="cs"/>
          <w:b/>
          <w:bCs/>
          <w:sz w:val="28"/>
          <w:szCs w:val="28"/>
          <w:rtl/>
        </w:rPr>
        <w:t xml:space="preserve"> מהתכנים המופצים ברשת עלולים להיות בעלי אופי מזיק</w:t>
      </w:r>
      <w:r w:rsidR="00DE1589">
        <w:rPr>
          <w:rFonts w:cs="David" w:hint="cs"/>
          <w:sz w:val="28"/>
          <w:szCs w:val="28"/>
          <w:rtl/>
        </w:rPr>
        <w:t xml:space="preserve">, למשל: פגיעה בפרטיות, הפרת זכות יוצרים, הוצאת דיבה, עבירה על חוקי הצנזורה ולעניין עבודה זו - </w:t>
      </w:r>
      <w:r w:rsidR="00DE1589" w:rsidRPr="00C326A5">
        <w:rPr>
          <w:rFonts w:cs="David" w:hint="cs"/>
          <w:b/>
          <w:bCs/>
          <w:sz w:val="28"/>
          <w:szCs w:val="28"/>
          <w:rtl/>
        </w:rPr>
        <w:t>עבירה על חוקי ההסתה לגזענות</w:t>
      </w:r>
      <w:r w:rsidR="00DE1589">
        <w:rPr>
          <w:rFonts w:cs="David" w:hint="cs"/>
          <w:sz w:val="28"/>
          <w:szCs w:val="28"/>
          <w:rtl/>
        </w:rPr>
        <w:t>.</w:t>
      </w:r>
      <w:r w:rsidR="00900F4C">
        <w:rPr>
          <w:rStyle w:val="a5"/>
          <w:rFonts w:cs="David"/>
          <w:sz w:val="28"/>
          <w:szCs w:val="28"/>
          <w:rtl/>
        </w:rPr>
        <w:footnoteReference w:id="39"/>
      </w:r>
    </w:p>
    <w:p w:rsidR="00900F4C" w:rsidRDefault="00900F4C" w:rsidP="00900F4C">
      <w:pPr>
        <w:pStyle w:val="a6"/>
        <w:spacing w:line="360" w:lineRule="auto"/>
        <w:jc w:val="both"/>
        <w:rPr>
          <w:rFonts w:cs="David"/>
          <w:sz w:val="28"/>
          <w:szCs w:val="28"/>
          <w:rtl/>
        </w:rPr>
      </w:pPr>
    </w:p>
    <w:p w:rsidR="00FA2026" w:rsidRDefault="00FA2026" w:rsidP="00F119A4">
      <w:pPr>
        <w:pStyle w:val="a6"/>
        <w:spacing w:line="360" w:lineRule="auto"/>
        <w:jc w:val="both"/>
        <w:rPr>
          <w:rFonts w:cs="David"/>
          <w:sz w:val="28"/>
          <w:szCs w:val="28"/>
          <w:rtl/>
        </w:rPr>
      </w:pPr>
    </w:p>
    <w:p w:rsidR="00FA2026" w:rsidRDefault="00FA2026" w:rsidP="00F119A4">
      <w:pPr>
        <w:pStyle w:val="a6"/>
        <w:spacing w:line="360" w:lineRule="auto"/>
        <w:jc w:val="both"/>
        <w:rPr>
          <w:rFonts w:cs="David"/>
          <w:sz w:val="28"/>
          <w:szCs w:val="28"/>
          <w:rtl/>
        </w:rPr>
      </w:pPr>
    </w:p>
    <w:p w:rsidR="00DE1589" w:rsidRDefault="00DE1589" w:rsidP="009F1BD1">
      <w:pPr>
        <w:pStyle w:val="a6"/>
        <w:spacing w:line="360" w:lineRule="auto"/>
        <w:jc w:val="both"/>
        <w:rPr>
          <w:rFonts w:cs="David"/>
          <w:sz w:val="28"/>
          <w:szCs w:val="28"/>
          <w:rtl/>
        </w:rPr>
      </w:pPr>
      <w:r>
        <w:rPr>
          <w:rFonts w:cs="David" w:hint="cs"/>
          <w:sz w:val="28"/>
          <w:szCs w:val="28"/>
          <w:rtl/>
        </w:rPr>
        <w:lastRenderedPageBreak/>
        <w:t>זאת ועוד, השיח במרשתת איננו מתקיים בחלל ריק</w:t>
      </w:r>
      <w:r>
        <w:rPr>
          <w:rStyle w:val="a5"/>
          <w:rFonts w:cs="David"/>
          <w:sz w:val="28"/>
          <w:szCs w:val="28"/>
          <w:rtl/>
        </w:rPr>
        <w:footnoteReference w:id="40"/>
      </w:r>
      <w:r>
        <w:rPr>
          <w:rFonts w:cs="David" w:hint="cs"/>
          <w:sz w:val="28"/>
          <w:szCs w:val="28"/>
          <w:rtl/>
        </w:rPr>
        <w:t xml:space="preserve"> - </w:t>
      </w:r>
    </w:p>
    <w:p w:rsidR="00DE1589" w:rsidRPr="00C26B28" w:rsidRDefault="00C337A1" w:rsidP="00C337A1">
      <w:pPr>
        <w:pStyle w:val="a6"/>
        <w:spacing w:line="360" w:lineRule="auto"/>
        <w:ind w:left="1440"/>
        <w:jc w:val="both"/>
        <w:rPr>
          <w:rFonts w:cs="David"/>
          <w:sz w:val="24"/>
          <w:szCs w:val="24"/>
          <w:rtl/>
        </w:rPr>
      </w:pPr>
      <w:r>
        <w:rPr>
          <w:rFonts w:cs="David" w:hint="cs"/>
          <w:sz w:val="24"/>
          <w:szCs w:val="24"/>
          <w:rtl/>
        </w:rPr>
        <w:t>[...]</w:t>
      </w:r>
      <w:r w:rsidR="00DE1589" w:rsidRPr="00C26B28">
        <w:rPr>
          <w:rFonts w:cs="David" w:hint="cs"/>
          <w:sz w:val="24"/>
          <w:szCs w:val="24"/>
          <w:rtl/>
        </w:rPr>
        <w:t xml:space="preserve"> אופיו של השיח מושפע גם ממודלים עסקיים, ממבנים כלכליים, מתהליכים סוציולוגיים, מצרכים פסיכולוגיים,</w:t>
      </w:r>
      <w:r>
        <w:rPr>
          <w:rFonts w:cs="David" w:hint="cs"/>
          <w:sz w:val="24"/>
          <w:szCs w:val="24"/>
          <w:rtl/>
        </w:rPr>
        <w:t xml:space="preserve"> מאידיאולוגיות ומכללים משפטיים.</w:t>
      </w:r>
    </w:p>
    <w:p w:rsidR="00DE1589" w:rsidRDefault="001F39A6" w:rsidP="001F39A6">
      <w:pPr>
        <w:spacing w:line="360" w:lineRule="auto"/>
        <w:jc w:val="both"/>
        <w:rPr>
          <w:rFonts w:cs="David"/>
          <w:sz w:val="28"/>
          <w:szCs w:val="28"/>
          <w:rtl/>
        </w:rPr>
      </w:pPr>
      <w:r>
        <w:rPr>
          <w:rFonts w:cs="David" w:hint="cs"/>
          <w:sz w:val="28"/>
          <w:szCs w:val="28"/>
          <w:rtl/>
        </w:rPr>
        <w:t xml:space="preserve">לדברי </w:t>
      </w:r>
      <w:r w:rsidR="00032879">
        <w:rPr>
          <w:rFonts w:cs="David" w:hint="cs"/>
          <w:sz w:val="28"/>
          <w:szCs w:val="28"/>
          <w:rtl/>
        </w:rPr>
        <w:t xml:space="preserve">עירית נגבי </w:t>
      </w:r>
      <w:r>
        <w:rPr>
          <w:rFonts w:cs="David" w:hint="cs"/>
          <w:sz w:val="28"/>
          <w:szCs w:val="28"/>
          <w:rtl/>
        </w:rPr>
        <w:t>למרשתת והרשתות החברתיות מאפיינים נוספים</w:t>
      </w:r>
      <w:r w:rsidR="0041323E">
        <w:rPr>
          <w:rFonts w:cs="David" w:hint="cs"/>
          <w:sz w:val="28"/>
          <w:szCs w:val="28"/>
          <w:rtl/>
        </w:rPr>
        <w:t>,</w:t>
      </w:r>
      <w:r>
        <w:rPr>
          <w:rFonts w:cs="David" w:hint="cs"/>
          <w:sz w:val="28"/>
          <w:szCs w:val="28"/>
          <w:rtl/>
        </w:rPr>
        <w:t xml:space="preserve"> המעצימים את </w:t>
      </w:r>
      <w:r w:rsidR="00DE1589" w:rsidRPr="00F944F4">
        <w:rPr>
          <w:rFonts w:cs="David" w:hint="cs"/>
          <w:b/>
          <w:bCs/>
          <w:sz w:val="28"/>
          <w:szCs w:val="28"/>
          <w:rtl/>
        </w:rPr>
        <w:t>השיח הגזעני והמסית במרשתת וב</w:t>
      </w:r>
      <w:r w:rsidR="00434E68">
        <w:rPr>
          <w:rFonts w:cs="David" w:hint="cs"/>
          <w:b/>
          <w:bCs/>
          <w:sz w:val="28"/>
          <w:szCs w:val="28"/>
          <w:rtl/>
        </w:rPr>
        <w:t>רשתו</w:t>
      </w:r>
      <w:r w:rsidR="00DE1589" w:rsidRPr="00F944F4">
        <w:rPr>
          <w:rFonts w:cs="David" w:hint="cs"/>
          <w:b/>
          <w:bCs/>
          <w:sz w:val="28"/>
          <w:szCs w:val="28"/>
          <w:rtl/>
        </w:rPr>
        <w:t>ת החברתיות</w:t>
      </w:r>
      <w:r w:rsidR="00032879">
        <w:rPr>
          <w:rFonts w:cs="David" w:hint="cs"/>
          <w:b/>
          <w:bCs/>
          <w:sz w:val="28"/>
          <w:szCs w:val="28"/>
          <w:rtl/>
        </w:rPr>
        <w:t>.</w:t>
      </w:r>
      <w:r w:rsidR="00DE1589">
        <w:rPr>
          <w:rStyle w:val="a5"/>
          <w:rFonts w:cs="David"/>
          <w:sz w:val="28"/>
          <w:szCs w:val="28"/>
          <w:rtl/>
        </w:rPr>
        <w:footnoteReference w:id="41"/>
      </w:r>
      <w:r w:rsidR="00DE1589" w:rsidRPr="00DD1546">
        <w:rPr>
          <w:rFonts w:cs="David" w:hint="cs"/>
          <w:sz w:val="28"/>
          <w:szCs w:val="28"/>
          <w:rtl/>
        </w:rPr>
        <w:t xml:space="preserve"> הראשון עניינו </w:t>
      </w:r>
      <w:r w:rsidR="00DE1589" w:rsidRPr="00DD1546">
        <w:rPr>
          <w:rFonts w:cs="David" w:hint="cs"/>
          <w:b/>
          <w:bCs/>
          <w:sz w:val="28"/>
          <w:szCs w:val="28"/>
          <w:rtl/>
        </w:rPr>
        <w:t>היחלשות הפיקוח החברתי ברשת</w:t>
      </w:r>
      <w:r w:rsidR="00DE1589">
        <w:rPr>
          <w:rFonts w:cs="David" w:hint="cs"/>
          <w:sz w:val="28"/>
          <w:szCs w:val="28"/>
          <w:rtl/>
        </w:rPr>
        <w:t xml:space="preserve"> ו</w:t>
      </w:r>
      <w:r w:rsidR="00DE1589" w:rsidRPr="00DD1546">
        <w:rPr>
          <w:rFonts w:cs="David" w:hint="cs"/>
          <w:sz w:val="28"/>
          <w:szCs w:val="28"/>
          <w:rtl/>
        </w:rPr>
        <w:t xml:space="preserve">השני, </w:t>
      </w:r>
      <w:r w:rsidR="00DE1589" w:rsidRPr="00DD1546">
        <w:rPr>
          <w:rFonts w:cs="David" w:hint="cs"/>
          <w:b/>
          <w:bCs/>
          <w:sz w:val="28"/>
          <w:szCs w:val="28"/>
          <w:rtl/>
        </w:rPr>
        <w:t>טכנולוגיית הרשת</w:t>
      </w:r>
      <w:r w:rsidR="00DE1589" w:rsidRPr="00DD1546">
        <w:rPr>
          <w:rFonts w:cs="David" w:hint="cs"/>
          <w:sz w:val="28"/>
          <w:szCs w:val="28"/>
          <w:rtl/>
        </w:rPr>
        <w:t>.</w:t>
      </w:r>
    </w:p>
    <w:p w:rsidR="00DE1589" w:rsidRDefault="00DE1589" w:rsidP="00F119A4">
      <w:pPr>
        <w:spacing w:line="360" w:lineRule="auto"/>
        <w:jc w:val="both"/>
        <w:rPr>
          <w:rFonts w:cs="David"/>
          <w:color w:val="FF0000"/>
          <w:sz w:val="28"/>
          <w:szCs w:val="28"/>
          <w:rtl/>
        </w:rPr>
      </w:pPr>
      <w:r>
        <w:rPr>
          <w:rFonts w:cs="David" w:hint="cs"/>
          <w:sz w:val="28"/>
          <w:szCs w:val="28"/>
          <w:rtl/>
        </w:rPr>
        <w:t xml:space="preserve">באשר </w:t>
      </w:r>
      <w:r w:rsidRPr="00DD1546">
        <w:rPr>
          <w:rFonts w:cs="David" w:hint="cs"/>
          <w:b/>
          <w:bCs/>
          <w:sz w:val="28"/>
          <w:szCs w:val="28"/>
          <w:rtl/>
        </w:rPr>
        <w:t>לפיקוח החברתי</w:t>
      </w:r>
      <w:r>
        <w:rPr>
          <w:rFonts w:cs="David" w:hint="cs"/>
          <w:sz w:val="28"/>
          <w:szCs w:val="28"/>
          <w:rtl/>
        </w:rPr>
        <w:t xml:space="preserve">, מציינת נגבי כי מנגנוני הפיקוח הפורמלי המסורתיים - מנגנוני הרגולציה המדינתיים - נחלשו מאד, הן מצד האפשרות של מניעה מוקדמת של הביטוי (צנזורה, צווי איסור פרסום וכדומה) והן מצד </w:t>
      </w:r>
      <w:r w:rsidR="00434E68">
        <w:rPr>
          <w:rFonts w:cs="David" w:hint="cs"/>
          <w:sz w:val="28"/>
          <w:szCs w:val="28"/>
          <w:rtl/>
        </w:rPr>
        <w:t>ה</w:t>
      </w:r>
      <w:r>
        <w:rPr>
          <w:rFonts w:cs="David" w:hint="cs"/>
          <w:sz w:val="28"/>
          <w:szCs w:val="28"/>
          <w:rtl/>
        </w:rPr>
        <w:t xml:space="preserve">אפשרות של ענישה בדיעבד של הביטוי האסור. בפועל, טוענת נגבי, </w:t>
      </w:r>
      <w:r w:rsidRPr="00F944F4">
        <w:rPr>
          <w:rFonts w:cs="David" w:hint="cs"/>
          <w:b/>
          <w:bCs/>
          <w:sz w:val="28"/>
          <w:szCs w:val="28"/>
          <w:rtl/>
        </w:rPr>
        <w:t>מעניקה המרשתת לגולשים הגנה גבוהה יותר מאשר התיקון הראשון לחוקה האמריקאית</w:t>
      </w:r>
      <w:r>
        <w:rPr>
          <w:rFonts w:cs="David" w:hint="cs"/>
          <w:sz w:val="28"/>
          <w:szCs w:val="28"/>
          <w:rtl/>
        </w:rPr>
        <w:t>, שכן גם אם החוק קובע איסור פלילי המגביל את חופש הביטוי, הגבלה זו לא נאכפת למעשה.</w:t>
      </w:r>
    </w:p>
    <w:p w:rsidR="00F944F4" w:rsidRDefault="00DE1589" w:rsidP="00F119A4">
      <w:pPr>
        <w:spacing w:line="360" w:lineRule="auto"/>
        <w:jc w:val="both"/>
        <w:rPr>
          <w:rFonts w:cs="David"/>
          <w:b/>
          <w:bCs/>
          <w:sz w:val="28"/>
          <w:szCs w:val="28"/>
          <w:rtl/>
        </w:rPr>
      </w:pPr>
      <w:r w:rsidRPr="0092106C">
        <w:rPr>
          <w:rFonts w:cs="David" w:hint="cs"/>
          <w:sz w:val="28"/>
          <w:szCs w:val="28"/>
          <w:rtl/>
        </w:rPr>
        <w:t xml:space="preserve">גם הפיקוח החברתי הלא-פורמלי, זה שמבוצע על ידי הציבור עצמו, שאוכף איסורים </w:t>
      </w:r>
      <w:r>
        <w:rPr>
          <w:rFonts w:cs="David" w:hint="cs"/>
          <w:sz w:val="28"/>
          <w:szCs w:val="28"/>
          <w:rtl/>
        </w:rPr>
        <w:t>שונים באמצעות גינוי, דחייה, לחץ חברתי וכדומה נחלש מאד במרשתת וברשתות החברתיות, שכן השפעתו על הגולש האנונימי הינה קטנה. אגב, סוציולוגים, היא טוענת, רואים בפיקוח החברתי הלא-פורמלי מנגנון מרכזי להנחלת נורמות חברתיות ועיצוב התנהגותו של האדם.</w:t>
      </w:r>
      <w:r>
        <w:rPr>
          <w:rStyle w:val="a5"/>
          <w:rFonts w:cs="David"/>
          <w:sz w:val="28"/>
          <w:szCs w:val="28"/>
          <w:rtl/>
        </w:rPr>
        <w:footnoteReference w:id="42"/>
      </w:r>
      <w:r>
        <w:rPr>
          <w:rFonts w:cs="David" w:hint="cs"/>
          <w:sz w:val="28"/>
          <w:szCs w:val="28"/>
          <w:rtl/>
        </w:rPr>
        <w:t xml:space="preserve"> </w:t>
      </w:r>
    </w:p>
    <w:p w:rsidR="00DE1589" w:rsidRDefault="00DE1589" w:rsidP="00434E68">
      <w:pPr>
        <w:spacing w:line="360" w:lineRule="auto"/>
        <w:jc w:val="both"/>
        <w:rPr>
          <w:rFonts w:cs="David"/>
          <w:b/>
          <w:bCs/>
          <w:sz w:val="28"/>
          <w:szCs w:val="28"/>
          <w:rtl/>
        </w:rPr>
      </w:pPr>
      <w:r w:rsidRPr="0092106C">
        <w:rPr>
          <w:rFonts w:cs="David" w:hint="cs"/>
          <w:sz w:val="28"/>
          <w:szCs w:val="28"/>
          <w:rtl/>
        </w:rPr>
        <w:t xml:space="preserve">להיחלשותם של גורמי הפיקוח החברתי המסורתיים מוסיפה נגבי גם את </w:t>
      </w:r>
      <w:r w:rsidRPr="0092106C">
        <w:rPr>
          <w:rFonts w:cs="David" w:hint="cs"/>
          <w:b/>
          <w:bCs/>
          <w:sz w:val="28"/>
          <w:szCs w:val="28"/>
          <w:rtl/>
        </w:rPr>
        <w:t xml:space="preserve">היחלשותו </w:t>
      </w:r>
      <w:r w:rsidRPr="00FE463F">
        <w:rPr>
          <w:rFonts w:cs="David" w:hint="cs"/>
          <w:b/>
          <w:bCs/>
          <w:sz w:val="28"/>
          <w:szCs w:val="28"/>
          <w:rtl/>
        </w:rPr>
        <w:t>של הפיקוח העצמי של המשתמשים ברשת</w:t>
      </w:r>
      <w:r w:rsidR="00434E68">
        <w:rPr>
          <w:rFonts w:cs="David" w:hint="cs"/>
          <w:b/>
          <w:bCs/>
          <w:sz w:val="28"/>
          <w:szCs w:val="28"/>
          <w:rtl/>
        </w:rPr>
        <w:t>,</w:t>
      </w:r>
      <w:r>
        <w:rPr>
          <w:rFonts w:cs="David" w:hint="cs"/>
          <w:sz w:val="28"/>
          <w:szCs w:val="28"/>
          <w:rtl/>
        </w:rPr>
        <w:t xml:space="preserve"> </w:t>
      </w:r>
      <w:r w:rsidR="00434E68">
        <w:rPr>
          <w:rFonts w:cs="David" w:hint="cs"/>
          <w:sz w:val="28"/>
          <w:szCs w:val="28"/>
          <w:rtl/>
        </w:rPr>
        <w:t xml:space="preserve">כאשר </w:t>
      </w:r>
      <w:r>
        <w:rPr>
          <w:rFonts w:cs="David" w:hint="cs"/>
          <w:sz w:val="28"/>
          <w:szCs w:val="28"/>
          <w:rtl/>
        </w:rPr>
        <w:t xml:space="preserve">הם בוחרים להישאר אנונימיים, שכן אז מתאפשר להם להסיר אחריות אישית ולהתיר עכבות. הריסון שהאנשים מוכנים להחיל על עצמם - כדי להיות חלק מחברה מתורבתת - </w:t>
      </w:r>
      <w:r w:rsidRPr="002F22E5">
        <w:rPr>
          <w:rFonts w:cs="David" w:hint="cs"/>
          <w:b/>
          <w:bCs/>
          <w:sz w:val="28"/>
          <w:szCs w:val="28"/>
          <w:rtl/>
        </w:rPr>
        <w:t>מוחלף בהתבטאות בוטה, גזענית ואלימה, כאשר זהותם מוסתרת.</w:t>
      </w:r>
    </w:p>
    <w:p w:rsidR="00F944F4" w:rsidRDefault="00FF5A45" w:rsidP="00434E68">
      <w:pPr>
        <w:spacing w:line="360" w:lineRule="auto"/>
        <w:jc w:val="both"/>
        <w:rPr>
          <w:rFonts w:cs="David"/>
          <w:color w:val="FF0000"/>
          <w:sz w:val="28"/>
          <w:szCs w:val="28"/>
          <w:rtl/>
        </w:rPr>
      </w:pPr>
      <w:r>
        <w:rPr>
          <w:rFonts w:cs="David" w:hint="cs"/>
          <w:sz w:val="28"/>
          <w:szCs w:val="28"/>
          <w:rtl/>
        </w:rPr>
        <w:t xml:space="preserve">כך או כך, כאשר הפיקוח החברתי - </w:t>
      </w:r>
      <w:r w:rsidR="00F944F4" w:rsidRPr="00F944F4">
        <w:rPr>
          <w:rFonts w:cs="David" w:hint="cs"/>
          <w:sz w:val="28"/>
          <w:szCs w:val="28"/>
          <w:rtl/>
        </w:rPr>
        <w:t>הפורמלי והלא פורמלי</w:t>
      </w:r>
      <w:r>
        <w:rPr>
          <w:rFonts w:cs="David" w:hint="cs"/>
          <w:sz w:val="28"/>
          <w:szCs w:val="28"/>
          <w:rtl/>
        </w:rPr>
        <w:t xml:space="preserve"> -</w:t>
      </w:r>
      <w:r w:rsidR="00F944F4" w:rsidRPr="00F944F4">
        <w:rPr>
          <w:rFonts w:cs="David" w:hint="cs"/>
          <w:sz w:val="28"/>
          <w:szCs w:val="28"/>
          <w:rtl/>
        </w:rPr>
        <w:t xml:space="preserve"> והפיקוח העצמי נחלשים בחברה דמוקרטית, עלול</w:t>
      </w:r>
      <w:r w:rsidR="00434E68">
        <w:rPr>
          <w:rFonts w:cs="David" w:hint="cs"/>
          <w:sz w:val="28"/>
          <w:szCs w:val="28"/>
          <w:rtl/>
        </w:rPr>
        <w:t>ים</w:t>
      </w:r>
      <w:r w:rsidR="00F944F4" w:rsidRPr="00F944F4">
        <w:rPr>
          <w:rFonts w:cs="David" w:hint="cs"/>
          <w:sz w:val="28"/>
          <w:szCs w:val="28"/>
          <w:rtl/>
        </w:rPr>
        <w:t xml:space="preserve"> להתערער גם ההסכמה החברתית והריסון העצמי </w:t>
      </w:r>
      <w:r w:rsidR="00434E68">
        <w:rPr>
          <w:rFonts w:cs="David" w:hint="cs"/>
          <w:sz w:val="28"/>
          <w:szCs w:val="28"/>
          <w:rtl/>
        </w:rPr>
        <w:t>בנוגע ל</w:t>
      </w:r>
      <w:r w:rsidR="00F944F4" w:rsidRPr="00F944F4">
        <w:rPr>
          <w:rFonts w:cs="David" w:hint="cs"/>
          <w:sz w:val="28"/>
          <w:szCs w:val="28"/>
          <w:rtl/>
        </w:rPr>
        <w:t>ערכים כמו כבוד האדם, אוטונומיה ושוויון</w:t>
      </w:r>
      <w:r w:rsidR="00F944F4">
        <w:rPr>
          <w:rFonts w:cs="David" w:hint="cs"/>
          <w:b/>
          <w:bCs/>
          <w:sz w:val="28"/>
          <w:szCs w:val="28"/>
          <w:rtl/>
        </w:rPr>
        <w:t xml:space="preserve">, כפי שניתן לראות בהתבטאויות </w:t>
      </w:r>
      <w:r>
        <w:rPr>
          <w:rFonts w:cs="David" w:hint="cs"/>
          <w:b/>
          <w:bCs/>
          <w:sz w:val="28"/>
          <w:szCs w:val="28"/>
          <w:rtl/>
        </w:rPr>
        <w:t>ה</w:t>
      </w:r>
      <w:r w:rsidR="00F944F4">
        <w:rPr>
          <w:rFonts w:cs="David" w:hint="cs"/>
          <w:b/>
          <w:bCs/>
          <w:sz w:val="28"/>
          <w:szCs w:val="28"/>
          <w:rtl/>
        </w:rPr>
        <w:t>גזעניות ו</w:t>
      </w:r>
      <w:r>
        <w:rPr>
          <w:rFonts w:cs="David" w:hint="cs"/>
          <w:b/>
          <w:bCs/>
          <w:sz w:val="28"/>
          <w:szCs w:val="28"/>
          <w:rtl/>
        </w:rPr>
        <w:t>ה</w:t>
      </w:r>
      <w:r w:rsidR="00F944F4">
        <w:rPr>
          <w:rFonts w:cs="David" w:hint="cs"/>
          <w:b/>
          <w:bCs/>
          <w:sz w:val="28"/>
          <w:szCs w:val="28"/>
          <w:rtl/>
        </w:rPr>
        <w:t>מסיתות לאלימות.</w:t>
      </w:r>
    </w:p>
    <w:p w:rsidR="00DE1589" w:rsidRDefault="00DE1589" w:rsidP="00963B56">
      <w:pPr>
        <w:spacing w:line="360" w:lineRule="auto"/>
        <w:jc w:val="both"/>
        <w:rPr>
          <w:rFonts w:cs="David"/>
          <w:sz w:val="28"/>
          <w:szCs w:val="28"/>
          <w:rtl/>
        </w:rPr>
      </w:pPr>
      <w:r>
        <w:rPr>
          <w:rFonts w:cs="David" w:hint="cs"/>
          <w:sz w:val="28"/>
          <w:szCs w:val="28"/>
          <w:rtl/>
        </w:rPr>
        <w:lastRenderedPageBreak/>
        <w:t xml:space="preserve">להיחלשותו של מנגנון הפיקוח במרשתת וברשתות החברתיות </w:t>
      </w:r>
      <w:r>
        <w:rPr>
          <w:rFonts w:cs="David"/>
          <w:sz w:val="28"/>
          <w:szCs w:val="28"/>
          <w:rtl/>
        </w:rPr>
        <w:t>–</w:t>
      </w:r>
      <w:r>
        <w:rPr>
          <w:rFonts w:cs="David" w:hint="cs"/>
          <w:sz w:val="28"/>
          <w:szCs w:val="28"/>
          <w:rtl/>
        </w:rPr>
        <w:t xml:space="preserve"> הממסדי, החברתי והעצמי </w:t>
      </w:r>
      <w:r w:rsidR="00963B56">
        <w:rPr>
          <w:rFonts w:cs="David"/>
          <w:sz w:val="28"/>
          <w:szCs w:val="28"/>
          <w:rtl/>
        </w:rPr>
        <w:t>–</w:t>
      </w:r>
      <w:r>
        <w:rPr>
          <w:rFonts w:cs="David" w:hint="cs"/>
          <w:sz w:val="28"/>
          <w:szCs w:val="28"/>
          <w:rtl/>
        </w:rPr>
        <w:t xml:space="preserve"> </w:t>
      </w:r>
      <w:r w:rsidR="00963B56">
        <w:rPr>
          <w:rFonts w:cs="David" w:hint="cs"/>
          <w:sz w:val="28"/>
          <w:szCs w:val="28"/>
          <w:rtl/>
        </w:rPr>
        <w:t xml:space="preserve">יש להוסיף את </w:t>
      </w:r>
      <w:r>
        <w:rPr>
          <w:rFonts w:cs="David" w:hint="cs"/>
          <w:sz w:val="28"/>
          <w:szCs w:val="28"/>
          <w:rtl/>
        </w:rPr>
        <w:t xml:space="preserve">מאפיין </w:t>
      </w:r>
      <w:r w:rsidRPr="006E4F3E">
        <w:rPr>
          <w:rFonts w:cs="David" w:hint="cs"/>
          <w:b/>
          <w:bCs/>
          <w:sz w:val="28"/>
          <w:szCs w:val="28"/>
          <w:rtl/>
        </w:rPr>
        <w:t>'</w:t>
      </w:r>
      <w:r w:rsidR="00963B56">
        <w:rPr>
          <w:rFonts w:cs="David" w:hint="cs"/>
          <w:b/>
          <w:bCs/>
          <w:sz w:val="28"/>
          <w:szCs w:val="28"/>
          <w:rtl/>
        </w:rPr>
        <w:t>ה</w:t>
      </w:r>
      <w:r w:rsidRPr="006E4F3E">
        <w:rPr>
          <w:rFonts w:cs="David" w:hint="cs"/>
          <w:b/>
          <w:bCs/>
          <w:sz w:val="28"/>
          <w:szCs w:val="28"/>
          <w:rtl/>
        </w:rPr>
        <w:t xml:space="preserve">אופטימיזציה </w:t>
      </w:r>
      <w:r w:rsidR="00963B56">
        <w:rPr>
          <w:rFonts w:cs="David" w:hint="cs"/>
          <w:b/>
          <w:bCs/>
          <w:sz w:val="28"/>
          <w:szCs w:val="28"/>
          <w:rtl/>
        </w:rPr>
        <w:t>ה</w:t>
      </w:r>
      <w:r w:rsidRPr="006E4F3E">
        <w:rPr>
          <w:rFonts w:cs="David" w:hint="cs"/>
          <w:b/>
          <w:bCs/>
          <w:sz w:val="28"/>
          <w:szCs w:val="28"/>
          <w:rtl/>
        </w:rPr>
        <w:t>טכנולוגית'</w:t>
      </w:r>
      <w:r>
        <w:rPr>
          <w:rFonts w:cs="David" w:hint="cs"/>
          <w:sz w:val="28"/>
          <w:szCs w:val="28"/>
          <w:rtl/>
        </w:rPr>
        <w:t>.</w:t>
      </w:r>
      <w:r>
        <w:rPr>
          <w:rStyle w:val="a5"/>
          <w:rFonts w:cs="David"/>
          <w:sz w:val="28"/>
          <w:szCs w:val="28"/>
          <w:rtl/>
        </w:rPr>
        <w:footnoteReference w:id="43"/>
      </w:r>
      <w:r>
        <w:rPr>
          <w:rFonts w:cs="David" w:hint="cs"/>
          <w:sz w:val="28"/>
          <w:szCs w:val="28"/>
          <w:rtl/>
        </w:rPr>
        <w:t xml:space="preserve"> לטענת</w:t>
      </w:r>
      <w:r w:rsidR="008E108D">
        <w:rPr>
          <w:rFonts w:cs="David" w:hint="cs"/>
          <w:sz w:val="28"/>
          <w:szCs w:val="28"/>
          <w:rtl/>
        </w:rPr>
        <w:t xml:space="preserve"> </w:t>
      </w:r>
      <w:r>
        <w:rPr>
          <w:rFonts w:cs="David" w:hint="cs"/>
          <w:sz w:val="28"/>
          <w:szCs w:val="28"/>
          <w:rtl/>
        </w:rPr>
        <w:t>ה</w:t>
      </w:r>
      <w:r w:rsidR="008E108D">
        <w:rPr>
          <w:rFonts w:cs="David" w:hint="cs"/>
          <w:sz w:val="28"/>
          <w:szCs w:val="28"/>
          <w:rtl/>
        </w:rPr>
        <w:t>נגבי</w:t>
      </w:r>
      <w:r>
        <w:rPr>
          <w:rFonts w:cs="David" w:hint="cs"/>
          <w:sz w:val="28"/>
          <w:szCs w:val="28"/>
          <w:rtl/>
        </w:rPr>
        <w:t>, שמגובה גם בדעתה של אלקין-קורן,</w:t>
      </w:r>
      <w:r>
        <w:rPr>
          <w:rStyle w:val="a5"/>
          <w:rFonts w:cs="David"/>
          <w:sz w:val="28"/>
          <w:szCs w:val="28"/>
          <w:rtl/>
        </w:rPr>
        <w:footnoteReference w:id="44"/>
      </w:r>
      <w:r>
        <w:rPr>
          <w:rFonts w:cs="David" w:hint="cs"/>
          <w:sz w:val="28"/>
          <w:szCs w:val="28"/>
          <w:rtl/>
        </w:rPr>
        <w:t xml:space="preserve"> </w:t>
      </w:r>
      <w:r w:rsidRPr="009D2828">
        <w:rPr>
          <w:rFonts w:cs="David" w:hint="cs"/>
          <w:sz w:val="28"/>
          <w:szCs w:val="28"/>
          <w:rtl/>
        </w:rPr>
        <w:t xml:space="preserve">במצב של </w:t>
      </w:r>
      <w:r w:rsidRPr="009D2828">
        <w:rPr>
          <w:rFonts w:cs="David" w:hint="cs"/>
          <w:b/>
          <w:bCs/>
          <w:sz w:val="28"/>
          <w:szCs w:val="28"/>
          <w:rtl/>
        </w:rPr>
        <w:t>היצף מידע</w:t>
      </w:r>
      <w:r w:rsidRPr="009D2828">
        <w:rPr>
          <w:rFonts w:cs="David" w:hint="cs"/>
          <w:sz w:val="28"/>
          <w:szCs w:val="28"/>
          <w:rtl/>
        </w:rPr>
        <w:t>, כפי שקיים במרשתת וברשתות החברתיות,</w:t>
      </w:r>
      <w:r w:rsidRPr="002C05B2">
        <w:rPr>
          <w:rFonts w:cs="David" w:hint="cs"/>
          <w:b/>
          <w:bCs/>
          <w:sz w:val="28"/>
          <w:szCs w:val="28"/>
          <w:rtl/>
        </w:rPr>
        <w:t xml:space="preserve"> נוצר מחסור חדש </w:t>
      </w:r>
      <w:r w:rsidR="0072141C">
        <w:rPr>
          <w:rFonts w:cs="David" w:hint="cs"/>
          <w:b/>
          <w:bCs/>
          <w:sz w:val="28"/>
          <w:szCs w:val="28"/>
          <w:rtl/>
        </w:rPr>
        <w:t>ב</w:t>
      </w:r>
      <w:r w:rsidRPr="002C05B2">
        <w:rPr>
          <w:rFonts w:cs="David" w:hint="cs"/>
          <w:b/>
          <w:bCs/>
          <w:sz w:val="28"/>
          <w:szCs w:val="28"/>
          <w:rtl/>
        </w:rPr>
        <w:t xml:space="preserve">תשומת </w:t>
      </w:r>
      <w:r w:rsidR="0072141C">
        <w:rPr>
          <w:rFonts w:cs="David" w:hint="cs"/>
          <w:b/>
          <w:bCs/>
          <w:sz w:val="28"/>
          <w:szCs w:val="28"/>
          <w:rtl/>
        </w:rPr>
        <w:t>ה</w:t>
      </w:r>
      <w:r w:rsidRPr="002C05B2">
        <w:rPr>
          <w:rFonts w:cs="David" w:hint="cs"/>
          <w:b/>
          <w:bCs/>
          <w:sz w:val="28"/>
          <w:szCs w:val="28"/>
          <w:rtl/>
        </w:rPr>
        <w:t>לב של המשתמשים ברשת</w:t>
      </w:r>
      <w:r>
        <w:rPr>
          <w:rFonts w:cs="David" w:hint="cs"/>
          <w:sz w:val="28"/>
          <w:szCs w:val="28"/>
          <w:rtl/>
        </w:rPr>
        <w:t xml:space="preserve">. למעשה, למרות שכל אדם יכול לגלוש ולפרסם מידע או עמדה ברשת, רק חלק קטן מהתוכן המתפרסם יגיע לציבור הגולשים. לכן, המאבק על הזכות לפרסם  מפנה את מקומו לתחרות על תשומת ליבם של המשתמשים. </w:t>
      </w:r>
      <w:r w:rsidRPr="009D2828">
        <w:rPr>
          <w:rFonts w:cs="David" w:hint="cs"/>
          <w:sz w:val="28"/>
          <w:szCs w:val="28"/>
          <w:rtl/>
        </w:rPr>
        <w:t>ניהול תשומת ליבם של הגולשים ברשת טומן בחובו אתגר חדש</w:t>
      </w:r>
      <w:r w:rsidRPr="00FE1D5E">
        <w:rPr>
          <w:rFonts w:cs="David" w:hint="cs"/>
          <w:b/>
          <w:bCs/>
          <w:sz w:val="28"/>
          <w:szCs w:val="28"/>
          <w:rtl/>
        </w:rPr>
        <w:t xml:space="preserve"> והתחרות הזו הופכת </w:t>
      </w:r>
      <w:r w:rsidR="00C25A6B">
        <w:rPr>
          <w:rFonts w:cs="David" w:hint="cs"/>
          <w:b/>
          <w:bCs/>
          <w:sz w:val="28"/>
          <w:szCs w:val="28"/>
          <w:rtl/>
        </w:rPr>
        <w:t>ל</w:t>
      </w:r>
      <w:r w:rsidRPr="00FE1D5E">
        <w:rPr>
          <w:rFonts w:cs="David" w:hint="cs"/>
          <w:b/>
          <w:bCs/>
          <w:sz w:val="28"/>
          <w:szCs w:val="28"/>
          <w:rtl/>
        </w:rPr>
        <w:t>אגרסיבית יותר ויותר.</w:t>
      </w:r>
      <w:r>
        <w:rPr>
          <w:rFonts w:cs="David" w:hint="cs"/>
          <w:sz w:val="28"/>
          <w:szCs w:val="28"/>
          <w:rtl/>
        </w:rPr>
        <w:t xml:space="preserve"> </w:t>
      </w:r>
      <w:r w:rsidRPr="002F22E5">
        <w:rPr>
          <w:rFonts w:cs="David" w:hint="cs"/>
          <w:b/>
          <w:bCs/>
          <w:sz w:val="28"/>
          <w:szCs w:val="28"/>
          <w:rtl/>
        </w:rPr>
        <w:t>אין זה פלא, טוענת נגבי, כי הרשת הביאה עדנה לעמדות קיצוניות, לגזענות,</w:t>
      </w:r>
      <w:r>
        <w:rPr>
          <w:rFonts w:cs="David" w:hint="cs"/>
          <w:sz w:val="28"/>
          <w:szCs w:val="28"/>
          <w:rtl/>
        </w:rPr>
        <w:t xml:space="preserve"> לסקסיזם, להומופוביה, למיזוגיניה, לאנטישמיות ולדעות קדומות נגד קבוצות באוכלוסייה.</w:t>
      </w:r>
      <w:r>
        <w:rPr>
          <w:rStyle w:val="a5"/>
          <w:rFonts w:cs="David"/>
          <w:sz w:val="28"/>
          <w:szCs w:val="28"/>
          <w:rtl/>
        </w:rPr>
        <w:footnoteReference w:id="45"/>
      </w:r>
    </w:p>
    <w:p w:rsidR="004930F4" w:rsidRDefault="00DE1589" w:rsidP="00C25A6B">
      <w:pPr>
        <w:spacing w:line="360" w:lineRule="auto"/>
        <w:jc w:val="both"/>
        <w:rPr>
          <w:rFonts w:cs="David"/>
          <w:b/>
          <w:bCs/>
          <w:sz w:val="28"/>
          <w:szCs w:val="28"/>
          <w:rtl/>
        </w:rPr>
      </w:pPr>
      <w:r>
        <w:rPr>
          <w:rFonts w:cs="David" w:hint="cs"/>
          <w:sz w:val="28"/>
          <w:szCs w:val="28"/>
          <w:rtl/>
        </w:rPr>
        <w:t>ברם, מ</w:t>
      </w:r>
      <w:r w:rsidR="00C25A6B">
        <w:rPr>
          <w:rFonts w:cs="David" w:hint="cs"/>
          <w:sz w:val="28"/>
          <w:szCs w:val="28"/>
          <w:rtl/>
        </w:rPr>
        <w:t>שעה</w:t>
      </w:r>
      <w:r>
        <w:rPr>
          <w:rFonts w:cs="David" w:hint="cs"/>
          <w:sz w:val="28"/>
          <w:szCs w:val="28"/>
          <w:rtl/>
        </w:rPr>
        <w:t xml:space="preserve"> שמסר מצליח לקנות לו קהל, מאפשרת הטכנולוגיה פרסום מרבי, שכן היא נגישה מאד למשתמשים השונים, היא גלובלית והיא מיידית. </w:t>
      </w:r>
      <w:r w:rsidR="00C25A6B">
        <w:rPr>
          <w:rFonts w:cs="David" w:hint="cs"/>
          <w:b/>
          <w:bCs/>
          <w:sz w:val="28"/>
          <w:szCs w:val="28"/>
          <w:rtl/>
        </w:rPr>
        <w:t>הם ש</w:t>
      </w:r>
      <w:r w:rsidRPr="00D760B0">
        <w:rPr>
          <w:rFonts w:cs="David" w:hint="cs"/>
          <w:b/>
          <w:bCs/>
          <w:sz w:val="28"/>
          <w:szCs w:val="28"/>
          <w:rtl/>
        </w:rPr>
        <w:t>עושים את המרשתת לאמצעי היעיל ביותר להפצת מסרים, בתנאי, ש</w:t>
      </w:r>
      <w:r w:rsidR="00C25A6B">
        <w:rPr>
          <w:rFonts w:cs="David" w:hint="cs"/>
          <w:b/>
          <w:bCs/>
          <w:sz w:val="28"/>
          <w:szCs w:val="28"/>
          <w:rtl/>
        </w:rPr>
        <w:t>המדובר</w:t>
      </w:r>
      <w:r w:rsidRPr="00D760B0">
        <w:rPr>
          <w:rFonts w:cs="David" w:hint="cs"/>
          <w:b/>
          <w:bCs/>
          <w:sz w:val="28"/>
          <w:szCs w:val="28"/>
          <w:rtl/>
        </w:rPr>
        <w:t xml:space="preserve"> </w:t>
      </w:r>
      <w:r w:rsidR="00C25A6B">
        <w:rPr>
          <w:rFonts w:cs="David" w:hint="cs"/>
          <w:b/>
          <w:bCs/>
          <w:sz w:val="28"/>
          <w:szCs w:val="28"/>
          <w:rtl/>
        </w:rPr>
        <w:t>ב</w:t>
      </w:r>
      <w:r w:rsidRPr="00D760B0">
        <w:rPr>
          <w:rFonts w:cs="David" w:hint="cs"/>
          <w:b/>
          <w:bCs/>
          <w:sz w:val="28"/>
          <w:szCs w:val="28"/>
          <w:rtl/>
        </w:rPr>
        <w:t>מסרים קלים לקליטה ו</w:t>
      </w:r>
      <w:r w:rsidRPr="00E15F4D">
        <w:rPr>
          <w:rFonts w:cs="David" w:hint="cs"/>
          <w:b/>
          <w:bCs/>
          <w:sz w:val="28"/>
          <w:szCs w:val="28"/>
          <w:rtl/>
        </w:rPr>
        <w:t>אפילו בוטים</w:t>
      </w:r>
      <w:r w:rsidR="00C25A6B" w:rsidRPr="00E15F4D">
        <w:rPr>
          <w:rFonts w:cs="David" w:hint="cs"/>
          <w:b/>
          <w:bCs/>
          <w:sz w:val="28"/>
          <w:szCs w:val="28"/>
          <w:rtl/>
        </w:rPr>
        <w:t>:</w:t>
      </w:r>
      <w:r w:rsidR="004F0318" w:rsidRPr="00E15F4D">
        <w:rPr>
          <w:rFonts w:cs="David" w:hint="cs"/>
          <w:b/>
          <w:bCs/>
          <w:sz w:val="28"/>
          <w:szCs w:val="28"/>
          <w:rtl/>
        </w:rPr>
        <w:t xml:space="preserve"> </w:t>
      </w:r>
      <w:r w:rsidR="00C25A6B" w:rsidRPr="00E15F4D">
        <w:rPr>
          <w:rFonts w:cs="David" w:hint="cs"/>
          <w:b/>
          <w:bCs/>
          <w:sz w:val="28"/>
          <w:szCs w:val="28"/>
          <w:rtl/>
        </w:rPr>
        <w:t xml:space="preserve">זהו אופיים של </w:t>
      </w:r>
      <w:r w:rsidR="004F0318" w:rsidRPr="00E15F4D">
        <w:rPr>
          <w:rFonts w:cs="David" w:hint="cs"/>
          <w:b/>
          <w:bCs/>
          <w:sz w:val="28"/>
          <w:szCs w:val="28"/>
          <w:rtl/>
        </w:rPr>
        <w:t>רבים מהביטויים</w:t>
      </w:r>
      <w:r w:rsidR="00AE466C">
        <w:rPr>
          <w:rFonts w:cs="David" w:hint="cs"/>
          <w:b/>
          <w:bCs/>
          <w:sz w:val="28"/>
          <w:szCs w:val="28"/>
          <w:rtl/>
        </w:rPr>
        <w:t>,</w:t>
      </w:r>
      <w:r w:rsidR="004F0318" w:rsidRPr="00E15F4D">
        <w:rPr>
          <w:rFonts w:cs="David" w:hint="cs"/>
          <w:b/>
          <w:bCs/>
          <w:sz w:val="28"/>
          <w:szCs w:val="28"/>
          <w:rtl/>
        </w:rPr>
        <w:t xml:space="preserve"> המסיתים לגזענות ולאלימות</w:t>
      </w:r>
      <w:r w:rsidR="00C25A6B" w:rsidRPr="00E15F4D">
        <w:rPr>
          <w:rFonts w:cs="David" w:hint="cs"/>
          <w:b/>
          <w:bCs/>
          <w:sz w:val="28"/>
          <w:szCs w:val="28"/>
          <w:rtl/>
        </w:rPr>
        <w:t>.</w:t>
      </w:r>
    </w:p>
    <w:p w:rsidR="004930F4" w:rsidRDefault="00DE1589" w:rsidP="0008172D">
      <w:pPr>
        <w:spacing w:line="360" w:lineRule="auto"/>
        <w:jc w:val="both"/>
        <w:rPr>
          <w:rFonts w:cs="David"/>
          <w:sz w:val="28"/>
          <w:szCs w:val="28"/>
          <w:rtl/>
        </w:rPr>
      </w:pPr>
      <w:r>
        <w:rPr>
          <w:rFonts w:cs="David" w:hint="cs"/>
          <w:sz w:val="28"/>
          <w:szCs w:val="28"/>
          <w:rtl/>
        </w:rPr>
        <w:t xml:space="preserve">מאחר שנושא הרשתות החברתיות הינו בליבת העבודה, ראוי שייאמרו מספר מילים על מה שנוטים לכנות </w:t>
      </w:r>
      <w:r w:rsidRPr="00901DAB">
        <w:rPr>
          <w:rFonts w:cs="David" w:hint="cs"/>
          <w:b/>
          <w:bCs/>
          <w:sz w:val="28"/>
          <w:szCs w:val="28"/>
          <w:rtl/>
        </w:rPr>
        <w:t>כ'אפקט הפייסבוק'</w:t>
      </w:r>
      <w:r>
        <w:rPr>
          <w:rFonts w:cs="David" w:hint="cs"/>
          <w:sz w:val="28"/>
          <w:szCs w:val="28"/>
          <w:rtl/>
        </w:rPr>
        <w:t xml:space="preserve">, לאור </w:t>
      </w:r>
      <w:r w:rsidRPr="00BC2C40">
        <w:rPr>
          <w:rFonts w:cs="David" w:hint="cs"/>
          <w:sz w:val="28"/>
          <w:szCs w:val="28"/>
          <w:rtl/>
        </w:rPr>
        <w:t xml:space="preserve">מעמדה </w:t>
      </w:r>
      <w:r w:rsidR="00AE5A99" w:rsidRPr="00BC2C40">
        <w:rPr>
          <w:rFonts w:cs="David" w:hint="cs"/>
          <w:sz w:val="28"/>
          <w:szCs w:val="28"/>
          <w:rtl/>
        </w:rPr>
        <w:t xml:space="preserve">הרם </w:t>
      </w:r>
      <w:r>
        <w:rPr>
          <w:rFonts w:cs="David" w:hint="cs"/>
          <w:sz w:val="28"/>
          <w:szCs w:val="28"/>
          <w:rtl/>
        </w:rPr>
        <w:t>של 'פייסבוק' בקרב הגולשים</w:t>
      </w:r>
      <w:r w:rsidR="00AE5A99">
        <w:rPr>
          <w:rFonts w:cs="David" w:hint="cs"/>
          <w:sz w:val="28"/>
          <w:szCs w:val="28"/>
          <w:rtl/>
        </w:rPr>
        <w:t xml:space="preserve">, </w:t>
      </w:r>
      <w:r w:rsidR="00AE5A99" w:rsidRPr="00BC2C40">
        <w:rPr>
          <w:rFonts w:cs="David" w:hint="cs"/>
          <w:sz w:val="28"/>
          <w:szCs w:val="28"/>
          <w:rtl/>
        </w:rPr>
        <w:t>כפי ש</w:t>
      </w:r>
      <w:r w:rsidR="00324EEA">
        <w:rPr>
          <w:rFonts w:cs="David" w:hint="cs"/>
          <w:sz w:val="28"/>
          <w:szCs w:val="28"/>
          <w:rtl/>
        </w:rPr>
        <w:t xml:space="preserve">גם </w:t>
      </w:r>
      <w:r w:rsidR="00AE5A99" w:rsidRPr="00BC2C40">
        <w:rPr>
          <w:rFonts w:cs="David" w:hint="cs"/>
          <w:sz w:val="28"/>
          <w:szCs w:val="28"/>
          <w:rtl/>
        </w:rPr>
        <w:t xml:space="preserve">הובא </w:t>
      </w:r>
      <w:r w:rsidR="00877B43">
        <w:rPr>
          <w:rFonts w:cs="David" w:hint="cs"/>
          <w:sz w:val="28"/>
          <w:szCs w:val="28"/>
          <w:rtl/>
        </w:rPr>
        <w:t xml:space="preserve">בנתונים </w:t>
      </w:r>
      <w:r w:rsidR="00AE5A99" w:rsidRPr="00BC2C40">
        <w:rPr>
          <w:rFonts w:cs="David" w:hint="cs"/>
          <w:sz w:val="28"/>
          <w:szCs w:val="28"/>
          <w:rtl/>
        </w:rPr>
        <w:t>לעיל</w:t>
      </w:r>
      <w:r w:rsidR="00AE5A99">
        <w:rPr>
          <w:rFonts w:cs="David" w:hint="cs"/>
          <w:sz w:val="28"/>
          <w:szCs w:val="28"/>
          <w:rtl/>
        </w:rPr>
        <w:t>.</w:t>
      </w:r>
      <w:r>
        <w:rPr>
          <w:rFonts w:cs="David" w:hint="cs"/>
          <w:sz w:val="28"/>
          <w:szCs w:val="28"/>
          <w:rtl/>
        </w:rPr>
        <w:t xml:space="preserve"> 'אפקט הפייסבוק' הינו רב-עוצמה ויש לו השלכות מרחיקות לכת על המדיה. </w:t>
      </w:r>
      <w:r w:rsidRPr="00D17FD4">
        <w:rPr>
          <w:rFonts w:cs="David" w:hint="cs"/>
          <w:b/>
          <w:bCs/>
          <w:sz w:val="28"/>
          <w:szCs w:val="28"/>
          <w:rtl/>
        </w:rPr>
        <w:t>ב</w:t>
      </w:r>
      <w:r>
        <w:rPr>
          <w:rFonts w:cs="David" w:hint="cs"/>
          <w:b/>
          <w:bCs/>
          <w:sz w:val="28"/>
          <w:szCs w:val="28"/>
          <w:rtl/>
        </w:rPr>
        <w:t>'</w:t>
      </w:r>
      <w:r w:rsidRPr="00D17FD4">
        <w:rPr>
          <w:rFonts w:cs="David" w:hint="cs"/>
          <w:b/>
          <w:bCs/>
          <w:sz w:val="28"/>
          <w:szCs w:val="28"/>
          <w:rtl/>
        </w:rPr>
        <w:t>פייסבוק</w:t>
      </w:r>
      <w:r>
        <w:rPr>
          <w:rFonts w:cs="David" w:hint="cs"/>
          <w:b/>
          <w:bCs/>
          <w:sz w:val="28"/>
          <w:szCs w:val="28"/>
          <w:rtl/>
        </w:rPr>
        <w:t>'</w:t>
      </w:r>
      <w:r w:rsidRPr="00D17FD4">
        <w:rPr>
          <w:rFonts w:cs="David" w:hint="cs"/>
          <w:b/>
          <w:bCs/>
          <w:sz w:val="28"/>
          <w:szCs w:val="28"/>
          <w:rtl/>
        </w:rPr>
        <w:t xml:space="preserve"> כל אחד יכול להיות עורך, ליצור תוכן ולשמש כמפיק וכמפיץ</w:t>
      </w:r>
      <w:r>
        <w:rPr>
          <w:rFonts w:cs="David" w:hint="cs"/>
          <w:sz w:val="28"/>
          <w:szCs w:val="28"/>
          <w:rtl/>
        </w:rPr>
        <w:t xml:space="preserve">. כולם חובשים את כל הכובעים הקלאסיים של המדיה הוותיקה. כך, </w:t>
      </w:r>
      <w:r w:rsidR="00324EEA">
        <w:rPr>
          <w:rFonts w:cs="David" w:hint="cs"/>
          <w:sz w:val="28"/>
          <w:szCs w:val="28"/>
          <w:rtl/>
        </w:rPr>
        <w:t xml:space="preserve">יכול ליצור </w:t>
      </w:r>
      <w:r>
        <w:rPr>
          <w:rFonts w:cs="David" w:hint="cs"/>
          <w:sz w:val="28"/>
          <w:szCs w:val="28"/>
          <w:rtl/>
        </w:rPr>
        <w:t>'אפקט הפייסבוק' התפרצות פתאומית של סיפור חדשותי, או 'סתם' סיפור שמישהו חושב שיעניין אחרים</w:t>
      </w:r>
      <w:r w:rsidR="0008172D">
        <w:rPr>
          <w:rFonts w:cs="David" w:hint="cs"/>
          <w:sz w:val="28"/>
          <w:szCs w:val="28"/>
          <w:rtl/>
        </w:rPr>
        <w:t>:</w:t>
      </w:r>
      <w:r>
        <w:rPr>
          <w:rFonts w:cs="David" w:hint="cs"/>
          <w:sz w:val="28"/>
          <w:szCs w:val="28"/>
          <w:rtl/>
        </w:rPr>
        <w:t xml:space="preserve"> סרטון, עמדה ודעה על נושא כלשהו ועוד - מידע שהאדם לא היה נחשף אליו בהכרח באתרי החדשות, ברדיו או בטלוויזיה.</w:t>
      </w:r>
      <w:r>
        <w:rPr>
          <w:rStyle w:val="a5"/>
          <w:rFonts w:cs="David"/>
          <w:sz w:val="28"/>
          <w:szCs w:val="28"/>
          <w:rtl/>
        </w:rPr>
        <w:footnoteReference w:id="46"/>
      </w:r>
    </w:p>
    <w:p w:rsidR="00AE5A99" w:rsidRDefault="00AE5A99" w:rsidP="00877087">
      <w:pPr>
        <w:spacing w:line="360" w:lineRule="auto"/>
        <w:jc w:val="both"/>
        <w:rPr>
          <w:rFonts w:cs="David"/>
          <w:sz w:val="28"/>
          <w:szCs w:val="28"/>
          <w:rtl/>
        </w:rPr>
      </w:pPr>
      <w:r w:rsidRPr="00C96008">
        <w:rPr>
          <w:rFonts w:cs="David" w:hint="cs"/>
          <w:sz w:val="28"/>
          <w:szCs w:val="28"/>
          <w:rtl/>
        </w:rPr>
        <w:t xml:space="preserve">אין זה פלא, אם כך, כי </w:t>
      </w:r>
      <w:r w:rsidR="0008172D" w:rsidRPr="00C96008">
        <w:rPr>
          <w:rFonts w:cs="David" w:hint="cs"/>
          <w:sz w:val="28"/>
          <w:szCs w:val="28"/>
          <w:rtl/>
        </w:rPr>
        <w:t>'פייסבוק' הפכה</w:t>
      </w:r>
      <w:r w:rsidRPr="00C96008">
        <w:rPr>
          <w:rFonts w:cs="David" w:hint="cs"/>
          <w:sz w:val="28"/>
          <w:szCs w:val="28"/>
          <w:rtl/>
        </w:rPr>
        <w:t xml:space="preserve"> לפלטפורמה מצוינת להפצת הביטויים הגזעניים, הסרטים המסיתים ודברי הבלע הפוגעניים</w:t>
      </w:r>
      <w:r w:rsidR="0008172D" w:rsidRPr="00C96008">
        <w:rPr>
          <w:rFonts w:cs="David" w:hint="cs"/>
          <w:sz w:val="28"/>
          <w:szCs w:val="28"/>
          <w:rtl/>
        </w:rPr>
        <w:t>, כפי שגם הוצג לעיל.</w:t>
      </w:r>
      <w:r w:rsidR="0008172D" w:rsidRPr="00C96008">
        <w:rPr>
          <w:rStyle w:val="a5"/>
          <w:rFonts w:cs="David"/>
          <w:sz w:val="28"/>
          <w:szCs w:val="28"/>
          <w:rtl/>
        </w:rPr>
        <w:footnoteReference w:id="47"/>
      </w:r>
      <w:r w:rsidR="00696CF7" w:rsidRPr="00C96008">
        <w:rPr>
          <w:rFonts w:cs="David" w:hint="cs"/>
          <w:sz w:val="28"/>
          <w:szCs w:val="28"/>
          <w:rtl/>
        </w:rPr>
        <w:t xml:space="preserve"> </w:t>
      </w:r>
      <w:r w:rsidR="005B72E0" w:rsidRPr="00C96008">
        <w:rPr>
          <w:rFonts w:cs="David" w:hint="cs"/>
          <w:sz w:val="28"/>
          <w:szCs w:val="28"/>
          <w:rtl/>
        </w:rPr>
        <w:t>אם תתו</w:t>
      </w:r>
      <w:r w:rsidR="00815BDD">
        <w:rPr>
          <w:rFonts w:cs="David" w:hint="cs"/>
          <w:sz w:val="28"/>
          <w:szCs w:val="28"/>
          <w:rtl/>
        </w:rPr>
        <w:t>ו</w:t>
      </w:r>
      <w:r w:rsidR="005B72E0" w:rsidRPr="00C96008">
        <w:rPr>
          <w:rFonts w:cs="David" w:hint="cs"/>
          <w:sz w:val="28"/>
          <w:szCs w:val="28"/>
          <w:rtl/>
        </w:rPr>
        <w:t xml:space="preserve">סף </w:t>
      </w:r>
      <w:r w:rsidR="0008172D" w:rsidRPr="00C96008">
        <w:rPr>
          <w:rFonts w:cs="David" w:hint="cs"/>
          <w:sz w:val="28"/>
          <w:szCs w:val="28"/>
          <w:rtl/>
        </w:rPr>
        <w:t xml:space="preserve">על כך </w:t>
      </w:r>
      <w:r w:rsidR="005B72E0" w:rsidRPr="00C96008">
        <w:rPr>
          <w:rFonts w:cs="David" w:hint="cs"/>
          <w:sz w:val="28"/>
          <w:szCs w:val="28"/>
          <w:rtl/>
        </w:rPr>
        <w:t xml:space="preserve">גם </w:t>
      </w:r>
      <w:r w:rsidR="00696CF7" w:rsidRPr="00C96008">
        <w:rPr>
          <w:rFonts w:cs="David" w:hint="cs"/>
          <w:sz w:val="28"/>
          <w:szCs w:val="28"/>
          <w:rtl/>
        </w:rPr>
        <w:t xml:space="preserve">הזמינות הגבוהה בשל </w:t>
      </w:r>
      <w:r w:rsidR="005B72E0" w:rsidRPr="00C96008">
        <w:rPr>
          <w:rFonts w:cs="David" w:hint="cs"/>
          <w:sz w:val="28"/>
          <w:szCs w:val="28"/>
          <w:rtl/>
        </w:rPr>
        <w:t xml:space="preserve">השימוש הגדול בסמארטפונים ניידים, ייווצר </w:t>
      </w:r>
      <w:r w:rsidR="00696CF7" w:rsidRPr="00C96008">
        <w:rPr>
          <w:rFonts w:cs="David" w:hint="cs"/>
          <w:sz w:val="28"/>
          <w:szCs w:val="28"/>
          <w:rtl/>
        </w:rPr>
        <w:t>'חומר נפץ'.</w:t>
      </w:r>
    </w:p>
    <w:p w:rsidR="003575ED" w:rsidRPr="00AE5A99" w:rsidRDefault="00080E47" w:rsidP="00877087">
      <w:pPr>
        <w:spacing w:line="360" w:lineRule="auto"/>
        <w:jc w:val="both"/>
        <w:rPr>
          <w:rFonts w:cs="David"/>
          <w:b/>
          <w:bCs/>
          <w:sz w:val="28"/>
          <w:szCs w:val="28"/>
          <w:rtl/>
        </w:rPr>
      </w:pPr>
      <w:r>
        <w:rPr>
          <w:rFonts w:cs="David" w:hint="cs"/>
          <w:sz w:val="28"/>
          <w:szCs w:val="28"/>
          <w:rtl/>
        </w:rPr>
        <w:lastRenderedPageBreak/>
        <w:t xml:space="preserve">לסיכום, </w:t>
      </w:r>
      <w:r w:rsidR="00901DAB" w:rsidRPr="00B57B0C">
        <w:rPr>
          <w:rFonts w:cs="David" w:hint="cs"/>
          <w:sz w:val="28"/>
          <w:szCs w:val="28"/>
          <w:rtl/>
        </w:rPr>
        <w:t xml:space="preserve">כלל </w:t>
      </w:r>
      <w:r w:rsidR="004D26B1" w:rsidRPr="00B57B0C">
        <w:rPr>
          <w:rFonts w:cs="David" w:hint="cs"/>
          <w:sz w:val="28"/>
          <w:szCs w:val="28"/>
          <w:rtl/>
        </w:rPr>
        <w:t xml:space="preserve">המאפיינים שהובאו לעיל </w:t>
      </w:r>
      <w:r w:rsidR="00C96008">
        <w:rPr>
          <w:rFonts w:cs="David" w:hint="cs"/>
          <w:sz w:val="28"/>
          <w:szCs w:val="28"/>
          <w:rtl/>
        </w:rPr>
        <w:t xml:space="preserve">מבארים </w:t>
      </w:r>
      <w:r w:rsidR="004D26B1" w:rsidRPr="00B57B0C">
        <w:rPr>
          <w:rFonts w:cs="David" w:hint="cs"/>
          <w:sz w:val="28"/>
          <w:szCs w:val="28"/>
          <w:rtl/>
        </w:rPr>
        <w:t xml:space="preserve">מדוע הרשתות החברתיות הן כה עוצמתיות </w:t>
      </w:r>
      <w:r w:rsidR="000D5A16">
        <w:rPr>
          <w:rFonts w:cs="David" w:hint="cs"/>
          <w:sz w:val="28"/>
          <w:szCs w:val="28"/>
          <w:rtl/>
        </w:rPr>
        <w:t>ו</w:t>
      </w:r>
      <w:r w:rsidR="00C96008">
        <w:rPr>
          <w:rFonts w:cs="David" w:hint="cs"/>
          <w:sz w:val="28"/>
          <w:szCs w:val="28"/>
          <w:rtl/>
        </w:rPr>
        <w:t>כיצד זוכה הפרט ש</w:t>
      </w:r>
      <w:r w:rsidR="000A23CD">
        <w:rPr>
          <w:rFonts w:cs="David" w:hint="cs"/>
          <w:sz w:val="28"/>
          <w:szCs w:val="28"/>
          <w:rtl/>
        </w:rPr>
        <w:t xml:space="preserve">משתמש ברשתות החברתיות </w:t>
      </w:r>
      <w:r w:rsidR="00C96008">
        <w:rPr>
          <w:rFonts w:cs="David" w:hint="cs"/>
          <w:sz w:val="28"/>
          <w:szCs w:val="28"/>
          <w:rtl/>
        </w:rPr>
        <w:t>ל</w:t>
      </w:r>
      <w:r w:rsidR="004D26B1" w:rsidRPr="00B57B0C">
        <w:rPr>
          <w:rFonts w:cs="David" w:hint="cs"/>
          <w:sz w:val="28"/>
          <w:szCs w:val="28"/>
          <w:rtl/>
        </w:rPr>
        <w:t>כ</w:t>
      </w:r>
      <w:r w:rsidR="00915950">
        <w:rPr>
          <w:rFonts w:cs="David" w:hint="cs"/>
          <w:sz w:val="28"/>
          <w:szCs w:val="28"/>
          <w:rtl/>
        </w:rPr>
        <w:t>ו</w:t>
      </w:r>
      <w:r w:rsidR="004D26B1" w:rsidRPr="00B57B0C">
        <w:rPr>
          <w:rFonts w:cs="David" w:hint="cs"/>
          <w:sz w:val="28"/>
          <w:szCs w:val="28"/>
          <w:rtl/>
        </w:rPr>
        <w:t>ח כ</w:t>
      </w:r>
      <w:r w:rsidR="00723F35">
        <w:rPr>
          <w:rFonts w:cs="David" w:hint="cs"/>
          <w:sz w:val="28"/>
          <w:szCs w:val="28"/>
          <w:rtl/>
        </w:rPr>
        <w:t xml:space="preserve">ה גדול וחסר תקדים בהעברת מסרים, </w:t>
      </w:r>
      <w:r w:rsidR="00E73B81">
        <w:rPr>
          <w:rFonts w:cs="David" w:hint="cs"/>
          <w:sz w:val="28"/>
          <w:szCs w:val="28"/>
          <w:rtl/>
        </w:rPr>
        <w:t>ה</w:t>
      </w:r>
      <w:r w:rsidR="004D26B1" w:rsidRPr="00B57B0C">
        <w:rPr>
          <w:rFonts w:cs="David" w:hint="cs"/>
          <w:sz w:val="28"/>
          <w:szCs w:val="28"/>
          <w:rtl/>
        </w:rPr>
        <w:t xml:space="preserve">משוחררים ממערכת שיקולים של </w:t>
      </w:r>
      <w:r w:rsidR="00E73B81">
        <w:rPr>
          <w:rFonts w:cs="David" w:hint="cs"/>
          <w:sz w:val="28"/>
          <w:szCs w:val="28"/>
          <w:rtl/>
        </w:rPr>
        <w:t>'מתווכי התוכן' המסורתיים</w:t>
      </w:r>
      <w:r w:rsidR="004D26B1" w:rsidRPr="00B57B0C">
        <w:rPr>
          <w:rFonts w:cs="David" w:hint="cs"/>
          <w:sz w:val="28"/>
          <w:szCs w:val="28"/>
          <w:rtl/>
        </w:rPr>
        <w:t xml:space="preserve"> ושל פיקוח חברתי</w:t>
      </w:r>
      <w:r w:rsidR="00C96008">
        <w:rPr>
          <w:rFonts w:cs="David" w:hint="cs"/>
          <w:sz w:val="28"/>
          <w:szCs w:val="28"/>
          <w:rtl/>
        </w:rPr>
        <w:t>.</w:t>
      </w:r>
      <w:r w:rsidR="00977A44">
        <w:rPr>
          <w:rFonts w:cs="David" w:hint="cs"/>
          <w:sz w:val="28"/>
          <w:szCs w:val="28"/>
          <w:rtl/>
        </w:rPr>
        <w:t xml:space="preserve"> </w:t>
      </w:r>
      <w:r w:rsidR="00C96008">
        <w:rPr>
          <w:rFonts w:cs="David" w:hint="cs"/>
          <w:b/>
          <w:bCs/>
          <w:sz w:val="28"/>
          <w:szCs w:val="28"/>
          <w:rtl/>
        </w:rPr>
        <w:t>ל</w:t>
      </w:r>
      <w:r w:rsidR="00723F35" w:rsidRPr="00AE5A99">
        <w:rPr>
          <w:rFonts w:cs="David" w:hint="cs"/>
          <w:b/>
          <w:bCs/>
          <w:sz w:val="28"/>
          <w:szCs w:val="28"/>
          <w:rtl/>
        </w:rPr>
        <w:t xml:space="preserve">עיתים </w:t>
      </w:r>
      <w:r w:rsidR="00C96008">
        <w:rPr>
          <w:rFonts w:cs="David" w:hint="cs"/>
          <w:b/>
          <w:bCs/>
          <w:sz w:val="28"/>
          <w:szCs w:val="28"/>
          <w:rtl/>
        </w:rPr>
        <w:t>ה</w:t>
      </w:r>
      <w:r w:rsidR="00CB2A5A" w:rsidRPr="00AE5A99">
        <w:rPr>
          <w:rFonts w:cs="David" w:hint="cs"/>
          <w:b/>
          <w:bCs/>
          <w:sz w:val="28"/>
          <w:szCs w:val="28"/>
          <w:rtl/>
        </w:rPr>
        <w:t xml:space="preserve">מסרים </w:t>
      </w:r>
      <w:r w:rsidR="00C96008">
        <w:rPr>
          <w:rFonts w:cs="David" w:hint="cs"/>
          <w:b/>
          <w:bCs/>
          <w:sz w:val="28"/>
          <w:szCs w:val="28"/>
          <w:rtl/>
        </w:rPr>
        <w:t xml:space="preserve">הם </w:t>
      </w:r>
      <w:r w:rsidR="004D26B1" w:rsidRPr="00AE5A99">
        <w:rPr>
          <w:rFonts w:cs="David" w:hint="cs"/>
          <w:b/>
          <w:bCs/>
          <w:sz w:val="28"/>
          <w:szCs w:val="28"/>
          <w:rtl/>
        </w:rPr>
        <w:t>בוט</w:t>
      </w:r>
      <w:r w:rsidR="00CB2A5A" w:rsidRPr="00AE5A99">
        <w:rPr>
          <w:rFonts w:cs="David" w:hint="cs"/>
          <w:b/>
          <w:bCs/>
          <w:sz w:val="28"/>
          <w:szCs w:val="28"/>
          <w:rtl/>
        </w:rPr>
        <w:t>ים</w:t>
      </w:r>
      <w:r w:rsidR="004D26B1" w:rsidRPr="00AE5A99">
        <w:rPr>
          <w:rFonts w:cs="David" w:hint="cs"/>
          <w:b/>
          <w:bCs/>
          <w:sz w:val="28"/>
          <w:szCs w:val="28"/>
          <w:rtl/>
        </w:rPr>
        <w:t>, מתלה</w:t>
      </w:r>
      <w:r w:rsidR="00CB2A5A" w:rsidRPr="00AE5A99">
        <w:rPr>
          <w:rFonts w:cs="David" w:hint="cs"/>
          <w:b/>
          <w:bCs/>
          <w:sz w:val="28"/>
          <w:szCs w:val="28"/>
          <w:rtl/>
        </w:rPr>
        <w:t>מי</w:t>
      </w:r>
      <w:r w:rsidR="004D26B1" w:rsidRPr="00AE5A99">
        <w:rPr>
          <w:rFonts w:cs="David" w:hint="cs"/>
          <w:b/>
          <w:bCs/>
          <w:sz w:val="28"/>
          <w:szCs w:val="28"/>
          <w:rtl/>
        </w:rPr>
        <w:t>ם, אגרסיבי</w:t>
      </w:r>
      <w:r w:rsidR="00CB2A5A" w:rsidRPr="00AE5A99">
        <w:rPr>
          <w:rFonts w:cs="David" w:hint="cs"/>
          <w:b/>
          <w:bCs/>
          <w:sz w:val="28"/>
          <w:szCs w:val="28"/>
          <w:rtl/>
        </w:rPr>
        <w:t>ים</w:t>
      </w:r>
      <w:r w:rsidR="004D26B1" w:rsidRPr="00AE5A99">
        <w:rPr>
          <w:rFonts w:cs="David" w:hint="cs"/>
          <w:b/>
          <w:bCs/>
          <w:sz w:val="28"/>
          <w:szCs w:val="28"/>
          <w:rtl/>
        </w:rPr>
        <w:t>, קיצוני</w:t>
      </w:r>
      <w:r w:rsidR="00CB2A5A" w:rsidRPr="00AE5A99">
        <w:rPr>
          <w:rFonts w:cs="David" w:hint="cs"/>
          <w:b/>
          <w:bCs/>
          <w:sz w:val="28"/>
          <w:szCs w:val="28"/>
          <w:rtl/>
        </w:rPr>
        <w:t>ים</w:t>
      </w:r>
      <w:r w:rsidR="004D26B1" w:rsidRPr="00AE5A99">
        <w:rPr>
          <w:rFonts w:cs="David" w:hint="cs"/>
          <w:b/>
          <w:bCs/>
          <w:sz w:val="28"/>
          <w:szCs w:val="28"/>
          <w:rtl/>
        </w:rPr>
        <w:t xml:space="preserve"> וגזעני</w:t>
      </w:r>
      <w:r w:rsidR="00CB2A5A" w:rsidRPr="00AE5A99">
        <w:rPr>
          <w:rFonts w:cs="David" w:hint="cs"/>
          <w:b/>
          <w:bCs/>
          <w:sz w:val="28"/>
          <w:szCs w:val="28"/>
          <w:rtl/>
        </w:rPr>
        <w:t>ים</w:t>
      </w:r>
      <w:r w:rsidR="004D26B1" w:rsidRPr="00AE5A99">
        <w:rPr>
          <w:rFonts w:cs="David" w:hint="cs"/>
          <w:b/>
          <w:bCs/>
          <w:sz w:val="28"/>
          <w:szCs w:val="28"/>
          <w:rtl/>
        </w:rPr>
        <w:t xml:space="preserve">, </w:t>
      </w:r>
      <w:r w:rsidR="00CB2A5A" w:rsidRPr="00AE5A99">
        <w:rPr>
          <w:rFonts w:cs="David" w:hint="cs"/>
          <w:b/>
          <w:bCs/>
          <w:sz w:val="28"/>
          <w:szCs w:val="28"/>
          <w:rtl/>
        </w:rPr>
        <w:t xml:space="preserve">כפי שאנו רואים וקוראים </w:t>
      </w:r>
      <w:r w:rsidR="004D26B1" w:rsidRPr="00AE5A99">
        <w:rPr>
          <w:rFonts w:cs="David" w:hint="cs"/>
          <w:b/>
          <w:bCs/>
          <w:sz w:val="28"/>
          <w:szCs w:val="28"/>
          <w:rtl/>
        </w:rPr>
        <w:t>בשנים האחרונות ברשתות החברתיות</w:t>
      </w:r>
      <w:r w:rsidR="00977A44" w:rsidRPr="00AE5A99">
        <w:rPr>
          <w:rFonts w:cs="David" w:hint="cs"/>
          <w:b/>
          <w:bCs/>
          <w:sz w:val="28"/>
          <w:szCs w:val="28"/>
          <w:rtl/>
        </w:rPr>
        <w:t xml:space="preserve"> בישראל</w:t>
      </w:r>
      <w:r w:rsidR="004D26B1" w:rsidRPr="00AE5A99">
        <w:rPr>
          <w:rFonts w:cs="David" w:hint="cs"/>
          <w:b/>
          <w:bCs/>
          <w:sz w:val="28"/>
          <w:szCs w:val="28"/>
          <w:rtl/>
        </w:rPr>
        <w:t>.</w:t>
      </w:r>
    </w:p>
    <w:p w:rsidR="00DE1589" w:rsidRDefault="00DE1589" w:rsidP="00F119A4">
      <w:pPr>
        <w:spacing w:line="360" w:lineRule="auto"/>
        <w:jc w:val="both"/>
        <w:rPr>
          <w:rFonts w:cs="David"/>
          <w:b/>
          <w:bCs/>
          <w:sz w:val="32"/>
          <w:szCs w:val="32"/>
          <w:rtl/>
        </w:rPr>
      </w:pPr>
      <w:r w:rsidRPr="00162C32">
        <w:rPr>
          <w:rFonts w:cs="David" w:hint="cs"/>
          <w:b/>
          <w:bCs/>
          <w:sz w:val="32"/>
          <w:szCs w:val="32"/>
          <w:rtl/>
        </w:rPr>
        <w:t xml:space="preserve">ג. אינטרסים מסחריים של </w:t>
      </w:r>
      <w:r>
        <w:rPr>
          <w:rFonts w:cs="David" w:hint="cs"/>
          <w:b/>
          <w:bCs/>
          <w:sz w:val="32"/>
          <w:szCs w:val="32"/>
          <w:rtl/>
        </w:rPr>
        <w:t>בעלי האתרים והספקים</w:t>
      </w:r>
    </w:p>
    <w:p w:rsidR="00DE1589" w:rsidRDefault="00DE1589" w:rsidP="00F119A4">
      <w:pPr>
        <w:spacing w:line="360" w:lineRule="auto"/>
        <w:jc w:val="both"/>
        <w:rPr>
          <w:rFonts w:cs="David"/>
          <w:sz w:val="28"/>
          <w:szCs w:val="28"/>
          <w:rtl/>
        </w:rPr>
      </w:pPr>
      <w:r>
        <w:rPr>
          <w:rFonts w:cs="David" w:hint="cs"/>
          <w:sz w:val="28"/>
          <w:szCs w:val="28"/>
          <w:rtl/>
        </w:rPr>
        <w:t>מפעילי אתרי המרשתת וספקי שרותי המרשתת אינם מוסד ללא כוונות רווח. הם גופים כלכליים למטרות רווח. בשורה התחתונה, שהיא גם השורה הראשונה - הם מונעים קודם כל ואחרי הכול משיקולים כלכליים ואינטרסים מסחריים.</w:t>
      </w:r>
    </w:p>
    <w:p w:rsidR="00DE1589" w:rsidRDefault="00DE1589" w:rsidP="00104FD4">
      <w:pPr>
        <w:spacing w:line="360" w:lineRule="auto"/>
        <w:jc w:val="both"/>
        <w:rPr>
          <w:rFonts w:cs="David"/>
          <w:sz w:val="28"/>
          <w:szCs w:val="28"/>
          <w:rtl/>
        </w:rPr>
      </w:pPr>
      <w:r>
        <w:rPr>
          <w:rFonts w:cs="David" w:hint="cs"/>
          <w:sz w:val="28"/>
          <w:szCs w:val="28"/>
          <w:rtl/>
        </w:rPr>
        <w:t>ההצלחה הבלתי מעורערת של הרשתות החברתיות, כפי שניתן לראות היטב בנתונים שלעיל, חייבה ועודנה מחייבת את בעלי האתרים וספקיות המרשתת ל</w:t>
      </w:r>
      <w:r w:rsidR="00104FD4">
        <w:rPr>
          <w:rFonts w:cs="David" w:hint="cs"/>
          <w:sz w:val="28"/>
          <w:szCs w:val="28"/>
          <w:rtl/>
        </w:rPr>
        <w:t>ברר ולבדוק כל העת</w:t>
      </w:r>
      <w:r>
        <w:rPr>
          <w:rFonts w:cs="David" w:hint="cs"/>
          <w:sz w:val="28"/>
          <w:szCs w:val="28"/>
          <w:rtl/>
        </w:rPr>
        <w:t>, כיצד מתרגמים את ההצלח</w:t>
      </w:r>
      <w:r w:rsidR="00104FD4">
        <w:rPr>
          <w:rFonts w:cs="David" w:hint="cs"/>
          <w:sz w:val="28"/>
          <w:szCs w:val="28"/>
          <w:rtl/>
        </w:rPr>
        <w:t>ה החברתית להצלחה עסקית ורווחית?</w:t>
      </w:r>
    </w:p>
    <w:p w:rsidR="00DE1589" w:rsidRDefault="00DE1589" w:rsidP="005C6A9A">
      <w:pPr>
        <w:spacing w:line="360" w:lineRule="auto"/>
        <w:jc w:val="both"/>
        <w:rPr>
          <w:rFonts w:cs="David"/>
          <w:sz w:val="28"/>
          <w:szCs w:val="28"/>
          <w:rtl/>
        </w:rPr>
      </w:pPr>
      <w:r>
        <w:rPr>
          <w:rFonts w:cs="David" w:hint="cs"/>
          <w:sz w:val="28"/>
          <w:szCs w:val="28"/>
          <w:rtl/>
        </w:rPr>
        <w:t>בשנים האחרונות הוכחו הרשתות החברתיות וסביבתן, כולל מנועי החיפוש ו</w:t>
      </w:r>
      <w:r w:rsidR="00EB3BBA">
        <w:rPr>
          <w:rFonts w:cs="David" w:hint="cs"/>
          <w:sz w:val="28"/>
          <w:szCs w:val="28"/>
          <w:rtl/>
        </w:rPr>
        <w:t>י</w:t>
      </w:r>
      <w:r w:rsidR="00F35EC9">
        <w:rPr>
          <w:rFonts w:cs="David" w:hint="cs"/>
          <w:sz w:val="28"/>
          <w:szCs w:val="28"/>
          <w:rtl/>
        </w:rPr>
        <w:t>י</w:t>
      </w:r>
      <w:r w:rsidR="00EB3BBA">
        <w:rPr>
          <w:rFonts w:cs="David" w:hint="cs"/>
          <w:sz w:val="28"/>
          <w:szCs w:val="28"/>
          <w:rtl/>
        </w:rPr>
        <w:t>שומונים</w:t>
      </w:r>
      <w:r w:rsidR="00790ED5">
        <w:rPr>
          <w:rFonts w:cs="David" w:hint="cs"/>
          <w:sz w:val="28"/>
          <w:szCs w:val="28"/>
          <w:rtl/>
        </w:rPr>
        <w:t xml:space="preserve"> (אפליקציות)</w:t>
      </w:r>
      <w:r>
        <w:rPr>
          <w:rFonts w:cs="David" w:hint="cs"/>
          <w:sz w:val="28"/>
          <w:szCs w:val="28"/>
          <w:rtl/>
        </w:rPr>
        <w:t xml:space="preserve"> בסמארטפונים, כיעילות ביותר בתחום השיווק. עם השנים </w:t>
      </w:r>
      <w:r w:rsidR="006C668E">
        <w:rPr>
          <w:rFonts w:cs="David" w:hint="cs"/>
          <w:sz w:val="28"/>
          <w:szCs w:val="28"/>
          <w:rtl/>
        </w:rPr>
        <w:t xml:space="preserve">עושים </w:t>
      </w:r>
      <w:r>
        <w:rPr>
          <w:rFonts w:cs="David" w:hint="cs"/>
          <w:sz w:val="28"/>
          <w:szCs w:val="28"/>
          <w:rtl/>
        </w:rPr>
        <w:t xml:space="preserve">יותר ויותר אנשי שיווק </w:t>
      </w:r>
      <w:r w:rsidR="006C668E">
        <w:rPr>
          <w:rFonts w:cs="David" w:hint="cs"/>
          <w:sz w:val="28"/>
          <w:szCs w:val="28"/>
          <w:rtl/>
        </w:rPr>
        <w:t>ש</w:t>
      </w:r>
      <w:r>
        <w:rPr>
          <w:rFonts w:cs="David" w:hint="cs"/>
          <w:sz w:val="28"/>
          <w:szCs w:val="28"/>
          <w:rtl/>
        </w:rPr>
        <w:t>ימוש מאסיבי ברשתות החברתיות לפרסום ולשיווק</w:t>
      </w:r>
      <w:r w:rsidR="00877B43">
        <w:rPr>
          <w:rFonts w:cs="David" w:hint="cs"/>
          <w:sz w:val="28"/>
          <w:szCs w:val="28"/>
          <w:rtl/>
        </w:rPr>
        <w:t>.</w:t>
      </w:r>
      <w:r>
        <w:rPr>
          <w:rFonts w:cs="David" w:hint="cs"/>
          <w:sz w:val="28"/>
          <w:szCs w:val="28"/>
          <w:rtl/>
        </w:rPr>
        <w:t xml:space="preserve"> </w:t>
      </w:r>
      <w:r w:rsidR="00877B43">
        <w:rPr>
          <w:rFonts w:cs="David" w:hint="cs"/>
          <w:sz w:val="28"/>
          <w:szCs w:val="28"/>
          <w:rtl/>
        </w:rPr>
        <w:t>ה</w:t>
      </w:r>
      <w:r>
        <w:rPr>
          <w:rFonts w:cs="David" w:hint="cs"/>
          <w:sz w:val="28"/>
          <w:szCs w:val="28"/>
          <w:rtl/>
        </w:rPr>
        <w:t>פרסום ו</w:t>
      </w:r>
      <w:r w:rsidR="00877B43">
        <w:rPr>
          <w:rFonts w:cs="David" w:hint="cs"/>
          <w:sz w:val="28"/>
          <w:szCs w:val="28"/>
          <w:rtl/>
        </w:rPr>
        <w:t>ה</w:t>
      </w:r>
      <w:r>
        <w:rPr>
          <w:rFonts w:cs="David" w:hint="cs"/>
          <w:sz w:val="28"/>
          <w:szCs w:val="28"/>
          <w:rtl/>
        </w:rPr>
        <w:t xml:space="preserve">שיווק </w:t>
      </w:r>
      <w:r w:rsidR="00877B43">
        <w:rPr>
          <w:rFonts w:cs="David" w:hint="cs"/>
          <w:sz w:val="28"/>
          <w:szCs w:val="28"/>
          <w:rtl/>
        </w:rPr>
        <w:t>ב</w:t>
      </w:r>
      <w:r>
        <w:rPr>
          <w:rFonts w:cs="David" w:hint="cs"/>
          <w:sz w:val="28"/>
          <w:szCs w:val="28"/>
          <w:rtl/>
        </w:rPr>
        <w:t xml:space="preserve">רשתות החברתיות </w:t>
      </w:r>
      <w:r w:rsidR="00877B43">
        <w:rPr>
          <w:rFonts w:cs="David" w:hint="cs"/>
          <w:sz w:val="28"/>
          <w:szCs w:val="28"/>
          <w:rtl/>
        </w:rPr>
        <w:t xml:space="preserve">אפקטיביים </w:t>
      </w:r>
      <w:r>
        <w:rPr>
          <w:rFonts w:cs="David" w:hint="cs"/>
          <w:sz w:val="28"/>
          <w:szCs w:val="28"/>
          <w:rtl/>
        </w:rPr>
        <w:t xml:space="preserve">לאין ערוך </w:t>
      </w:r>
      <w:r w:rsidR="00877B43">
        <w:rPr>
          <w:rFonts w:cs="David" w:hint="cs"/>
          <w:sz w:val="28"/>
          <w:szCs w:val="28"/>
          <w:rtl/>
        </w:rPr>
        <w:t xml:space="preserve">בהשוואה לנעשה באמצעות </w:t>
      </w:r>
      <w:r>
        <w:rPr>
          <w:rFonts w:cs="David" w:hint="cs"/>
          <w:sz w:val="28"/>
          <w:szCs w:val="28"/>
          <w:rtl/>
        </w:rPr>
        <w:t>העיתון והטלוויזיה.</w:t>
      </w:r>
      <w:r>
        <w:rPr>
          <w:rStyle w:val="a5"/>
          <w:rFonts w:cs="David"/>
          <w:sz w:val="28"/>
          <w:szCs w:val="28"/>
          <w:rtl/>
        </w:rPr>
        <w:footnoteReference w:id="48"/>
      </w:r>
      <w:r>
        <w:rPr>
          <w:rFonts w:cs="David" w:hint="cs"/>
          <w:sz w:val="28"/>
          <w:szCs w:val="28"/>
          <w:rtl/>
        </w:rPr>
        <w:t xml:space="preserve"> הכנסות</w:t>
      </w:r>
      <w:r w:rsidR="005C6A9A">
        <w:rPr>
          <w:rFonts w:cs="David" w:hint="cs"/>
          <w:sz w:val="28"/>
          <w:szCs w:val="28"/>
          <w:rtl/>
        </w:rPr>
        <w:t>יה</w:t>
      </w:r>
      <w:r>
        <w:rPr>
          <w:rFonts w:cs="David" w:hint="cs"/>
          <w:sz w:val="28"/>
          <w:szCs w:val="28"/>
          <w:rtl/>
        </w:rPr>
        <w:t xml:space="preserve"> של 'פייסבוק', כדוגמה, הסתכמו בסוף 2016 בכ-7 מיליארד דולר, כאשר ההכנסות מהפרסום בלבד מהווה למעלה מ-6.8 מיליארד מתוך ההכנסות.</w:t>
      </w:r>
      <w:r>
        <w:rPr>
          <w:rStyle w:val="a5"/>
          <w:rFonts w:cs="David"/>
          <w:sz w:val="28"/>
          <w:szCs w:val="28"/>
          <w:rtl/>
        </w:rPr>
        <w:footnoteReference w:id="49"/>
      </w:r>
      <w:r>
        <w:rPr>
          <w:rFonts w:cs="David" w:hint="cs"/>
          <w:sz w:val="28"/>
          <w:szCs w:val="28"/>
          <w:rtl/>
        </w:rPr>
        <w:t xml:space="preserve"> לשם ההשוואה, בשנת 2010 הם חצו במקצת את קו המיליארד דולר</w:t>
      </w:r>
      <w:r w:rsidR="005C6A9A">
        <w:rPr>
          <w:rFonts w:cs="David" w:hint="cs"/>
          <w:sz w:val="28"/>
          <w:szCs w:val="28"/>
          <w:rtl/>
        </w:rPr>
        <w:t>.</w:t>
      </w:r>
      <w:r>
        <w:rPr>
          <w:rStyle w:val="a5"/>
          <w:rFonts w:cs="David"/>
          <w:sz w:val="28"/>
          <w:szCs w:val="28"/>
          <w:rtl/>
        </w:rPr>
        <w:footnoteReference w:id="50"/>
      </w:r>
    </w:p>
    <w:p w:rsidR="00DE1589" w:rsidRPr="002217D1" w:rsidRDefault="00DE1589" w:rsidP="00F119A4">
      <w:pPr>
        <w:spacing w:line="360" w:lineRule="auto"/>
        <w:jc w:val="both"/>
        <w:rPr>
          <w:rFonts w:cs="David"/>
          <w:b/>
          <w:bCs/>
          <w:sz w:val="28"/>
          <w:szCs w:val="28"/>
          <w:rtl/>
        </w:rPr>
      </w:pPr>
      <w:r>
        <w:rPr>
          <w:rFonts w:cs="David" w:hint="cs"/>
          <w:b/>
          <w:bCs/>
          <w:sz w:val="28"/>
          <w:szCs w:val="28"/>
          <w:rtl/>
        </w:rPr>
        <w:t xml:space="preserve">ג.1 </w:t>
      </w:r>
      <w:r w:rsidRPr="002217D1">
        <w:rPr>
          <w:rFonts w:cs="David" w:hint="cs"/>
          <w:b/>
          <w:bCs/>
          <w:sz w:val="28"/>
          <w:szCs w:val="28"/>
          <w:rtl/>
        </w:rPr>
        <w:t>'בועת הפילטר'</w:t>
      </w:r>
    </w:p>
    <w:p w:rsidR="00DE1589" w:rsidRPr="00790ED5" w:rsidRDefault="00DE1589" w:rsidP="00CD632E">
      <w:pPr>
        <w:spacing w:line="360" w:lineRule="auto"/>
        <w:jc w:val="both"/>
        <w:rPr>
          <w:rFonts w:cs="David"/>
          <w:b/>
          <w:bCs/>
          <w:sz w:val="28"/>
          <w:szCs w:val="28"/>
          <w:rtl/>
        </w:rPr>
      </w:pPr>
      <w:r>
        <w:rPr>
          <w:rFonts w:cs="David" w:hint="cs"/>
          <w:sz w:val="28"/>
          <w:szCs w:val="28"/>
          <w:rtl/>
        </w:rPr>
        <w:t>כבר נאמר שהמהפכה הטכנולוגית-הדיגיטלית הב</w:t>
      </w:r>
      <w:r w:rsidR="00CD632E">
        <w:rPr>
          <w:rFonts w:cs="David" w:hint="cs"/>
          <w:sz w:val="28"/>
          <w:szCs w:val="28"/>
          <w:rtl/>
        </w:rPr>
        <w:t xml:space="preserve">יאה עימה </w:t>
      </w:r>
      <w:r>
        <w:rPr>
          <w:rFonts w:cs="David" w:hint="cs"/>
          <w:sz w:val="28"/>
          <w:szCs w:val="28"/>
          <w:rtl/>
        </w:rPr>
        <w:t>בשורה, להרחיב א</w:t>
      </w:r>
      <w:r w:rsidR="00EB3BBA">
        <w:rPr>
          <w:rFonts w:cs="David" w:hint="cs"/>
          <w:sz w:val="28"/>
          <w:szCs w:val="28"/>
          <w:rtl/>
        </w:rPr>
        <w:t xml:space="preserve">ת אופקינו ולקרב אותנו האחד </w:t>
      </w:r>
      <w:r w:rsidR="00CD632E">
        <w:rPr>
          <w:rFonts w:cs="David" w:hint="cs"/>
          <w:sz w:val="28"/>
          <w:szCs w:val="28"/>
          <w:rtl/>
        </w:rPr>
        <w:t>א</w:t>
      </w:r>
      <w:r w:rsidR="00EB3BBA">
        <w:rPr>
          <w:rFonts w:cs="David" w:hint="cs"/>
          <w:sz w:val="28"/>
          <w:szCs w:val="28"/>
          <w:rtl/>
        </w:rPr>
        <w:t>ל</w:t>
      </w:r>
      <w:r w:rsidR="00CD632E">
        <w:rPr>
          <w:rFonts w:cs="David" w:hint="cs"/>
          <w:sz w:val="28"/>
          <w:szCs w:val="28"/>
          <w:rtl/>
        </w:rPr>
        <w:t xml:space="preserve"> ה</w:t>
      </w:r>
      <w:r w:rsidR="00EB3BBA">
        <w:rPr>
          <w:rFonts w:cs="David" w:hint="cs"/>
          <w:sz w:val="28"/>
          <w:szCs w:val="28"/>
          <w:rtl/>
        </w:rPr>
        <w:t>שני</w:t>
      </w:r>
      <w:r w:rsidR="00CD632E">
        <w:rPr>
          <w:rFonts w:cs="David" w:hint="cs"/>
          <w:sz w:val="28"/>
          <w:szCs w:val="28"/>
          <w:rtl/>
        </w:rPr>
        <w:t>, לקרבנו</w:t>
      </w:r>
      <w:r w:rsidR="00EB3BBA">
        <w:rPr>
          <w:rFonts w:cs="David" w:hint="cs"/>
          <w:sz w:val="28"/>
          <w:szCs w:val="28"/>
          <w:rtl/>
        </w:rPr>
        <w:t xml:space="preserve"> לעולם ואת העולם אלינו</w:t>
      </w:r>
      <w:r w:rsidR="00E305FE">
        <w:rPr>
          <w:rFonts w:cs="David" w:hint="cs"/>
          <w:sz w:val="28"/>
          <w:szCs w:val="28"/>
          <w:rtl/>
        </w:rPr>
        <w:t>. מדוע</w:t>
      </w:r>
      <w:r w:rsidR="00CD632E">
        <w:rPr>
          <w:rFonts w:cs="David" w:hint="cs"/>
          <w:sz w:val="28"/>
          <w:szCs w:val="28"/>
          <w:rtl/>
        </w:rPr>
        <w:t>,</w:t>
      </w:r>
      <w:r w:rsidR="00E305FE">
        <w:rPr>
          <w:rFonts w:cs="David" w:hint="cs"/>
          <w:sz w:val="28"/>
          <w:szCs w:val="28"/>
          <w:rtl/>
        </w:rPr>
        <w:t xml:space="preserve"> אם כן</w:t>
      </w:r>
      <w:r w:rsidR="00CD632E">
        <w:rPr>
          <w:rFonts w:cs="David" w:hint="cs"/>
          <w:sz w:val="28"/>
          <w:szCs w:val="28"/>
          <w:rtl/>
        </w:rPr>
        <w:t>,</w:t>
      </w:r>
      <w:r w:rsidR="00E305FE">
        <w:rPr>
          <w:rFonts w:cs="David" w:hint="cs"/>
          <w:sz w:val="28"/>
          <w:szCs w:val="28"/>
          <w:rtl/>
        </w:rPr>
        <w:t xml:space="preserve"> </w:t>
      </w:r>
      <w:r w:rsidR="00CD632E">
        <w:rPr>
          <w:rFonts w:cs="David" w:hint="cs"/>
          <w:sz w:val="28"/>
          <w:szCs w:val="28"/>
          <w:rtl/>
        </w:rPr>
        <w:t>ה</w:t>
      </w:r>
      <w:r w:rsidR="00E305FE">
        <w:rPr>
          <w:rFonts w:cs="David" w:hint="cs"/>
          <w:sz w:val="28"/>
          <w:szCs w:val="28"/>
          <w:rtl/>
        </w:rPr>
        <w:t xml:space="preserve">דבר זה </w:t>
      </w:r>
      <w:r w:rsidR="00CD632E">
        <w:rPr>
          <w:rFonts w:cs="David" w:hint="cs"/>
          <w:sz w:val="28"/>
          <w:szCs w:val="28"/>
          <w:rtl/>
        </w:rPr>
        <w:t xml:space="preserve">אינו מתרחש </w:t>
      </w:r>
      <w:r w:rsidR="00E305FE">
        <w:rPr>
          <w:rFonts w:cs="David" w:hint="cs"/>
          <w:sz w:val="28"/>
          <w:szCs w:val="28"/>
          <w:rtl/>
        </w:rPr>
        <w:t>כפי שחשבנו?</w:t>
      </w:r>
      <w:r w:rsidR="00EB3BBA">
        <w:rPr>
          <w:rFonts w:cs="David" w:hint="cs"/>
          <w:sz w:val="28"/>
          <w:szCs w:val="28"/>
          <w:rtl/>
        </w:rPr>
        <w:t xml:space="preserve"> </w:t>
      </w:r>
      <w:r w:rsidR="00790ED5" w:rsidRPr="00790ED5">
        <w:rPr>
          <w:rFonts w:cs="David" w:hint="cs"/>
          <w:b/>
          <w:bCs/>
          <w:sz w:val="28"/>
          <w:szCs w:val="28"/>
          <w:rtl/>
        </w:rPr>
        <w:t xml:space="preserve">נתוני השיח הגזעני והמסית מעידים </w:t>
      </w:r>
      <w:r w:rsidR="00E305FE" w:rsidRPr="00790ED5">
        <w:rPr>
          <w:rFonts w:cs="David" w:hint="cs"/>
          <w:b/>
          <w:bCs/>
          <w:sz w:val="28"/>
          <w:szCs w:val="28"/>
          <w:rtl/>
        </w:rPr>
        <w:t xml:space="preserve">כי משתמשי המרשתת </w:t>
      </w:r>
      <w:r w:rsidRPr="00790ED5">
        <w:rPr>
          <w:rFonts w:cs="David" w:hint="cs"/>
          <w:b/>
          <w:bCs/>
          <w:sz w:val="28"/>
          <w:szCs w:val="28"/>
          <w:rtl/>
        </w:rPr>
        <w:t xml:space="preserve">הופכים </w:t>
      </w:r>
      <w:r w:rsidR="00CD632E">
        <w:rPr>
          <w:rFonts w:cs="David" w:hint="cs"/>
          <w:b/>
          <w:bCs/>
          <w:sz w:val="28"/>
          <w:szCs w:val="28"/>
          <w:rtl/>
        </w:rPr>
        <w:t>ל</w:t>
      </w:r>
      <w:r w:rsidRPr="00790ED5">
        <w:rPr>
          <w:rFonts w:cs="David" w:hint="cs"/>
          <w:b/>
          <w:bCs/>
          <w:sz w:val="28"/>
          <w:szCs w:val="28"/>
          <w:rtl/>
        </w:rPr>
        <w:t>פחות סבלניים</w:t>
      </w:r>
      <w:r w:rsidR="00FE467B" w:rsidRPr="00790ED5">
        <w:rPr>
          <w:rFonts w:cs="David" w:hint="cs"/>
          <w:b/>
          <w:bCs/>
          <w:sz w:val="28"/>
          <w:szCs w:val="28"/>
          <w:rtl/>
        </w:rPr>
        <w:t xml:space="preserve"> ל'אחר'</w:t>
      </w:r>
      <w:r w:rsidR="00EB3BBA" w:rsidRPr="00790ED5">
        <w:rPr>
          <w:rFonts w:cs="David" w:hint="cs"/>
          <w:b/>
          <w:bCs/>
          <w:sz w:val="28"/>
          <w:szCs w:val="28"/>
          <w:rtl/>
        </w:rPr>
        <w:t>, יותר מתלהמים</w:t>
      </w:r>
      <w:r w:rsidR="00E305FE" w:rsidRPr="00790ED5">
        <w:rPr>
          <w:rFonts w:cs="David" w:hint="cs"/>
          <w:b/>
          <w:bCs/>
          <w:sz w:val="28"/>
          <w:szCs w:val="28"/>
          <w:rtl/>
        </w:rPr>
        <w:t xml:space="preserve"> ויותר קיצוניים.</w:t>
      </w:r>
    </w:p>
    <w:p w:rsidR="00DE1589" w:rsidRDefault="00CD632E" w:rsidP="000129C1">
      <w:pPr>
        <w:spacing w:line="360" w:lineRule="auto"/>
        <w:jc w:val="both"/>
        <w:rPr>
          <w:rFonts w:cs="David"/>
          <w:sz w:val="28"/>
          <w:szCs w:val="28"/>
          <w:rtl/>
        </w:rPr>
      </w:pPr>
      <w:r>
        <w:rPr>
          <w:rFonts w:cs="David" w:hint="cs"/>
          <w:b/>
          <w:bCs/>
          <w:sz w:val="28"/>
          <w:szCs w:val="28"/>
          <w:rtl/>
        </w:rPr>
        <w:lastRenderedPageBreak/>
        <w:t xml:space="preserve">כל </w:t>
      </w:r>
      <w:r w:rsidR="00DE1589" w:rsidRPr="00926604">
        <w:rPr>
          <w:rFonts w:cs="David" w:hint="cs"/>
          <w:b/>
          <w:bCs/>
          <w:sz w:val="28"/>
          <w:szCs w:val="28"/>
          <w:rtl/>
        </w:rPr>
        <w:t>זה קורה במידה לא מבוטלת בגלל האופן שבו אנו חווים את העולם בעידן המרשתת והרשתות החברתיו</w:t>
      </w:r>
      <w:r w:rsidR="00DE1589" w:rsidRPr="0089780F">
        <w:rPr>
          <w:rFonts w:cs="David" w:hint="cs"/>
          <w:b/>
          <w:bCs/>
          <w:sz w:val="28"/>
          <w:szCs w:val="28"/>
          <w:rtl/>
        </w:rPr>
        <w:t>ת</w:t>
      </w:r>
      <w:r w:rsidR="00DE1589">
        <w:rPr>
          <w:rFonts w:cs="David" w:hint="cs"/>
          <w:sz w:val="28"/>
          <w:szCs w:val="28"/>
          <w:rtl/>
        </w:rPr>
        <w:t>. רבים מאתרי המרשתת ושירותי הדואר האלקטרוני משתמשים במנגנונים ממוחשבים, שמנסים לעשות סדר בעודף המידע הקיים במרשתת וברשתות החברתיות. 'גוגל', למשל, משתמשת ביותר ממאתיים 'רכיבים אישיים' בקביעת תוצאות החיפוש שלה.</w:t>
      </w:r>
      <w:r w:rsidR="00DE1589">
        <w:rPr>
          <w:rStyle w:val="a5"/>
          <w:rFonts w:cs="David"/>
          <w:sz w:val="28"/>
          <w:szCs w:val="28"/>
          <w:rtl/>
        </w:rPr>
        <w:footnoteReference w:id="51"/>
      </w:r>
      <w:r w:rsidR="00DE1589">
        <w:rPr>
          <w:rFonts w:cs="David" w:hint="cs"/>
          <w:sz w:val="28"/>
          <w:szCs w:val="28"/>
          <w:rtl/>
        </w:rPr>
        <w:t xml:space="preserve"> כתוצאה מכך </w:t>
      </w:r>
      <w:r w:rsidR="00DE1589" w:rsidRPr="0089780F">
        <w:rPr>
          <w:rFonts w:cs="David" w:hint="cs"/>
          <w:b/>
          <w:bCs/>
          <w:sz w:val="28"/>
          <w:szCs w:val="28"/>
          <w:rtl/>
        </w:rPr>
        <w:t>מנוע החיפוש אינו מציג תוצאות מידע גנריות, אלא מתאים לכל משתמש רשום מידע רלוונטי אליו וזאת בחלקיק השנייה</w:t>
      </w:r>
      <w:r w:rsidR="00DE1589">
        <w:rPr>
          <w:rFonts w:cs="David" w:hint="cs"/>
          <w:sz w:val="28"/>
          <w:szCs w:val="28"/>
          <w:rtl/>
        </w:rPr>
        <w:t>. כך למשל, חובב ספורט</w:t>
      </w:r>
      <w:r w:rsidR="000129C1">
        <w:rPr>
          <w:rFonts w:cs="David" w:hint="cs"/>
          <w:sz w:val="28"/>
          <w:szCs w:val="28"/>
          <w:rtl/>
        </w:rPr>
        <w:t>,</w:t>
      </w:r>
      <w:r w:rsidR="00DE1589">
        <w:rPr>
          <w:rFonts w:cs="David" w:hint="cs"/>
          <w:sz w:val="28"/>
          <w:szCs w:val="28"/>
          <w:rtl/>
        </w:rPr>
        <w:t xml:space="preserve"> אשר יקיש את המילה 'גולף' יקבל תוצאות חיפוש על המשחק ואדם המתעניין בכלי רכב יקבל תוצאות לגבי חיפוש מכונית מסוג 'גולף'. </w:t>
      </w:r>
    </w:p>
    <w:p w:rsidR="00DE1589" w:rsidRDefault="00DE1589" w:rsidP="00FE467B">
      <w:pPr>
        <w:spacing w:line="360" w:lineRule="auto"/>
        <w:jc w:val="both"/>
        <w:rPr>
          <w:rFonts w:cs="David"/>
          <w:sz w:val="28"/>
          <w:szCs w:val="28"/>
          <w:rtl/>
        </w:rPr>
      </w:pPr>
      <w:r>
        <w:rPr>
          <w:rFonts w:cs="David" w:hint="cs"/>
          <w:sz w:val="28"/>
          <w:szCs w:val="28"/>
          <w:rtl/>
        </w:rPr>
        <w:t xml:space="preserve">לא רק 'גוגל' נוהגת כך. גם 'פייסבוק' </w:t>
      </w:r>
      <w:r w:rsidRPr="00320F00">
        <w:rPr>
          <w:rFonts w:cs="David" w:hint="cs"/>
          <w:sz w:val="28"/>
          <w:szCs w:val="28"/>
          <w:rtl/>
        </w:rPr>
        <w:t>וגם ענק</w:t>
      </w:r>
      <w:r w:rsidR="00D16CA2" w:rsidRPr="00320F00">
        <w:rPr>
          <w:rFonts w:cs="David" w:hint="cs"/>
          <w:sz w:val="28"/>
          <w:szCs w:val="28"/>
          <w:rtl/>
        </w:rPr>
        <w:t>ית</w:t>
      </w:r>
      <w:r>
        <w:rPr>
          <w:rFonts w:cs="David" w:hint="cs"/>
          <w:sz w:val="28"/>
          <w:szCs w:val="28"/>
          <w:rtl/>
        </w:rPr>
        <w:t xml:space="preserve"> הקמעונות המקוונת, 'אמזון', כמו גם רשתות חברתיות וקמעוניות נוספות משתמשות באלגוריתם דומה, כדי לסנן מידע העומד בניגוד להעדפותיו האישיות של הגולש</w:t>
      </w:r>
      <w:r w:rsidRPr="003D1FDA">
        <w:rPr>
          <w:rFonts w:cs="David" w:hint="cs"/>
          <w:b/>
          <w:bCs/>
          <w:sz w:val="28"/>
          <w:szCs w:val="28"/>
          <w:rtl/>
        </w:rPr>
        <w:t>. ההמלצות הממוקדות, שמופיעות בעת הגלישה של כל אחת ואחד, נקבעות על פי הרגלי הגלישה והיסטוריית החיפושים של הגולשים בעבר.</w:t>
      </w:r>
      <w:r>
        <w:rPr>
          <w:rStyle w:val="a5"/>
          <w:rFonts w:cs="David"/>
          <w:sz w:val="28"/>
          <w:szCs w:val="28"/>
          <w:rtl/>
        </w:rPr>
        <w:footnoteReference w:id="52"/>
      </w:r>
      <w:r>
        <w:rPr>
          <w:rFonts w:cs="David" w:hint="cs"/>
          <w:sz w:val="28"/>
          <w:szCs w:val="28"/>
          <w:rtl/>
        </w:rPr>
        <w:t xml:space="preserve"> אם למשל, 'אמזון' מגלה שאנחנו מתעניינים במוצר מסוים, נקבל רק את אותו מוצר ואם 'פייסבוק' תבין שאנחנו מתעניינים בנושא מסוים, בהתאם יוצג בפני ה</w:t>
      </w:r>
      <w:r w:rsidRPr="00025A4E">
        <w:rPr>
          <w:rFonts w:cs="David"/>
          <w:sz w:val="28"/>
          <w:szCs w:val="28"/>
          <w:rtl/>
        </w:rPr>
        <w:t xml:space="preserve">גולש רק </w:t>
      </w:r>
      <w:r>
        <w:rPr>
          <w:rFonts w:cs="David" w:hint="cs"/>
          <w:sz w:val="28"/>
          <w:szCs w:val="28"/>
          <w:rtl/>
        </w:rPr>
        <w:t>ה</w:t>
      </w:r>
      <w:r w:rsidRPr="00025A4E">
        <w:rPr>
          <w:rFonts w:cs="David"/>
          <w:sz w:val="28"/>
          <w:szCs w:val="28"/>
          <w:rtl/>
        </w:rPr>
        <w:t>מידע</w:t>
      </w:r>
      <w:r>
        <w:rPr>
          <w:rFonts w:cs="David" w:hint="cs"/>
          <w:sz w:val="28"/>
          <w:szCs w:val="28"/>
          <w:rtl/>
        </w:rPr>
        <w:t>,</w:t>
      </w:r>
      <w:r w:rsidRPr="00025A4E">
        <w:rPr>
          <w:rFonts w:cs="David"/>
          <w:sz w:val="28"/>
          <w:szCs w:val="28"/>
          <w:rtl/>
        </w:rPr>
        <w:t xml:space="preserve"> אשר קיים סיכוי גבוה כי יעורר עניין בהתבסס על העדפות</w:t>
      </w:r>
      <w:r>
        <w:rPr>
          <w:rFonts w:cs="David" w:hint="cs"/>
          <w:sz w:val="28"/>
          <w:szCs w:val="28"/>
          <w:rtl/>
        </w:rPr>
        <w:t>יו בעבר.</w:t>
      </w:r>
    </w:p>
    <w:p w:rsidR="00DE1589" w:rsidRDefault="00DE1589" w:rsidP="00F119A4">
      <w:pPr>
        <w:spacing w:line="360" w:lineRule="auto"/>
        <w:jc w:val="both"/>
        <w:rPr>
          <w:rFonts w:cs="David"/>
          <w:sz w:val="28"/>
          <w:szCs w:val="28"/>
          <w:rtl/>
        </w:rPr>
      </w:pPr>
      <w:r>
        <w:rPr>
          <w:rFonts w:cs="David" w:hint="cs"/>
          <w:sz w:val="28"/>
          <w:szCs w:val="28"/>
          <w:rtl/>
        </w:rPr>
        <w:t xml:space="preserve">מבלי משים </w:t>
      </w:r>
      <w:r w:rsidRPr="00731CA1">
        <w:rPr>
          <w:rFonts w:cs="David" w:hint="cs"/>
          <w:b/>
          <w:bCs/>
          <w:sz w:val="28"/>
          <w:szCs w:val="28"/>
          <w:rtl/>
        </w:rPr>
        <w:t>אנחנו מתכווצים לבועות קטנות של מידע רשתי</w:t>
      </w:r>
      <w:r>
        <w:rPr>
          <w:rFonts w:cs="David" w:hint="cs"/>
          <w:sz w:val="28"/>
          <w:szCs w:val="28"/>
          <w:rtl/>
        </w:rPr>
        <w:t>, שגבולותיהן נקבעות על ידי אלגוריתמים מסובכים. המתנגד החריף ביותר לתופעה זו, ושגם נתן לתופעה את השם 'בועת הפילטר' הינו פעיל רשת אמריקאי בשם אלי פאריסר, אשר גם כתב ספר בנושא.</w:t>
      </w:r>
      <w:r>
        <w:rPr>
          <w:rStyle w:val="a5"/>
          <w:rFonts w:cs="David"/>
          <w:sz w:val="28"/>
          <w:szCs w:val="28"/>
          <w:rtl/>
        </w:rPr>
        <w:footnoteReference w:id="53"/>
      </w:r>
    </w:p>
    <w:p w:rsidR="00A0177E" w:rsidRDefault="00DE1589" w:rsidP="00A0177E">
      <w:pPr>
        <w:spacing w:line="360" w:lineRule="auto"/>
        <w:jc w:val="both"/>
        <w:rPr>
          <w:rFonts w:cs="David"/>
          <w:sz w:val="28"/>
          <w:szCs w:val="28"/>
          <w:rtl/>
        </w:rPr>
      </w:pPr>
      <w:r>
        <w:rPr>
          <w:rFonts w:cs="David" w:hint="cs"/>
          <w:sz w:val="28"/>
          <w:szCs w:val="28"/>
          <w:rtl/>
        </w:rPr>
        <w:t xml:space="preserve">בראיון טלפוני שהעניק פאריסר, בשנת 2011, לקונדר ליאור, ציין הראשון כי לאחר ששנים שאל את עצמו כיצד המרשתת יכולה להפוך את העולם לדמוקרטי יותר הוא גילה, </w:t>
      </w:r>
      <w:r w:rsidRPr="00FB49CB">
        <w:rPr>
          <w:rFonts w:cs="David" w:hint="cs"/>
          <w:b/>
          <w:bCs/>
          <w:sz w:val="28"/>
          <w:szCs w:val="28"/>
          <w:rtl/>
        </w:rPr>
        <w:t>שבמקום לקדם את האנושות, הסינון האוטומטי הגביל את ההתפתחות של המרשתת ובעצם את כולנו</w:t>
      </w:r>
      <w:r>
        <w:rPr>
          <w:rFonts w:cs="David" w:hint="cs"/>
          <w:sz w:val="28"/>
          <w:szCs w:val="28"/>
          <w:rtl/>
        </w:rPr>
        <w:t>.</w:t>
      </w:r>
    </w:p>
    <w:p w:rsidR="00DE1589" w:rsidRDefault="00DE1589" w:rsidP="00A0177E">
      <w:pPr>
        <w:spacing w:line="360" w:lineRule="auto"/>
        <w:jc w:val="both"/>
        <w:rPr>
          <w:rFonts w:cs="David"/>
          <w:sz w:val="28"/>
          <w:szCs w:val="28"/>
          <w:rtl/>
        </w:rPr>
      </w:pPr>
      <w:r>
        <w:rPr>
          <w:rFonts w:cs="David" w:hint="cs"/>
          <w:sz w:val="28"/>
          <w:szCs w:val="28"/>
          <w:rtl/>
        </w:rPr>
        <w:t>לטענת פאריסר</w:t>
      </w:r>
      <w:r w:rsidR="00A0177E">
        <w:rPr>
          <w:rFonts w:cs="David" w:hint="cs"/>
          <w:sz w:val="28"/>
          <w:szCs w:val="28"/>
          <w:rtl/>
        </w:rPr>
        <w:t>:</w:t>
      </w:r>
      <w:r>
        <w:rPr>
          <w:rStyle w:val="a5"/>
          <w:rFonts w:cs="David"/>
          <w:sz w:val="28"/>
          <w:szCs w:val="28"/>
          <w:rtl/>
        </w:rPr>
        <w:footnoteReference w:id="54"/>
      </w:r>
      <w:r>
        <w:rPr>
          <w:rFonts w:cs="David" w:hint="cs"/>
          <w:sz w:val="28"/>
          <w:szCs w:val="28"/>
          <w:rtl/>
        </w:rPr>
        <w:t xml:space="preserve"> </w:t>
      </w:r>
    </w:p>
    <w:p w:rsidR="00DE1589" w:rsidRPr="00C26B28" w:rsidRDefault="00DE1589" w:rsidP="00F119A4">
      <w:pPr>
        <w:spacing w:line="360" w:lineRule="auto"/>
        <w:ind w:left="720"/>
        <w:jc w:val="both"/>
        <w:rPr>
          <w:rFonts w:cs="David"/>
          <w:sz w:val="24"/>
          <w:szCs w:val="24"/>
          <w:rtl/>
        </w:rPr>
      </w:pPr>
      <w:r w:rsidRPr="00C26B28">
        <w:rPr>
          <w:rFonts w:cs="David" w:hint="cs"/>
          <w:sz w:val="24"/>
          <w:szCs w:val="24"/>
          <w:rtl/>
        </w:rPr>
        <w:t>הא</w:t>
      </w:r>
      <w:r w:rsidRPr="00C26B28">
        <w:rPr>
          <w:rFonts w:cs="David"/>
          <w:sz w:val="24"/>
          <w:szCs w:val="24"/>
          <w:rtl/>
        </w:rPr>
        <w:t>תרים מנסים להראות דברים שאנחנו רוצים לראות, או לפחות את מה שהאתרים חושבים שאנחנו רוצים לראות</w:t>
      </w:r>
      <w:r w:rsidRPr="00C26B28">
        <w:rPr>
          <w:rFonts w:cs="David" w:hint="cs"/>
          <w:sz w:val="24"/>
          <w:szCs w:val="24"/>
          <w:rtl/>
        </w:rPr>
        <w:t xml:space="preserve">. </w:t>
      </w:r>
      <w:r w:rsidRPr="00C26B28">
        <w:rPr>
          <w:rFonts w:cs="David"/>
          <w:sz w:val="24"/>
          <w:szCs w:val="24"/>
          <w:rtl/>
        </w:rPr>
        <w:t xml:space="preserve">כתוצאה מכך אנחנו לא רואים את מה שחשוב. אתה לא </w:t>
      </w:r>
      <w:r w:rsidRPr="00C26B28">
        <w:rPr>
          <w:rFonts w:cs="David"/>
          <w:sz w:val="24"/>
          <w:szCs w:val="24"/>
          <w:rtl/>
        </w:rPr>
        <w:lastRenderedPageBreak/>
        <w:t xml:space="preserve">מקבל את התמונה המלאה, אלא את העולם מנקודת המבט שלך. קשה לפרוץ ולראות את מה שקורה מחוץ לנקודת המבט הזאת. כיום אנשים נחשפים לחדשות דרך </w:t>
      </w:r>
      <w:r w:rsidRPr="00C26B28">
        <w:rPr>
          <w:rFonts w:cs="David" w:hint="cs"/>
          <w:sz w:val="24"/>
          <w:szCs w:val="24"/>
          <w:rtl/>
        </w:rPr>
        <w:t>'</w:t>
      </w:r>
      <w:r w:rsidRPr="00C26B28">
        <w:rPr>
          <w:rFonts w:cs="David"/>
          <w:sz w:val="24"/>
          <w:szCs w:val="24"/>
          <w:rtl/>
        </w:rPr>
        <w:t>פייסבוק</w:t>
      </w:r>
      <w:r w:rsidRPr="00C26B28">
        <w:rPr>
          <w:rFonts w:cs="David" w:hint="cs"/>
          <w:sz w:val="24"/>
          <w:szCs w:val="24"/>
          <w:rtl/>
        </w:rPr>
        <w:t>'</w:t>
      </w:r>
      <w:r w:rsidRPr="00C26B28">
        <w:rPr>
          <w:rFonts w:cs="David"/>
          <w:sz w:val="24"/>
          <w:szCs w:val="24"/>
          <w:rtl/>
        </w:rPr>
        <w:t>, ואתרי החדשות מקבלים כמות עצומה של גולשים</w:t>
      </w:r>
      <w:r w:rsidRPr="00C26B28">
        <w:rPr>
          <w:rFonts w:cs="David" w:hint="cs"/>
          <w:sz w:val="24"/>
          <w:szCs w:val="24"/>
          <w:rtl/>
        </w:rPr>
        <w:t xml:space="preserve"> </w:t>
      </w:r>
      <w:r w:rsidRPr="00C26B28">
        <w:rPr>
          <w:rFonts w:cs="David"/>
          <w:sz w:val="24"/>
          <w:szCs w:val="24"/>
          <w:rtl/>
        </w:rPr>
        <w:t>דרך הרשת החברתית</w:t>
      </w:r>
      <w:r w:rsidRPr="00C26B28">
        <w:rPr>
          <w:rFonts w:cs="David" w:hint="cs"/>
          <w:sz w:val="24"/>
          <w:szCs w:val="24"/>
          <w:rtl/>
        </w:rPr>
        <w:t xml:space="preserve">. </w:t>
      </w:r>
      <w:r w:rsidRPr="00C26B28">
        <w:rPr>
          <w:rFonts w:cs="David"/>
          <w:sz w:val="24"/>
          <w:szCs w:val="24"/>
          <w:rtl/>
        </w:rPr>
        <w:t xml:space="preserve">סיפורים שיזכו להרבה </w:t>
      </w:r>
      <w:r w:rsidRPr="00C26B28">
        <w:rPr>
          <w:rFonts w:cs="David" w:hint="cs"/>
          <w:sz w:val="24"/>
          <w:szCs w:val="24"/>
          <w:rtl/>
        </w:rPr>
        <w:t>'</w:t>
      </w:r>
      <w:r w:rsidRPr="00C26B28">
        <w:rPr>
          <w:rFonts w:cs="David"/>
          <w:sz w:val="24"/>
          <w:szCs w:val="24"/>
          <w:rtl/>
        </w:rPr>
        <w:t>לייקים</w:t>
      </w:r>
      <w:r w:rsidRPr="00C26B28">
        <w:rPr>
          <w:rFonts w:cs="David" w:hint="cs"/>
          <w:sz w:val="24"/>
          <w:szCs w:val="24"/>
          <w:rtl/>
        </w:rPr>
        <w:t xml:space="preserve">' </w:t>
      </w:r>
      <w:r w:rsidRPr="00C26B28">
        <w:rPr>
          <w:rFonts w:cs="David"/>
          <w:sz w:val="24"/>
          <w:szCs w:val="24"/>
          <w:rtl/>
        </w:rPr>
        <w:t xml:space="preserve">יופצו לעוד ועוד גולשים ויקבלו עוד ועוד </w:t>
      </w:r>
      <w:r w:rsidRPr="00C26B28">
        <w:rPr>
          <w:rFonts w:cs="David" w:hint="cs"/>
          <w:sz w:val="24"/>
          <w:szCs w:val="24"/>
          <w:rtl/>
        </w:rPr>
        <w:t>'</w:t>
      </w:r>
      <w:r w:rsidRPr="00C26B28">
        <w:rPr>
          <w:rFonts w:cs="David"/>
          <w:sz w:val="24"/>
          <w:szCs w:val="24"/>
          <w:rtl/>
        </w:rPr>
        <w:t>לייקים</w:t>
      </w:r>
      <w:r w:rsidRPr="00C26B28">
        <w:rPr>
          <w:rFonts w:cs="David" w:hint="cs"/>
          <w:sz w:val="24"/>
          <w:szCs w:val="24"/>
          <w:rtl/>
        </w:rPr>
        <w:t>'</w:t>
      </w:r>
      <w:r w:rsidRPr="00C26B28">
        <w:rPr>
          <w:rFonts w:cs="David"/>
          <w:sz w:val="24"/>
          <w:szCs w:val="24"/>
        </w:rPr>
        <w:t>.</w:t>
      </w:r>
      <w:r w:rsidRPr="00C26B28">
        <w:rPr>
          <w:rFonts w:cs="David" w:hint="cs"/>
          <w:sz w:val="24"/>
          <w:szCs w:val="24"/>
          <w:rtl/>
        </w:rPr>
        <w:t xml:space="preserve"> </w:t>
      </w:r>
    </w:p>
    <w:p w:rsidR="00C26B28" w:rsidRDefault="00DE1589" w:rsidP="00410026">
      <w:pPr>
        <w:spacing w:line="360" w:lineRule="auto"/>
        <w:jc w:val="both"/>
        <w:rPr>
          <w:rFonts w:cs="David"/>
          <w:sz w:val="28"/>
          <w:szCs w:val="28"/>
          <w:rtl/>
        </w:rPr>
      </w:pPr>
      <w:r>
        <w:rPr>
          <w:rFonts w:cs="David" w:hint="cs"/>
          <w:sz w:val="28"/>
          <w:szCs w:val="28"/>
          <w:rtl/>
        </w:rPr>
        <w:t xml:space="preserve">הפתרון של 'פייסבוק' לסינון הכמויות האדירות של המידע, כותב קונדר, הוא האלגוריתם שמסדר לכל משתמש את פרטי המידע הרלוונטיים לו, </w:t>
      </w:r>
      <w:r w:rsidRPr="00177CD6">
        <w:rPr>
          <w:rFonts w:cs="David" w:hint="cs"/>
          <w:b/>
          <w:bCs/>
          <w:sz w:val="28"/>
          <w:szCs w:val="28"/>
          <w:rtl/>
        </w:rPr>
        <w:t>לפי דעתם של מתכנני 'פייסבוק'</w:t>
      </w:r>
      <w:r>
        <w:rPr>
          <w:rFonts w:cs="David" w:hint="cs"/>
          <w:b/>
          <w:bCs/>
          <w:sz w:val="28"/>
          <w:szCs w:val="28"/>
          <w:rtl/>
        </w:rPr>
        <w:t>.</w:t>
      </w:r>
      <w:r w:rsidRPr="004A3F49">
        <w:rPr>
          <w:rStyle w:val="a5"/>
          <w:rFonts w:cs="David"/>
          <w:sz w:val="28"/>
          <w:szCs w:val="28"/>
          <w:rtl/>
        </w:rPr>
        <w:footnoteReference w:id="55"/>
      </w:r>
      <w:r w:rsidRPr="004A3F49">
        <w:rPr>
          <w:rFonts w:cs="David" w:hint="cs"/>
          <w:sz w:val="28"/>
          <w:szCs w:val="28"/>
          <w:rtl/>
        </w:rPr>
        <w:t xml:space="preserve"> </w:t>
      </w:r>
    </w:p>
    <w:p w:rsidR="00DE1589" w:rsidRDefault="00DE1589" w:rsidP="00FA2026">
      <w:pPr>
        <w:spacing w:line="360" w:lineRule="auto"/>
        <w:jc w:val="both"/>
        <w:rPr>
          <w:rFonts w:cs="David"/>
          <w:sz w:val="28"/>
          <w:szCs w:val="28"/>
          <w:rtl/>
        </w:rPr>
      </w:pPr>
      <w:r>
        <w:rPr>
          <w:rFonts w:cs="David" w:hint="cs"/>
          <w:sz w:val="28"/>
          <w:szCs w:val="28"/>
          <w:rtl/>
        </w:rPr>
        <w:t>לדעתו של דניאל רבנר</w:t>
      </w:r>
      <w:r>
        <w:rPr>
          <w:rStyle w:val="a5"/>
          <w:rFonts w:cs="David"/>
          <w:sz w:val="28"/>
          <w:szCs w:val="28"/>
          <w:rtl/>
        </w:rPr>
        <w:footnoteReference w:id="56"/>
      </w:r>
      <w:r>
        <w:rPr>
          <w:rFonts w:cs="David" w:hint="cs"/>
          <w:sz w:val="28"/>
          <w:szCs w:val="28"/>
          <w:rtl/>
        </w:rPr>
        <w:t xml:space="preserve"> הפתרון הזה גורם למשתמשים להיחשף ברשתות החברתיות </w:t>
      </w:r>
      <w:r w:rsidRPr="00672825">
        <w:rPr>
          <w:rFonts w:cs="David" w:hint="cs"/>
          <w:b/>
          <w:bCs/>
          <w:sz w:val="28"/>
          <w:szCs w:val="28"/>
          <w:rtl/>
        </w:rPr>
        <w:t xml:space="preserve">בעיקר לאנשים שהם </w:t>
      </w:r>
      <w:r w:rsidR="00FE29B9">
        <w:rPr>
          <w:rFonts w:cs="David" w:hint="cs"/>
          <w:b/>
          <w:bCs/>
          <w:sz w:val="28"/>
          <w:szCs w:val="28"/>
          <w:rtl/>
        </w:rPr>
        <w:t>כמוהם</w:t>
      </w:r>
      <w:r w:rsidRPr="00672825">
        <w:rPr>
          <w:rFonts w:cs="David" w:hint="cs"/>
          <w:b/>
          <w:bCs/>
          <w:sz w:val="28"/>
          <w:szCs w:val="28"/>
          <w:rtl/>
        </w:rPr>
        <w:t>, עם דעות כמו של</w:t>
      </w:r>
      <w:r w:rsidR="00FE29B9">
        <w:rPr>
          <w:rFonts w:cs="David" w:hint="cs"/>
          <w:b/>
          <w:bCs/>
          <w:sz w:val="28"/>
          <w:szCs w:val="28"/>
          <w:rtl/>
        </w:rPr>
        <w:t>הם</w:t>
      </w:r>
      <w:r w:rsidRPr="00672825">
        <w:rPr>
          <w:rFonts w:cs="David" w:hint="cs"/>
          <w:b/>
          <w:bCs/>
          <w:sz w:val="28"/>
          <w:szCs w:val="28"/>
          <w:rtl/>
        </w:rPr>
        <w:t xml:space="preserve"> וידע שכבר יש ל</w:t>
      </w:r>
      <w:r w:rsidR="00FE29B9" w:rsidRPr="00FE29B9">
        <w:rPr>
          <w:rFonts w:cs="David" w:hint="cs"/>
          <w:b/>
          <w:bCs/>
          <w:sz w:val="28"/>
          <w:szCs w:val="28"/>
          <w:rtl/>
        </w:rPr>
        <w:t>הם</w:t>
      </w:r>
      <w:r>
        <w:rPr>
          <w:rFonts w:cs="David" w:hint="cs"/>
          <w:sz w:val="28"/>
          <w:szCs w:val="28"/>
          <w:rtl/>
        </w:rPr>
        <w:t>. הוא ומרחיב וטוען כי:</w:t>
      </w:r>
    </w:p>
    <w:p w:rsidR="00DE1589" w:rsidRPr="00C26B28" w:rsidRDefault="00DE1589" w:rsidP="00C53601">
      <w:pPr>
        <w:pStyle w:val="NormalWeb"/>
        <w:spacing w:line="360" w:lineRule="auto"/>
        <w:ind w:left="720"/>
        <w:jc w:val="both"/>
        <w:rPr>
          <w:rFonts w:cs="David"/>
        </w:rPr>
      </w:pPr>
      <w:r w:rsidRPr="00C26B28">
        <w:rPr>
          <w:rFonts w:cs="David"/>
        </w:rPr>
        <w:t>On social media, you are exposed to people who are most like you, with the same views and knowledge you already possess. Whatever your opinion is, it is being justified, over and over again online. It feels like EVERYONE agrees with you. Accept for those who don’t, only they are less likely to pop up in your feed.</w:t>
      </w:r>
    </w:p>
    <w:p w:rsidR="00F119A4" w:rsidRPr="004309B7" w:rsidRDefault="00DE1589" w:rsidP="00EA2C78">
      <w:pPr>
        <w:spacing w:line="360" w:lineRule="auto"/>
        <w:jc w:val="both"/>
        <w:rPr>
          <w:rFonts w:cs="David"/>
          <w:b/>
          <w:bCs/>
          <w:sz w:val="28"/>
          <w:szCs w:val="28"/>
          <w:rtl/>
        </w:rPr>
      </w:pPr>
      <w:r>
        <w:rPr>
          <w:rFonts w:cs="David" w:hint="cs"/>
          <w:sz w:val="28"/>
          <w:szCs w:val="28"/>
          <w:rtl/>
        </w:rPr>
        <w:t xml:space="preserve">התוצאה היא, </w:t>
      </w:r>
      <w:r w:rsidR="00EA2C78" w:rsidRPr="00EA2C78">
        <w:rPr>
          <w:rFonts w:cs="David" w:hint="cs"/>
          <w:b/>
          <w:bCs/>
          <w:sz w:val="28"/>
          <w:szCs w:val="28"/>
          <w:rtl/>
        </w:rPr>
        <w:t>ש</w:t>
      </w:r>
      <w:r w:rsidR="00FE29B9">
        <w:rPr>
          <w:rFonts w:cs="David" w:hint="cs"/>
          <w:b/>
          <w:bCs/>
          <w:sz w:val="28"/>
          <w:szCs w:val="28"/>
          <w:rtl/>
        </w:rPr>
        <w:t>המשתמשים</w:t>
      </w:r>
      <w:r w:rsidRPr="00542D93">
        <w:rPr>
          <w:rFonts w:cs="David" w:hint="cs"/>
          <w:b/>
          <w:bCs/>
          <w:sz w:val="28"/>
          <w:szCs w:val="28"/>
          <w:rtl/>
        </w:rPr>
        <w:t xml:space="preserve"> חיים בתחושה כאילו כולם מסכימים </w:t>
      </w:r>
      <w:r w:rsidR="00FE29B9">
        <w:rPr>
          <w:rFonts w:cs="David" w:hint="cs"/>
          <w:b/>
          <w:bCs/>
          <w:sz w:val="28"/>
          <w:szCs w:val="28"/>
          <w:rtl/>
        </w:rPr>
        <w:t>איתם</w:t>
      </w:r>
      <w:r w:rsidRPr="00542D93">
        <w:rPr>
          <w:rFonts w:cs="David" w:hint="cs"/>
          <w:b/>
          <w:bCs/>
          <w:sz w:val="28"/>
          <w:szCs w:val="28"/>
          <w:rtl/>
        </w:rPr>
        <w:t xml:space="preserve"> וכך נוצר "אנחנו" ו"הם". </w:t>
      </w:r>
      <w:r w:rsidRPr="00EA2C78">
        <w:rPr>
          <w:rFonts w:cs="David" w:hint="cs"/>
          <w:sz w:val="28"/>
          <w:szCs w:val="28"/>
          <w:rtl/>
        </w:rPr>
        <w:t>אלו שמסכימים עם דעת</w:t>
      </w:r>
      <w:r w:rsidR="00FE29B9" w:rsidRPr="00EA2C78">
        <w:rPr>
          <w:rFonts w:cs="David" w:hint="cs"/>
          <w:sz w:val="28"/>
          <w:szCs w:val="28"/>
          <w:rtl/>
        </w:rPr>
        <w:t>ם</w:t>
      </w:r>
      <w:r w:rsidRPr="00EA2C78">
        <w:rPr>
          <w:rFonts w:cs="David" w:hint="cs"/>
          <w:sz w:val="28"/>
          <w:szCs w:val="28"/>
          <w:rtl/>
        </w:rPr>
        <w:t xml:space="preserve"> ואלו שלא.</w:t>
      </w:r>
      <w:r w:rsidRPr="00542D93">
        <w:rPr>
          <w:rFonts w:cs="David" w:hint="cs"/>
          <w:b/>
          <w:bCs/>
          <w:sz w:val="28"/>
          <w:szCs w:val="28"/>
          <w:rtl/>
        </w:rPr>
        <w:t xml:space="preserve"> כך נולד פילוג, ככה</w:t>
      </w:r>
      <w:r w:rsidRPr="004D40CB">
        <w:rPr>
          <w:rFonts w:cs="David" w:hint="cs"/>
          <w:b/>
          <w:bCs/>
          <w:sz w:val="28"/>
          <w:szCs w:val="28"/>
          <w:rtl/>
        </w:rPr>
        <w:t xml:space="preserve"> נולדים דיאלוגים טעונים, רטוריקה מוקצנת</w:t>
      </w:r>
      <w:r w:rsidR="00A001F7">
        <w:rPr>
          <w:rFonts w:cs="David" w:hint="cs"/>
          <w:b/>
          <w:bCs/>
          <w:sz w:val="28"/>
          <w:szCs w:val="28"/>
          <w:rtl/>
        </w:rPr>
        <w:t xml:space="preserve">, </w:t>
      </w:r>
      <w:r w:rsidR="002D0B7F">
        <w:rPr>
          <w:rFonts w:cs="David" w:hint="cs"/>
          <w:b/>
          <w:bCs/>
          <w:sz w:val="28"/>
          <w:szCs w:val="28"/>
          <w:rtl/>
        </w:rPr>
        <w:t>פוגענ</w:t>
      </w:r>
      <w:r w:rsidR="00A001F7">
        <w:rPr>
          <w:rFonts w:cs="David" w:hint="cs"/>
          <w:b/>
          <w:bCs/>
          <w:sz w:val="28"/>
          <w:szCs w:val="28"/>
          <w:rtl/>
        </w:rPr>
        <w:t xml:space="preserve">ית </w:t>
      </w:r>
      <w:r w:rsidRPr="004D40CB">
        <w:rPr>
          <w:rFonts w:cs="David" w:hint="cs"/>
          <w:b/>
          <w:bCs/>
          <w:sz w:val="28"/>
          <w:szCs w:val="28"/>
          <w:rtl/>
        </w:rPr>
        <w:t>ואלימ</w:t>
      </w:r>
      <w:r w:rsidR="00A001F7">
        <w:rPr>
          <w:rFonts w:cs="David" w:hint="cs"/>
          <w:b/>
          <w:bCs/>
          <w:sz w:val="28"/>
          <w:szCs w:val="28"/>
          <w:rtl/>
        </w:rPr>
        <w:t>ה</w:t>
      </w:r>
      <w:r w:rsidRPr="004D40CB">
        <w:rPr>
          <w:rFonts w:cs="David" w:hint="cs"/>
          <w:b/>
          <w:bCs/>
          <w:sz w:val="28"/>
          <w:szCs w:val="28"/>
          <w:rtl/>
        </w:rPr>
        <w:t>.</w:t>
      </w:r>
      <w:r w:rsidRPr="00DA4DA0">
        <w:rPr>
          <w:rStyle w:val="a5"/>
          <w:rFonts w:cs="David"/>
          <w:sz w:val="28"/>
          <w:szCs w:val="28"/>
          <w:rtl/>
        </w:rPr>
        <w:footnoteReference w:id="57"/>
      </w:r>
      <w:r w:rsidR="00FA2026">
        <w:rPr>
          <w:rFonts w:cs="David" w:hint="cs"/>
          <w:b/>
          <w:bCs/>
          <w:sz w:val="28"/>
          <w:szCs w:val="28"/>
          <w:rtl/>
        </w:rPr>
        <w:t xml:space="preserve"> </w:t>
      </w:r>
      <w:r w:rsidRPr="004309B7">
        <w:rPr>
          <w:rFonts w:cs="David" w:hint="cs"/>
          <w:b/>
          <w:bCs/>
          <w:sz w:val="28"/>
          <w:szCs w:val="28"/>
          <w:rtl/>
        </w:rPr>
        <w:t xml:space="preserve">מכאן </w:t>
      </w:r>
      <w:r w:rsidR="00FA5D14">
        <w:rPr>
          <w:rFonts w:cs="David" w:hint="cs"/>
          <w:b/>
          <w:bCs/>
          <w:sz w:val="28"/>
          <w:szCs w:val="28"/>
          <w:rtl/>
        </w:rPr>
        <w:t xml:space="preserve">קצרה </w:t>
      </w:r>
      <w:r w:rsidRPr="004309B7">
        <w:rPr>
          <w:rFonts w:cs="David" w:hint="cs"/>
          <w:b/>
          <w:bCs/>
          <w:sz w:val="28"/>
          <w:szCs w:val="28"/>
          <w:rtl/>
        </w:rPr>
        <w:t>הדרך לשיח שנאה, להסתה לגזענות ולאלימות ואף לטרור כנגד 'האחר'</w:t>
      </w:r>
      <w:r w:rsidR="00FA5D14">
        <w:rPr>
          <w:rFonts w:cs="David" w:hint="cs"/>
          <w:b/>
          <w:bCs/>
          <w:sz w:val="28"/>
          <w:szCs w:val="28"/>
          <w:rtl/>
        </w:rPr>
        <w:t>.</w:t>
      </w:r>
      <w:r w:rsidRPr="004309B7">
        <w:rPr>
          <w:rFonts w:cs="David" w:hint="cs"/>
          <w:b/>
          <w:bCs/>
          <w:sz w:val="28"/>
          <w:szCs w:val="28"/>
          <w:rtl/>
        </w:rPr>
        <w:t xml:space="preserve"> </w:t>
      </w:r>
    </w:p>
    <w:p w:rsidR="00C53601" w:rsidRDefault="00DE1589" w:rsidP="007759A2">
      <w:pPr>
        <w:spacing w:line="360" w:lineRule="auto"/>
        <w:jc w:val="both"/>
        <w:rPr>
          <w:rFonts w:ascii="Times New Roman" w:eastAsia="Times New Roman" w:hAnsi="Times New Roman" w:cs="David"/>
          <w:sz w:val="24"/>
          <w:szCs w:val="24"/>
          <w:rtl/>
        </w:rPr>
      </w:pPr>
      <w:r>
        <w:rPr>
          <w:rFonts w:cs="David" w:hint="cs"/>
          <w:sz w:val="28"/>
          <w:szCs w:val="28"/>
          <w:rtl/>
        </w:rPr>
        <w:t>בשאלה מדוע נוהגים כך בעלי האתרים ישנה הסכמה</w:t>
      </w:r>
      <w:r w:rsidR="00FA108C">
        <w:rPr>
          <w:rFonts w:cs="David" w:hint="cs"/>
          <w:sz w:val="28"/>
          <w:szCs w:val="28"/>
          <w:rtl/>
        </w:rPr>
        <w:t xml:space="preserve"> בקרב החוקרים</w:t>
      </w:r>
      <w:r>
        <w:rPr>
          <w:rFonts w:cs="David" w:hint="cs"/>
          <w:sz w:val="28"/>
          <w:szCs w:val="28"/>
          <w:rtl/>
        </w:rPr>
        <w:t xml:space="preserve">. </w:t>
      </w:r>
      <w:r w:rsidRPr="0064144B">
        <w:rPr>
          <w:rFonts w:cs="David" w:hint="cs"/>
          <w:b/>
          <w:bCs/>
          <w:sz w:val="28"/>
          <w:szCs w:val="28"/>
          <w:rtl/>
        </w:rPr>
        <w:t xml:space="preserve">כסף. הם רוצים </w:t>
      </w:r>
      <w:r w:rsidR="007759A2">
        <w:rPr>
          <w:rFonts w:cs="David" w:hint="cs"/>
          <w:b/>
          <w:bCs/>
          <w:sz w:val="28"/>
          <w:szCs w:val="28"/>
          <w:rtl/>
        </w:rPr>
        <w:t>את המשתמשים באזור הנוחות,</w:t>
      </w:r>
      <w:r w:rsidRPr="0064144B">
        <w:rPr>
          <w:rFonts w:cs="David" w:hint="cs"/>
          <w:b/>
          <w:bCs/>
          <w:sz w:val="28"/>
          <w:szCs w:val="28"/>
          <w:rtl/>
        </w:rPr>
        <w:t xml:space="preserve"> לטובת מימוש האינטרסים הכלכליים שלהם</w:t>
      </w:r>
      <w:r>
        <w:rPr>
          <w:rFonts w:cs="David" w:hint="cs"/>
          <w:sz w:val="28"/>
          <w:szCs w:val="28"/>
          <w:rtl/>
        </w:rPr>
        <w:t>. ככל שהמשתמשים יהיו  בסביבה אוהדת, כך הם יהיו פנויים יותר רגשית לאמצעי הפרסום והשיווק, שכאמור, מותאמים אישית לכל אחד מהמשתמשים. או כמו שמסכם זאת רבנר:</w:t>
      </w:r>
      <w:r>
        <w:rPr>
          <w:rStyle w:val="a5"/>
          <w:rFonts w:cs="David"/>
          <w:sz w:val="28"/>
          <w:szCs w:val="28"/>
          <w:rtl/>
        </w:rPr>
        <w:footnoteReference w:id="58"/>
      </w:r>
      <w:r>
        <w:rPr>
          <w:rFonts w:cs="David" w:hint="cs"/>
          <w:sz w:val="28"/>
          <w:szCs w:val="28"/>
          <w:rtl/>
        </w:rPr>
        <w:t xml:space="preserve"> </w:t>
      </w:r>
    </w:p>
    <w:p w:rsidR="00DE1589" w:rsidRPr="00C26B28" w:rsidRDefault="00DE1589" w:rsidP="0043247C">
      <w:pPr>
        <w:spacing w:line="360" w:lineRule="auto"/>
        <w:ind w:left="737" w:right="283"/>
        <w:jc w:val="right"/>
        <w:rPr>
          <w:rFonts w:ascii="Times New Roman" w:eastAsia="Times New Roman" w:hAnsi="Times New Roman" w:cs="David"/>
          <w:sz w:val="24"/>
          <w:szCs w:val="24"/>
          <w:rtl/>
        </w:rPr>
      </w:pPr>
      <w:r w:rsidRPr="00C26B28">
        <w:rPr>
          <w:rFonts w:ascii="Times New Roman" w:eastAsia="Times New Roman" w:hAnsi="Times New Roman" w:cs="David" w:hint="cs"/>
          <w:sz w:val="24"/>
          <w:szCs w:val="24"/>
        </w:rPr>
        <w:lastRenderedPageBreak/>
        <w:t>T</w:t>
      </w:r>
      <w:r w:rsidRPr="00C26B28">
        <w:rPr>
          <w:rFonts w:ascii="Times New Roman" w:eastAsia="Times New Roman" w:hAnsi="Times New Roman" w:cs="David"/>
          <w:sz w:val="24"/>
          <w:szCs w:val="24"/>
        </w:rPr>
        <w:t xml:space="preserve">he gateways to the information are commercial entities, and their choices </w:t>
      </w:r>
      <w:r w:rsidRPr="00C26B28">
        <w:rPr>
          <w:rFonts w:ascii="Times New Roman" w:eastAsia="Times New Roman" w:hAnsi="Times New Roman" w:cs="David"/>
          <w:b/>
          <w:bCs/>
          <w:sz w:val="24"/>
          <w:szCs w:val="24"/>
        </w:rPr>
        <w:t>are aimed at maximizing profit</w:t>
      </w:r>
      <w:r w:rsidRPr="00C26B28">
        <w:rPr>
          <w:rFonts w:ascii="Times New Roman" w:eastAsia="Times New Roman" w:hAnsi="Times New Roman" w:cs="David"/>
          <w:sz w:val="24"/>
          <w:szCs w:val="24"/>
        </w:rPr>
        <w:t>. I don’t criticize them for being what they are, but there is a price to pay as a society. We have lost our perspective…</w:t>
      </w:r>
    </w:p>
    <w:p w:rsidR="00DE1589" w:rsidRPr="00731CE3" w:rsidRDefault="00D806F7" w:rsidP="00A0177E">
      <w:pPr>
        <w:spacing w:line="360" w:lineRule="auto"/>
        <w:jc w:val="both"/>
        <w:rPr>
          <w:rFonts w:cs="David"/>
          <w:b/>
          <w:bCs/>
          <w:sz w:val="28"/>
          <w:szCs w:val="28"/>
          <w:rtl/>
        </w:rPr>
      </w:pPr>
      <w:r>
        <w:rPr>
          <w:rFonts w:cs="David" w:hint="cs"/>
          <w:sz w:val="28"/>
          <w:szCs w:val="28"/>
          <w:rtl/>
        </w:rPr>
        <w:t>ניתן לראות אם כן</w:t>
      </w:r>
      <w:r w:rsidR="00410026">
        <w:rPr>
          <w:rFonts w:cs="David" w:hint="cs"/>
          <w:sz w:val="28"/>
          <w:szCs w:val="28"/>
          <w:rtl/>
        </w:rPr>
        <w:t xml:space="preserve">, </w:t>
      </w:r>
      <w:r>
        <w:rPr>
          <w:rFonts w:cs="David" w:hint="cs"/>
          <w:sz w:val="28"/>
          <w:szCs w:val="28"/>
          <w:rtl/>
        </w:rPr>
        <w:t xml:space="preserve">כי </w:t>
      </w:r>
      <w:r w:rsidR="00410026">
        <w:rPr>
          <w:rFonts w:cs="David" w:hint="cs"/>
          <w:sz w:val="28"/>
          <w:szCs w:val="28"/>
          <w:rtl/>
        </w:rPr>
        <w:t xml:space="preserve">המהפכה הטכנולוגית-דיגיטלית </w:t>
      </w:r>
      <w:r w:rsidR="003C29E9">
        <w:rPr>
          <w:rFonts w:cs="David" w:hint="cs"/>
          <w:sz w:val="28"/>
          <w:szCs w:val="28"/>
          <w:rtl/>
        </w:rPr>
        <w:t xml:space="preserve">לצד האינטרסים הכלכליים הברורים של החברות הפרטיות </w:t>
      </w:r>
      <w:r w:rsidR="00410026">
        <w:rPr>
          <w:rFonts w:cs="David" w:hint="cs"/>
          <w:sz w:val="28"/>
          <w:szCs w:val="28"/>
          <w:rtl/>
        </w:rPr>
        <w:t>יצר</w:t>
      </w:r>
      <w:r w:rsidR="003C29E9">
        <w:rPr>
          <w:rFonts w:cs="David" w:hint="cs"/>
          <w:sz w:val="28"/>
          <w:szCs w:val="28"/>
          <w:rtl/>
        </w:rPr>
        <w:t>ו</w:t>
      </w:r>
      <w:r w:rsidR="00410026">
        <w:rPr>
          <w:rFonts w:cs="David" w:hint="cs"/>
          <w:sz w:val="28"/>
          <w:szCs w:val="28"/>
          <w:rtl/>
        </w:rPr>
        <w:t xml:space="preserve"> כלי בידי בעלי האתרים וספקיות המרשתת, שיש בו </w:t>
      </w:r>
      <w:r w:rsidR="003C29E9">
        <w:rPr>
          <w:rFonts w:cs="David" w:hint="cs"/>
          <w:sz w:val="28"/>
          <w:szCs w:val="28"/>
          <w:rtl/>
        </w:rPr>
        <w:t xml:space="preserve">כדי </w:t>
      </w:r>
      <w:r w:rsidR="00410026" w:rsidRPr="00D806F7">
        <w:rPr>
          <w:rFonts w:cs="David" w:hint="cs"/>
          <w:b/>
          <w:bCs/>
          <w:sz w:val="28"/>
          <w:szCs w:val="28"/>
          <w:rtl/>
        </w:rPr>
        <w:t>להשפיע דרמטית (אולי אף לקבוע), על המידע והדעות אליהם נחשפים המשתמשים</w:t>
      </w:r>
      <w:r w:rsidR="003C29E9" w:rsidRPr="00D806F7">
        <w:rPr>
          <w:rFonts w:cs="David" w:hint="cs"/>
          <w:b/>
          <w:bCs/>
          <w:sz w:val="28"/>
          <w:szCs w:val="28"/>
          <w:rtl/>
        </w:rPr>
        <w:t xml:space="preserve">, </w:t>
      </w:r>
      <w:r w:rsidR="00410026" w:rsidRPr="00D806F7">
        <w:rPr>
          <w:rFonts w:cs="David" w:hint="cs"/>
          <w:b/>
          <w:bCs/>
          <w:sz w:val="28"/>
          <w:szCs w:val="28"/>
          <w:rtl/>
        </w:rPr>
        <w:t>ולא זאת בלבד, אלא גם על האופן בו הם חווים זאת.</w:t>
      </w:r>
      <w:r>
        <w:rPr>
          <w:rFonts w:cs="David" w:hint="cs"/>
          <w:sz w:val="28"/>
          <w:szCs w:val="28"/>
          <w:rtl/>
        </w:rPr>
        <w:t xml:space="preserve"> </w:t>
      </w:r>
      <w:r w:rsidR="00410026">
        <w:rPr>
          <w:rFonts w:cs="David" w:hint="cs"/>
          <w:sz w:val="28"/>
          <w:szCs w:val="28"/>
          <w:rtl/>
        </w:rPr>
        <w:t xml:space="preserve">בכך </w:t>
      </w:r>
      <w:r w:rsidR="00410026" w:rsidRPr="002D0B7F">
        <w:rPr>
          <w:rFonts w:cs="David" w:hint="cs"/>
          <w:sz w:val="28"/>
          <w:szCs w:val="28"/>
          <w:rtl/>
        </w:rPr>
        <w:t xml:space="preserve">נוצר סוג של 'אחוות שותפים' לעמדה או </w:t>
      </w:r>
      <w:r w:rsidR="00A0177E">
        <w:rPr>
          <w:rFonts w:cs="David" w:hint="cs"/>
          <w:sz w:val="28"/>
          <w:szCs w:val="28"/>
          <w:rtl/>
        </w:rPr>
        <w:t>ל</w:t>
      </w:r>
      <w:r w:rsidR="00410026" w:rsidRPr="002D0B7F">
        <w:rPr>
          <w:rFonts w:cs="David" w:hint="cs"/>
          <w:sz w:val="28"/>
          <w:szCs w:val="28"/>
          <w:rtl/>
        </w:rPr>
        <w:t xml:space="preserve">דעה בקרב המשתמשים, </w:t>
      </w:r>
      <w:r w:rsidR="00410026" w:rsidRPr="00731CE3">
        <w:rPr>
          <w:rFonts w:cs="David" w:hint="cs"/>
          <w:b/>
          <w:bCs/>
          <w:sz w:val="28"/>
          <w:szCs w:val="28"/>
          <w:rtl/>
        </w:rPr>
        <w:t xml:space="preserve">אשר </w:t>
      </w:r>
      <w:r w:rsidR="009F3257" w:rsidRPr="00731CE3">
        <w:rPr>
          <w:rFonts w:cs="David" w:hint="cs"/>
          <w:b/>
          <w:bCs/>
          <w:sz w:val="28"/>
          <w:szCs w:val="28"/>
          <w:rtl/>
        </w:rPr>
        <w:t xml:space="preserve">עלולה </w:t>
      </w:r>
      <w:r w:rsidR="003C29E9" w:rsidRPr="00731CE3">
        <w:rPr>
          <w:rFonts w:cs="David" w:hint="cs"/>
          <w:b/>
          <w:bCs/>
          <w:sz w:val="28"/>
          <w:szCs w:val="28"/>
          <w:rtl/>
        </w:rPr>
        <w:t>להביא להתלהמות כנגד מי שאינו באותה 'אחווה' ואינו שותף לאותן דעות ועמדות המשותפות</w:t>
      </w:r>
      <w:r w:rsidR="003C29E9" w:rsidRPr="00A0177E">
        <w:rPr>
          <w:rFonts w:cs="David" w:hint="cs"/>
          <w:b/>
          <w:bCs/>
          <w:sz w:val="28"/>
          <w:szCs w:val="28"/>
          <w:rtl/>
        </w:rPr>
        <w:t>.</w:t>
      </w:r>
      <w:r w:rsidR="002D0B7F" w:rsidRPr="00A0177E">
        <w:rPr>
          <w:rFonts w:cs="David" w:hint="cs"/>
          <w:b/>
          <w:bCs/>
          <w:sz w:val="28"/>
          <w:szCs w:val="28"/>
          <w:rtl/>
        </w:rPr>
        <w:t xml:space="preserve"> זהו </w:t>
      </w:r>
      <w:r w:rsidR="00A0177E" w:rsidRPr="00A0177E">
        <w:rPr>
          <w:rFonts w:cs="David" w:hint="cs"/>
          <w:b/>
          <w:bCs/>
          <w:sz w:val="28"/>
          <w:szCs w:val="28"/>
          <w:rtl/>
        </w:rPr>
        <w:t xml:space="preserve">גם </w:t>
      </w:r>
      <w:r w:rsidR="002D0B7F" w:rsidRPr="00A0177E">
        <w:rPr>
          <w:rFonts w:cs="David" w:hint="cs"/>
          <w:b/>
          <w:bCs/>
          <w:sz w:val="28"/>
          <w:szCs w:val="28"/>
          <w:rtl/>
        </w:rPr>
        <w:t>המצע המאפשר את השיח הגזעני והמסית</w:t>
      </w:r>
      <w:r w:rsidR="00A0177E" w:rsidRPr="00A0177E">
        <w:rPr>
          <w:rFonts w:cs="David" w:hint="cs"/>
          <w:b/>
          <w:bCs/>
          <w:sz w:val="28"/>
          <w:szCs w:val="28"/>
          <w:rtl/>
        </w:rPr>
        <w:t xml:space="preserve"> כנגד 'האחר'.</w:t>
      </w:r>
    </w:p>
    <w:p w:rsidR="003C29E9" w:rsidRDefault="00B6770B" w:rsidP="00D04E18">
      <w:pPr>
        <w:spacing w:line="360" w:lineRule="auto"/>
        <w:jc w:val="both"/>
        <w:rPr>
          <w:rFonts w:cs="David"/>
          <w:sz w:val="28"/>
          <w:szCs w:val="28"/>
          <w:rtl/>
        </w:rPr>
      </w:pPr>
      <w:r w:rsidRPr="002C783A">
        <w:rPr>
          <w:rFonts w:cs="David" w:hint="cs"/>
          <w:sz w:val="28"/>
          <w:szCs w:val="28"/>
          <w:rtl/>
        </w:rPr>
        <w:t xml:space="preserve">לאחר </w:t>
      </w:r>
      <w:r w:rsidR="000D7B10" w:rsidRPr="002C783A">
        <w:rPr>
          <w:rFonts w:cs="David" w:hint="cs"/>
          <w:sz w:val="28"/>
          <w:szCs w:val="28"/>
          <w:rtl/>
        </w:rPr>
        <w:t>ש</w:t>
      </w:r>
      <w:r w:rsidR="002419D2" w:rsidRPr="002C783A">
        <w:rPr>
          <w:rFonts w:cs="David" w:hint="cs"/>
          <w:sz w:val="28"/>
          <w:szCs w:val="28"/>
          <w:rtl/>
        </w:rPr>
        <w:t>הובהר</w:t>
      </w:r>
      <w:r w:rsidR="0094584B" w:rsidRPr="002C783A">
        <w:rPr>
          <w:rFonts w:cs="David" w:hint="cs"/>
          <w:sz w:val="28"/>
          <w:szCs w:val="28"/>
          <w:rtl/>
        </w:rPr>
        <w:t>ה</w:t>
      </w:r>
      <w:r w:rsidR="002419D2" w:rsidRPr="002C783A">
        <w:rPr>
          <w:rFonts w:cs="David" w:hint="cs"/>
          <w:sz w:val="28"/>
          <w:szCs w:val="28"/>
          <w:rtl/>
        </w:rPr>
        <w:t xml:space="preserve"> </w:t>
      </w:r>
      <w:r w:rsidR="0094584B" w:rsidRPr="002C783A">
        <w:rPr>
          <w:rFonts w:cs="David" w:hint="cs"/>
          <w:sz w:val="28"/>
          <w:szCs w:val="28"/>
          <w:rtl/>
        </w:rPr>
        <w:t>הזיקה בין ה</w:t>
      </w:r>
      <w:r w:rsidR="001456FA" w:rsidRPr="002C783A">
        <w:rPr>
          <w:rFonts w:cs="David" w:hint="cs"/>
          <w:sz w:val="28"/>
          <w:szCs w:val="28"/>
          <w:rtl/>
        </w:rPr>
        <w:t>מאפיינים הייחודיים ו</w:t>
      </w:r>
      <w:r w:rsidR="0094584B" w:rsidRPr="002C783A">
        <w:rPr>
          <w:rFonts w:cs="David" w:hint="cs"/>
          <w:sz w:val="28"/>
          <w:szCs w:val="28"/>
          <w:rtl/>
        </w:rPr>
        <w:t>ה</w:t>
      </w:r>
      <w:r w:rsidR="001456FA" w:rsidRPr="002C783A">
        <w:rPr>
          <w:rFonts w:cs="David" w:hint="cs"/>
          <w:sz w:val="28"/>
          <w:szCs w:val="28"/>
          <w:rtl/>
        </w:rPr>
        <w:t>אינטרסים הכלכליים</w:t>
      </w:r>
      <w:r w:rsidR="00787718" w:rsidRPr="002C783A">
        <w:rPr>
          <w:rFonts w:cs="David" w:hint="cs"/>
          <w:sz w:val="28"/>
          <w:szCs w:val="28"/>
          <w:rtl/>
        </w:rPr>
        <w:t xml:space="preserve"> </w:t>
      </w:r>
      <w:r w:rsidR="002278A2" w:rsidRPr="002C783A">
        <w:rPr>
          <w:rFonts w:cs="David" w:hint="cs"/>
          <w:sz w:val="28"/>
          <w:szCs w:val="28"/>
          <w:rtl/>
        </w:rPr>
        <w:t>ו</w:t>
      </w:r>
      <w:r w:rsidR="00787718" w:rsidRPr="002C783A">
        <w:rPr>
          <w:rFonts w:cs="David" w:hint="cs"/>
          <w:sz w:val="28"/>
          <w:szCs w:val="28"/>
          <w:rtl/>
        </w:rPr>
        <w:t xml:space="preserve">תופעת </w:t>
      </w:r>
      <w:r w:rsidR="002419D2" w:rsidRPr="002C783A">
        <w:rPr>
          <w:rFonts w:cs="David" w:hint="cs"/>
          <w:sz w:val="28"/>
          <w:szCs w:val="28"/>
          <w:rtl/>
        </w:rPr>
        <w:t>ההסתה לגזענות ולאלימות</w:t>
      </w:r>
      <w:r w:rsidRPr="002C783A">
        <w:rPr>
          <w:rFonts w:cs="David" w:hint="cs"/>
          <w:sz w:val="28"/>
          <w:szCs w:val="28"/>
          <w:rtl/>
        </w:rPr>
        <w:t>, יש</w:t>
      </w:r>
      <w:r>
        <w:rPr>
          <w:rFonts w:cs="David" w:hint="cs"/>
          <w:sz w:val="28"/>
          <w:szCs w:val="28"/>
          <w:rtl/>
        </w:rPr>
        <w:t xml:space="preserve"> לבחון </w:t>
      </w:r>
      <w:r w:rsidR="002C783A">
        <w:rPr>
          <w:rFonts w:cs="David" w:hint="cs"/>
          <w:sz w:val="28"/>
          <w:szCs w:val="28"/>
          <w:rtl/>
        </w:rPr>
        <w:t>את המתח שמתקיים בין החופש לומר הכול לבין הצורך להגביל אמירות פוגעניות</w:t>
      </w:r>
      <w:r w:rsidR="007D0B52">
        <w:rPr>
          <w:rFonts w:cs="David" w:hint="cs"/>
          <w:sz w:val="28"/>
          <w:szCs w:val="28"/>
          <w:rtl/>
        </w:rPr>
        <w:t xml:space="preserve"> ב'אחר', כגון כאלו ה</w:t>
      </w:r>
      <w:r w:rsidR="002C783A">
        <w:rPr>
          <w:rFonts w:cs="David" w:hint="cs"/>
          <w:sz w:val="28"/>
          <w:szCs w:val="28"/>
          <w:rtl/>
        </w:rPr>
        <w:t>מסיתות ל</w:t>
      </w:r>
      <w:r w:rsidR="007D0B52">
        <w:rPr>
          <w:rFonts w:cs="David" w:hint="cs"/>
          <w:sz w:val="28"/>
          <w:szCs w:val="28"/>
          <w:rtl/>
        </w:rPr>
        <w:t>גזענות ול</w:t>
      </w:r>
      <w:r w:rsidR="002C783A">
        <w:rPr>
          <w:rFonts w:cs="David" w:hint="cs"/>
          <w:sz w:val="28"/>
          <w:szCs w:val="28"/>
          <w:rtl/>
        </w:rPr>
        <w:t xml:space="preserve">אלימות. לשם כך, תיבחן </w:t>
      </w:r>
      <w:r>
        <w:rPr>
          <w:rFonts w:cs="David" w:hint="cs"/>
          <w:sz w:val="28"/>
          <w:szCs w:val="28"/>
          <w:rtl/>
        </w:rPr>
        <w:t>ההתייחסות המשפטית לתופעה חדשה זו</w:t>
      </w:r>
      <w:r w:rsidR="00CA155E">
        <w:rPr>
          <w:rFonts w:cs="David" w:hint="cs"/>
          <w:sz w:val="28"/>
          <w:szCs w:val="28"/>
          <w:rtl/>
        </w:rPr>
        <w:t>,</w:t>
      </w:r>
      <w:r>
        <w:rPr>
          <w:rFonts w:cs="David" w:hint="cs"/>
          <w:sz w:val="28"/>
          <w:szCs w:val="28"/>
          <w:rtl/>
        </w:rPr>
        <w:t xml:space="preserve"> </w:t>
      </w:r>
      <w:r w:rsidR="004362DC">
        <w:rPr>
          <w:rFonts w:cs="David" w:hint="cs"/>
          <w:sz w:val="28"/>
          <w:szCs w:val="28"/>
          <w:rtl/>
        </w:rPr>
        <w:t xml:space="preserve">וכיצד מחילים המחוקק ובית המשפט </w:t>
      </w:r>
      <w:r w:rsidR="00736887">
        <w:rPr>
          <w:rFonts w:cs="David" w:hint="cs"/>
          <w:sz w:val="28"/>
          <w:szCs w:val="28"/>
          <w:rtl/>
        </w:rPr>
        <w:t xml:space="preserve">העליון </w:t>
      </w:r>
      <w:r w:rsidR="004362DC">
        <w:rPr>
          <w:rFonts w:cs="David" w:hint="cs"/>
          <w:sz w:val="28"/>
          <w:szCs w:val="28"/>
          <w:rtl/>
        </w:rPr>
        <w:t xml:space="preserve">את עקרונותיהם </w:t>
      </w:r>
      <w:r w:rsidR="00352770">
        <w:rPr>
          <w:rFonts w:cs="David" w:hint="cs"/>
          <w:sz w:val="28"/>
          <w:szCs w:val="28"/>
          <w:rtl/>
        </w:rPr>
        <w:t xml:space="preserve">ותפיסותיהם </w:t>
      </w:r>
      <w:r w:rsidR="004362DC">
        <w:rPr>
          <w:rFonts w:cs="David" w:hint="cs"/>
          <w:sz w:val="28"/>
          <w:szCs w:val="28"/>
          <w:rtl/>
        </w:rPr>
        <w:t>בנוגע להסתה לגזענות ולאלימות</w:t>
      </w:r>
      <w:r w:rsidR="00352770">
        <w:rPr>
          <w:rFonts w:cs="David" w:hint="cs"/>
          <w:sz w:val="28"/>
          <w:szCs w:val="28"/>
          <w:rtl/>
        </w:rPr>
        <w:t>,</w:t>
      </w:r>
      <w:r w:rsidR="004362DC">
        <w:rPr>
          <w:rFonts w:cs="David" w:hint="cs"/>
          <w:sz w:val="28"/>
          <w:szCs w:val="28"/>
          <w:rtl/>
        </w:rPr>
        <w:t xml:space="preserve"> לאורך שנות קיומה של המדינה.</w:t>
      </w:r>
    </w:p>
    <w:p w:rsidR="001F3102" w:rsidRDefault="001F3102" w:rsidP="003438FD">
      <w:pPr>
        <w:spacing w:line="360" w:lineRule="auto"/>
        <w:jc w:val="both"/>
        <w:rPr>
          <w:rFonts w:cs="David"/>
          <w:b/>
          <w:bCs/>
          <w:sz w:val="36"/>
          <w:szCs w:val="36"/>
          <w:rtl/>
        </w:rPr>
      </w:pPr>
    </w:p>
    <w:p w:rsidR="00E934C2" w:rsidRDefault="00E934C2" w:rsidP="003438FD">
      <w:pPr>
        <w:spacing w:line="360" w:lineRule="auto"/>
        <w:jc w:val="both"/>
        <w:rPr>
          <w:rFonts w:cs="David"/>
          <w:b/>
          <w:bCs/>
          <w:sz w:val="36"/>
          <w:szCs w:val="36"/>
          <w:rtl/>
        </w:rPr>
      </w:pPr>
    </w:p>
    <w:p w:rsidR="00E934C2" w:rsidRDefault="00E934C2" w:rsidP="003438FD">
      <w:pPr>
        <w:spacing w:line="360" w:lineRule="auto"/>
        <w:jc w:val="both"/>
        <w:rPr>
          <w:rFonts w:cs="David"/>
          <w:b/>
          <w:bCs/>
          <w:sz w:val="36"/>
          <w:szCs w:val="36"/>
          <w:rtl/>
        </w:rPr>
      </w:pPr>
    </w:p>
    <w:p w:rsidR="00E934C2" w:rsidRDefault="00E934C2" w:rsidP="003438FD">
      <w:pPr>
        <w:spacing w:line="360" w:lineRule="auto"/>
        <w:jc w:val="both"/>
        <w:rPr>
          <w:rFonts w:cs="David"/>
          <w:b/>
          <w:bCs/>
          <w:sz w:val="36"/>
          <w:szCs w:val="36"/>
          <w:rtl/>
        </w:rPr>
      </w:pPr>
    </w:p>
    <w:p w:rsidR="00E934C2" w:rsidRDefault="00E934C2" w:rsidP="003438FD">
      <w:pPr>
        <w:spacing w:line="360" w:lineRule="auto"/>
        <w:jc w:val="both"/>
        <w:rPr>
          <w:rFonts w:cs="David"/>
          <w:b/>
          <w:bCs/>
          <w:sz w:val="36"/>
          <w:szCs w:val="36"/>
          <w:rtl/>
        </w:rPr>
      </w:pPr>
    </w:p>
    <w:p w:rsidR="00E934C2" w:rsidRDefault="00E934C2" w:rsidP="003438FD">
      <w:pPr>
        <w:spacing w:line="360" w:lineRule="auto"/>
        <w:jc w:val="both"/>
        <w:rPr>
          <w:rFonts w:cs="David"/>
          <w:b/>
          <w:bCs/>
          <w:sz w:val="36"/>
          <w:szCs w:val="36"/>
          <w:rtl/>
        </w:rPr>
      </w:pPr>
    </w:p>
    <w:p w:rsidR="0016210B" w:rsidRDefault="0016210B" w:rsidP="003438FD">
      <w:pPr>
        <w:spacing w:line="360" w:lineRule="auto"/>
        <w:jc w:val="both"/>
        <w:rPr>
          <w:rFonts w:cs="David"/>
          <w:b/>
          <w:bCs/>
          <w:sz w:val="36"/>
          <w:szCs w:val="36"/>
          <w:rtl/>
        </w:rPr>
      </w:pPr>
    </w:p>
    <w:p w:rsidR="00E41E66" w:rsidRDefault="00E41E66" w:rsidP="00AB3B39">
      <w:pPr>
        <w:spacing w:line="360" w:lineRule="auto"/>
        <w:jc w:val="both"/>
        <w:rPr>
          <w:rFonts w:cs="David"/>
          <w:b/>
          <w:bCs/>
          <w:sz w:val="36"/>
          <w:szCs w:val="36"/>
          <w:rtl/>
        </w:rPr>
      </w:pPr>
    </w:p>
    <w:p w:rsidR="00E41E66" w:rsidRDefault="00E41E66" w:rsidP="00AB3B39">
      <w:pPr>
        <w:spacing w:line="360" w:lineRule="auto"/>
        <w:jc w:val="both"/>
        <w:rPr>
          <w:rFonts w:cs="David"/>
          <w:b/>
          <w:bCs/>
          <w:sz w:val="36"/>
          <w:szCs w:val="36"/>
          <w:rtl/>
        </w:rPr>
      </w:pPr>
    </w:p>
    <w:p w:rsidR="00B30552" w:rsidRDefault="00EB36F2" w:rsidP="00AB3B39">
      <w:pPr>
        <w:spacing w:line="360" w:lineRule="auto"/>
        <w:jc w:val="both"/>
        <w:rPr>
          <w:rFonts w:cs="David"/>
          <w:b/>
          <w:bCs/>
          <w:color w:val="44546A" w:themeColor="text2"/>
          <w:sz w:val="36"/>
          <w:szCs w:val="36"/>
          <w:rtl/>
        </w:rPr>
      </w:pPr>
      <w:r>
        <w:rPr>
          <w:rFonts w:cs="David" w:hint="cs"/>
          <w:b/>
          <w:bCs/>
          <w:sz w:val="36"/>
          <w:szCs w:val="36"/>
          <w:rtl/>
        </w:rPr>
        <w:lastRenderedPageBreak/>
        <w:t xml:space="preserve">פרק שני - </w:t>
      </w:r>
      <w:r w:rsidR="003438FD">
        <w:rPr>
          <w:rFonts w:cs="David" w:hint="cs"/>
          <w:b/>
          <w:bCs/>
          <w:sz w:val="36"/>
          <w:szCs w:val="36"/>
          <w:rtl/>
        </w:rPr>
        <w:t xml:space="preserve">חופש הביטוי ועבירות ההסתה לגזענות ולאלימות </w:t>
      </w:r>
      <w:r w:rsidR="003438FD">
        <w:rPr>
          <w:rFonts w:cs="David"/>
          <w:b/>
          <w:bCs/>
          <w:sz w:val="36"/>
          <w:szCs w:val="36"/>
          <w:rtl/>
        </w:rPr>
        <w:t>–</w:t>
      </w:r>
      <w:r w:rsidR="003438FD">
        <w:rPr>
          <w:rFonts w:cs="David" w:hint="cs"/>
          <w:b/>
          <w:bCs/>
          <w:sz w:val="36"/>
          <w:szCs w:val="36"/>
          <w:rtl/>
        </w:rPr>
        <w:t xml:space="preserve"> מתחים וגבולות</w:t>
      </w:r>
    </w:p>
    <w:p w:rsidR="00225942" w:rsidRDefault="003B5FFF" w:rsidP="001A7E2F">
      <w:pPr>
        <w:spacing w:line="360" w:lineRule="auto"/>
        <w:jc w:val="both"/>
        <w:rPr>
          <w:rFonts w:cs="David"/>
          <w:sz w:val="28"/>
          <w:szCs w:val="28"/>
          <w:rtl/>
        </w:rPr>
      </w:pPr>
      <w:r>
        <w:rPr>
          <w:rFonts w:cs="David" w:hint="cs"/>
          <w:sz w:val="28"/>
          <w:szCs w:val="28"/>
          <w:rtl/>
        </w:rPr>
        <w:t xml:space="preserve">בפרק זה תסקור העבודה את התפתחות </w:t>
      </w:r>
      <w:r w:rsidR="00F83D37">
        <w:rPr>
          <w:rFonts w:cs="David" w:hint="cs"/>
          <w:sz w:val="28"/>
          <w:szCs w:val="28"/>
          <w:rtl/>
        </w:rPr>
        <w:t xml:space="preserve">ההיסטורית </w:t>
      </w:r>
      <w:r w:rsidR="00EC624C">
        <w:rPr>
          <w:rFonts w:cs="David" w:hint="cs"/>
          <w:sz w:val="28"/>
          <w:szCs w:val="28"/>
          <w:rtl/>
        </w:rPr>
        <w:t>של מעמד חופש הביטוי בישראל לאורך שנות קיומה, כדי להדגיש את המתח הקיים בינו ובין אינטרסים וערכים אחרים המוגנים באיסורים הפליליים</w:t>
      </w:r>
      <w:r w:rsidR="00225942">
        <w:rPr>
          <w:rFonts w:cs="David" w:hint="cs"/>
          <w:sz w:val="28"/>
          <w:szCs w:val="28"/>
          <w:rtl/>
        </w:rPr>
        <w:t xml:space="preserve"> שבחוק העונשין. לאחר מכן, </w:t>
      </w:r>
      <w:r w:rsidR="00336E11">
        <w:rPr>
          <w:rFonts w:cs="David" w:hint="cs"/>
          <w:sz w:val="28"/>
          <w:szCs w:val="28"/>
          <w:rtl/>
        </w:rPr>
        <w:t xml:space="preserve">ייבחנו </w:t>
      </w:r>
      <w:r w:rsidR="00EC624C">
        <w:rPr>
          <w:rFonts w:cs="David" w:hint="cs"/>
          <w:sz w:val="28"/>
          <w:szCs w:val="28"/>
          <w:rtl/>
        </w:rPr>
        <w:t xml:space="preserve">לעומק עבירות </w:t>
      </w:r>
      <w:r w:rsidR="00225942">
        <w:rPr>
          <w:rFonts w:cs="David" w:hint="cs"/>
          <w:sz w:val="28"/>
          <w:szCs w:val="28"/>
          <w:rtl/>
        </w:rPr>
        <w:t xml:space="preserve">ההסתה לגזענות ולאלימות, </w:t>
      </w:r>
      <w:r w:rsidR="00225942" w:rsidRPr="00E322F5">
        <w:rPr>
          <w:rFonts w:cs="David" w:hint="cs"/>
          <w:b/>
          <w:bCs/>
          <w:sz w:val="28"/>
          <w:szCs w:val="28"/>
          <w:rtl/>
        </w:rPr>
        <w:t xml:space="preserve">כמקרה פרטני של </w:t>
      </w:r>
      <w:r w:rsidR="00711B16" w:rsidRPr="00E322F5">
        <w:rPr>
          <w:rFonts w:cs="David" w:hint="cs"/>
          <w:b/>
          <w:bCs/>
          <w:sz w:val="28"/>
          <w:szCs w:val="28"/>
          <w:rtl/>
        </w:rPr>
        <w:t>אותם איסורים פליליים שבחוק</w:t>
      </w:r>
      <w:r w:rsidR="00225942">
        <w:rPr>
          <w:rFonts w:cs="David" w:hint="cs"/>
          <w:sz w:val="28"/>
          <w:szCs w:val="28"/>
          <w:rtl/>
        </w:rPr>
        <w:t>, תוך תיאור התפתחות החקיקה בעבירות אלו והפרשנות הקיימת בפסיקה ובספרות המשפטית בנוגע ליסוד העובדתי והנפשי</w:t>
      </w:r>
      <w:r w:rsidR="00711B16">
        <w:rPr>
          <w:rFonts w:cs="David" w:hint="cs"/>
          <w:sz w:val="28"/>
          <w:szCs w:val="28"/>
          <w:rtl/>
        </w:rPr>
        <w:t xml:space="preserve"> בכל אחת מ</w:t>
      </w:r>
      <w:r w:rsidR="00E322F5">
        <w:rPr>
          <w:rFonts w:cs="David" w:hint="cs"/>
          <w:sz w:val="28"/>
          <w:szCs w:val="28"/>
          <w:rtl/>
        </w:rPr>
        <w:t>ה</w:t>
      </w:r>
      <w:r w:rsidR="00225942">
        <w:rPr>
          <w:rFonts w:cs="David" w:hint="cs"/>
          <w:sz w:val="28"/>
          <w:szCs w:val="28"/>
          <w:rtl/>
        </w:rPr>
        <w:t>עבירות</w:t>
      </w:r>
      <w:r w:rsidR="00711B16">
        <w:rPr>
          <w:rFonts w:cs="David" w:hint="cs"/>
          <w:sz w:val="28"/>
          <w:szCs w:val="28"/>
          <w:rtl/>
        </w:rPr>
        <w:t xml:space="preserve"> </w:t>
      </w:r>
      <w:r w:rsidR="00E322F5">
        <w:rPr>
          <w:rFonts w:cs="David" w:hint="cs"/>
          <w:sz w:val="28"/>
          <w:szCs w:val="28"/>
          <w:rtl/>
        </w:rPr>
        <w:t>הללו</w:t>
      </w:r>
      <w:r w:rsidR="00225942">
        <w:rPr>
          <w:rFonts w:cs="David" w:hint="cs"/>
          <w:sz w:val="28"/>
          <w:szCs w:val="28"/>
          <w:rtl/>
        </w:rPr>
        <w:t xml:space="preserve">. </w:t>
      </w:r>
    </w:p>
    <w:p w:rsidR="00EC624C" w:rsidRDefault="00225942" w:rsidP="001A7E2F">
      <w:pPr>
        <w:spacing w:line="360" w:lineRule="auto"/>
        <w:jc w:val="both"/>
        <w:rPr>
          <w:rFonts w:cs="David"/>
          <w:sz w:val="28"/>
          <w:szCs w:val="28"/>
          <w:rtl/>
        </w:rPr>
      </w:pPr>
      <w:r>
        <w:rPr>
          <w:rFonts w:cs="David" w:hint="cs"/>
          <w:sz w:val="28"/>
          <w:szCs w:val="28"/>
          <w:rtl/>
        </w:rPr>
        <w:t xml:space="preserve">בשלב </w:t>
      </w:r>
      <w:r w:rsidR="00711B16">
        <w:rPr>
          <w:rFonts w:cs="David" w:hint="cs"/>
          <w:sz w:val="28"/>
          <w:szCs w:val="28"/>
          <w:rtl/>
        </w:rPr>
        <w:t>הבא</w:t>
      </w:r>
      <w:r w:rsidR="005E044F">
        <w:rPr>
          <w:rFonts w:cs="David" w:hint="cs"/>
          <w:sz w:val="28"/>
          <w:szCs w:val="28"/>
          <w:rtl/>
        </w:rPr>
        <w:t xml:space="preserve">, </w:t>
      </w:r>
      <w:r>
        <w:rPr>
          <w:rFonts w:cs="David" w:hint="cs"/>
          <w:sz w:val="28"/>
          <w:szCs w:val="28"/>
          <w:rtl/>
        </w:rPr>
        <w:t>לאחר ש</w:t>
      </w:r>
      <w:r w:rsidR="009816C3">
        <w:rPr>
          <w:rFonts w:cs="David" w:hint="cs"/>
          <w:sz w:val="28"/>
          <w:szCs w:val="28"/>
          <w:rtl/>
        </w:rPr>
        <w:t>י</w:t>
      </w:r>
      <w:r>
        <w:rPr>
          <w:rFonts w:cs="David" w:hint="cs"/>
          <w:sz w:val="28"/>
          <w:szCs w:val="28"/>
          <w:rtl/>
        </w:rPr>
        <w:t>וצגו המתחים בין חופש הביטוי לאינטרסים וערכים אחרים ולאחר ש</w:t>
      </w:r>
      <w:r w:rsidR="009816C3">
        <w:rPr>
          <w:rFonts w:cs="David" w:hint="cs"/>
          <w:sz w:val="28"/>
          <w:szCs w:val="28"/>
          <w:rtl/>
        </w:rPr>
        <w:t>י</w:t>
      </w:r>
      <w:r>
        <w:rPr>
          <w:rFonts w:cs="David" w:hint="cs"/>
          <w:sz w:val="28"/>
          <w:szCs w:val="28"/>
          <w:rtl/>
        </w:rPr>
        <w:t xml:space="preserve">נותחו </w:t>
      </w:r>
      <w:r w:rsidR="009816C3">
        <w:rPr>
          <w:rFonts w:cs="David" w:hint="cs"/>
          <w:sz w:val="28"/>
          <w:szCs w:val="28"/>
          <w:rtl/>
        </w:rPr>
        <w:t>ה</w:t>
      </w:r>
      <w:r>
        <w:rPr>
          <w:rFonts w:cs="David" w:hint="cs"/>
          <w:sz w:val="28"/>
          <w:szCs w:val="28"/>
          <w:rtl/>
        </w:rPr>
        <w:t>עבירות הספציפיות של ההסתה לגזענות ולאלימות</w:t>
      </w:r>
      <w:r w:rsidR="00890AE8">
        <w:rPr>
          <w:rFonts w:cs="David" w:hint="cs"/>
          <w:sz w:val="28"/>
          <w:szCs w:val="28"/>
          <w:rtl/>
        </w:rPr>
        <w:t>,</w:t>
      </w:r>
      <w:r w:rsidR="005E044F">
        <w:rPr>
          <w:rFonts w:cs="David" w:hint="cs"/>
          <w:sz w:val="28"/>
          <w:szCs w:val="28"/>
          <w:rtl/>
        </w:rPr>
        <w:t xml:space="preserve"> </w:t>
      </w:r>
      <w:r w:rsidR="005E044F" w:rsidRPr="00A551A9">
        <w:rPr>
          <w:rFonts w:cs="David" w:hint="cs"/>
          <w:sz w:val="28"/>
          <w:szCs w:val="28"/>
          <w:rtl/>
        </w:rPr>
        <w:t xml:space="preserve">ובמטרה להצביע על </w:t>
      </w:r>
      <w:r w:rsidR="00890AE8" w:rsidRPr="00A551A9">
        <w:rPr>
          <w:rFonts w:cs="David" w:hint="cs"/>
          <w:sz w:val="28"/>
          <w:szCs w:val="28"/>
          <w:rtl/>
        </w:rPr>
        <w:t xml:space="preserve">הקושי והמורכבות </w:t>
      </w:r>
      <w:r w:rsidR="00F531C4" w:rsidRPr="00A551A9">
        <w:rPr>
          <w:rFonts w:cs="David" w:hint="cs"/>
          <w:sz w:val="28"/>
          <w:szCs w:val="28"/>
          <w:rtl/>
        </w:rPr>
        <w:t xml:space="preserve">הרבה </w:t>
      </w:r>
      <w:r w:rsidR="00890AE8" w:rsidRPr="00A551A9">
        <w:rPr>
          <w:rFonts w:cs="David" w:hint="cs"/>
          <w:sz w:val="28"/>
          <w:szCs w:val="28"/>
          <w:rtl/>
        </w:rPr>
        <w:t>הקיימת בהחלת ה</w:t>
      </w:r>
      <w:r w:rsidR="005E044F" w:rsidRPr="00A551A9">
        <w:rPr>
          <w:rFonts w:cs="David" w:hint="cs"/>
          <w:sz w:val="28"/>
          <w:szCs w:val="28"/>
          <w:rtl/>
        </w:rPr>
        <w:t xml:space="preserve">חוק והמשפט על </w:t>
      </w:r>
      <w:r w:rsidR="00890AE8" w:rsidRPr="00A551A9">
        <w:rPr>
          <w:rFonts w:cs="David" w:hint="cs"/>
          <w:sz w:val="28"/>
          <w:szCs w:val="28"/>
          <w:rtl/>
        </w:rPr>
        <w:t>עבירות ביטוי ו</w:t>
      </w:r>
      <w:r w:rsidR="005E044F" w:rsidRPr="00A551A9">
        <w:rPr>
          <w:rFonts w:cs="David" w:hint="cs"/>
          <w:sz w:val="28"/>
          <w:szCs w:val="28"/>
          <w:rtl/>
        </w:rPr>
        <w:t xml:space="preserve">הסתה בישראל, </w:t>
      </w:r>
      <w:r w:rsidRPr="00A551A9">
        <w:rPr>
          <w:rFonts w:cs="David" w:hint="cs"/>
          <w:sz w:val="28"/>
          <w:szCs w:val="28"/>
          <w:rtl/>
        </w:rPr>
        <w:t xml:space="preserve">תדון העבודה </w:t>
      </w:r>
      <w:r w:rsidR="00F012CD" w:rsidRPr="00A551A9">
        <w:rPr>
          <w:rFonts w:cs="David" w:hint="cs"/>
          <w:sz w:val="28"/>
          <w:szCs w:val="28"/>
          <w:rtl/>
        </w:rPr>
        <w:t xml:space="preserve">באופן ממוקד </w:t>
      </w:r>
      <w:r w:rsidRPr="00A551A9">
        <w:rPr>
          <w:rFonts w:cs="David" w:hint="cs"/>
          <w:sz w:val="28"/>
          <w:szCs w:val="28"/>
          <w:rtl/>
        </w:rPr>
        <w:t>בהתנגש</w:t>
      </w:r>
      <w:r>
        <w:rPr>
          <w:rFonts w:cs="David" w:hint="cs"/>
          <w:sz w:val="28"/>
          <w:szCs w:val="28"/>
          <w:rtl/>
        </w:rPr>
        <w:t xml:space="preserve">ות </w:t>
      </w:r>
      <w:r w:rsidR="00711B16">
        <w:rPr>
          <w:rFonts w:cs="David" w:hint="cs"/>
          <w:sz w:val="28"/>
          <w:szCs w:val="28"/>
          <w:rtl/>
        </w:rPr>
        <w:t xml:space="preserve">ובמתחים </w:t>
      </w:r>
      <w:r>
        <w:rPr>
          <w:rFonts w:cs="David" w:hint="cs"/>
          <w:sz w:val="28"/>
          <w:szCs w:val="28"/>
          <w:rtl/>
        </w:rPr>
        <w:t xml:space="preserve">בין חופש הביטוי ובין </w:t>
      </w:r>
      <w:r w:rsidR="00711B16">
        <w:rPr>
          <w:rFonts w:cs="David" w:hint="cs"/>
          <w:sz w:val="28"/>
          <w:szCs w:val="28"/>
          <w:rtl/>
        </w:rPr>
        <w:t>האיסורים שבעבירות הללו</w:t>
      </w:r>
      <w:r w:rsidR="005E044F">
        <w:rPr>
          <w:rFonts w:cs="David" w:hint="cs"/>
          <w:sz w:val="28"/>
          <w:szCs w:val="28"/>
          <w:rtl/>
        </w:rPr>
        <w:t xml:space="preserve"> </w:t>
      </w:r>
      <w:r w:rsidR="00890AE8">
        <w:rPr>
          <w:rFonts w:cs="David" w:hint="cs"/>
          <w:sz w:val="28"/>
          <w:szCs w:val="28"/>
          <w:rtl/>
        </w:rPr>
        <w:t xml:space="preserve">והערכים המוגנים בהם, </w:t>
      </w:r>
      <w:r w:rsidR="005E044F">
        <w:rPr>
          <w:rFonts w:cs="David" w:hint="cs"/>
          <w:sz w:val="28"/>
          <w:szCs w:val="28"/>
          <w:rtl/>
        </w:rPr>
        <w:t>כפי שהתפתחו בפסיקה לאורך השנים.</w:t>
      </w:r>
    </w:p>
    <w:p w:rsidR="00512C97" w:rsidRDefault="00512C97" w:rsidP="00512C97">
      <w:pPr>
        <w:spacing w:line="360" w:lineRule="auto"/>
        <w:rPr>
          <w:rFonts w:cs="David"/>
          <w:b/>
          <w:bCs/>
          <w:color w:val="0070C0"/>
          <w:sz w:val="32"/>
          <w:szCs w:val="32"/>
          <w:rtl/>
        </w:rPr>
      </w:pPr>
      <w:r>
        <w:rPr>
          <w:rFonts w:cs="David" w:hint="cs"/>
          <w:b/>
          <w:bCs/>
          <w:sz w:val="32"/>
          <w:szCs w:val="32"/>
          <w:rtl/>
        </w:rPr>
        <w:t xml:space="preserve">א. </w:t>
      </w:r>
      <w:r w:rsidRPr="00FE5CFE">
        <w:rPr>
          <w:rFonts w:cs="David" w:hint="cs"/>
          <w:b/>
          <w:bCs/>
          <w:sz w:val="32"/>
          <w:szCs w:val="32"/>
          <w:rtl/>
        </w:rPr>
        <w:t xml:space="preserve">התפתחות מעמד חופש הביטוי במשפט הישראלי </w:t>
      </w:r>
    </w:p>
    <w:p w:rsidR="0006056C" w:rsidRDefault="008D17A7" w:rsidP="001A7E2F">
      <w:pPr>
        <w:spacing w:line="360" w:lineRule="auto"/>
        <w:jc w:val="both"/>
        <w:rPr>
          <w:rFonts w:cs="David"/>
          <w:sz w:val="28"/>
          <w:szCs w:val="28"/>
          <w:rtl/>
        </w:rPr>
      </w:pPr>
      <w:r>
        <w:rPr>
          <w:rFonts w:cs="David" w:hint="cs"/>
          <w:sz w:val="28"/>
          <w:szCs w:val="28"/>
          <w:rtl/>
        </w:rPr>
        <w:t xml:space="preserve">במטרה </w:t>
      </w:r>
      <w:r w:rsidR="0006056C">
        <w:rPr>
          <w:rFonts w:cs="David" w:hint="cs"/>
          <w:sz w:val="28"/>
          <w:szCs w:val="28"/>
          <w:rtl/>
        </w:rPr>
        <w:t>להדגיש את עוצמת ההתנגשות בין חופש הביטוי ובין האינטרסים והערכים המוגנים בעבירות ההסתה לגזענות ולאלימות, ישנה חשיבות לתיאור התפתחותו של מעמד חופש הביטוי במדינת ישראל משנות הקמת המדינה ועד היום.</w:t>
      </w:r>
    </w:p>
    <w:p w:rsidR="00512C97" w:rsidRPr="00FE5CFE" w:rsidRDefault="00512C97" w:rsidP="00512C97">
      <w:pPr>
        <w:spacing w:line="360" w:lineRule="auto"/>
        <w:rPr>
          <w:rFonts w:cs="David"/>
          <w:b/>
          <w:bCs/>
          <w:sz w:val="28"/>
          <w:szCs w:val="28"/>
          <w:rtl/>
        </w:rPr>
      </w:pPr>
      <w:r>
        <w:rPr>
          <w:rFonts w:cs="David" w:hint="cs"/>
          <w:b/>
          <w:bCs/>
          <w:sz w:val="28"/>
          <w:szCs w:val="28"/>
          <w:rtl/>
        </w:rPr>
        <w:t xml:space="preserve">א.1 </w:t>
      </w:r>
      <w:r w:rsidRPr="00FE5CFE">
        <w:rPr>
          <w:rFonts w:cs="David" w:hint="cs"/>
          <w:b/>
          <w:bCs/>
          <w:sz w:val="28"/>
          <w:szCs w:val="28"/>
          <w:rtl/>
        </w:rPr>
        <w:t>מקום המדינה ועד חקיקת חוקי היסוד</w:t>
      </w:r>
      <w:r>
        <w:rPr>
          <w:rFonts w:cs="David" w:hint="cs"/>
          <w:b/>
          <w:bCs/>
          <w:sz w:val="28"/>
          <w:szCs w:val="28"/>
          <w:rtl/>
        </w:rPr>
        <w:t xml:space="preserve"> (1992-1948)</w:t>
      </w:r>
    </w:p>
    <w:p w:rsidR="00512C97" w:rsidRDefault="00512C97" w:rsidP="00512C97">
      <w:pPr>
        <w:spacing w:line="360" w:lineRule="auto"/>
        <w:jc w:val="both"/>
        <w:rPr>
          <w:rFonts w:cs="David"/>
          <w:sz w:val="28"/>
          <w:szCs w:val="28"/>
          <w:rtl/>
        </w:rPr>
      </w:pPr>
      <w:r>
        <w:rPr>
          <w:rFonts w:cs="David" w:hint="cs"/>
          <w:sz w:val="28"/>
          <w:szCs w:val="28"/>
          <w:rtl/>
        </w:rPr>
        <w:t xml:space="preserve">מעמדו המיוחד של חופש הביטוי בחברות דמוקרטיות נגזר ממספר טעמים עיקריים: </w:t>
      </w:r>
      <w:r w:rsidRPr="00EF4B4B">
        <w:rPr>
          <w:rFonts w:cs="David" w:hint="cs"/>
          <w:sz w:val="28"/>
          <w:szCs w:val="28"/>
          <w:rtl/>
        </w:rPr>
        <w:t>האחד, חופש הביטוי מהווה תנאי לקיומה של הדמוקרטיה, שכן אין משמעות לזכות הבחירה אם האפשרויות העומדות לבחירה מצונזרות</w:t>
      </w:r>
      <w:r w:rsidRPr="00EF4B4B">
        <w:rPr>
          <w:rStyle w:val="a5"/>
          <w:rFonts w:cs="David"/>
          <w:sz w:val="28"/>
          <w:szCs w:val="28"/>
          <w:rtl/>
        </w:rPr>
        <w:footnoteReference w:id="59"/>
      </w:r>
      <w:r w:rsidRPr="00EF4B4B">
        <w:rPr>
          <w:rFonts w:cs="David" w:hint="cs"/>
          <w:sz w:val="28"/>
          <w:szCs w:val="28"/>
          <w:rtl/>
        </w:rPr>
        <w:t>. השני, חופש הביטוי תורם לרווחה אישית.</w:t>
      </w:r>
      <w:r w:rsidRPr="00EF4B4B">
        <w:rPr>
          <w:rStyle w:val="a5"/>
          <w:rFonts w:cs="David"/>
          <w:sz w:val="28"/>
          <w:szCs w:val="28"/>
          <w:rtl/>
        </w:rPr>
        <w:footnoteReference w:id="60"/>
      </w:r>
      <w:r w:rsidRPr="00EF4B4B">
        <w:rPr>
          <w:rFonts w:cs="David" w:hint="cs"/>
          <w:sz w:val="28"/>
          <w:szCs w:val="28"/>
          <w:rtl/>
        </w:rPr>
        <w:t xml:space="preserve"> השלישי, חופש הביטוי מסייע בחקר האמת, באמצעות קיומו של שוק חופשי של רעיונות ודעות.</w:t>
      </w:r>
      <w:r w:rsidRPr="00EF4B4B">
        <w:rPr>
          <w:rStyle w:val="a5"/>
          <w:rFonts w:cs="David"/>
          <w:sz w:val="28"/>
          <w:szCs w:val="28"/>
          <w:rtl/>
        </w:rPr>
        <w:footnoteReference w:id="61"/>
      </w:r>
    </w:p>
    <w:p w:rsidR="00512C97" w:rsidRPr="00EF4B4B" w:rsidRDefault="00512C97" w:rsidP="00512C97">
      <w:pPr>
        <w:spacing w:line="360" w:lineRule="auto"/>
        <w:jc w:val="both"/>
        <w:rPr>
          <w:rFonts w:cs="David"/>
          <w:sz w:val="28"/>
          <w:szCs w:val="28"/>
          <w:rtl/>
        </w:rPr>
      </w:pPr>
      <w:r w:rsidRPr="00EF4B4B">
        <w:rPr>
          <w:rFonts w:cs="David" w:hint="cs"/>
          <w:sz w:val="28"/>
          <w:szCs w:val="28"/>
          <w:rtl/>
        </w:rPr>
        <w:lastRenderedPageBreak/>
        <w:t xml:space="preserve">כבר בשנותיה הראשונות של המדינה הוכר חופש הביטוי במשפט הישראלי </w:t>
      </w:r>
      <w:r w:rsidRPr="00EF4B4B">
        <w:rPr>
          <w:rFonts w:cs="David" w:hint="cs"/>
          <w:b/>
          <w:bCs/>
          <w:sz w:val="28"/>
          <w:szCs w:val="28"/>
          <w:rtl/>
        </w:rPr>
        <w:t>כ</w:t>
      </w:r>
      <w:r>
        <w:rPr>
          <w:rFonts w:cs="David" w:hint="cs"/>
          <w:b/>
          <w:bCs/>
          <w:sz w:val="28"/>
          <w:szCs w:val="28"/>
          <w:rtl/>
        </w:rPr>
        <w:t>'</w:t>
      </w:r>
      <w:r w:rsidRPr="00EF4B4B">
        <w:rPr>
          <w:rFonts w:cs="David" w:hint="cs"/>
          <w:b/>
          <w:bCs/>
          <w:sz w:val="28"/>
          <w:szCs w:val="28"/>
          <w:rtl/>
        </w:rPr>
        <w:t>זכות יסוד עילאית</w:t>
      </w:r>
      <w:r>
        <w:rPr>
          <w:rFonts w:cs="David" w:hint="cs"/>
          <w:sz w:val="28"/>
          <w:szCs w:val="28"/>
          <w:rtl/>
        </w:rPr>
        <w:t>'</w:t>
      </w:r>
      <w:r w:rsidRPr="00EF4B4B">
        <w:rPr>
          <w:rFonts w:cs="David" w:hint="cs"/>
          <w:sz w:val="28"/>
          <w:szCs w:val="28"/>
          <w:rtl/>
        </w:rPr>
        <w:t>, אשר "מהווה את התנאי המוקדם למימושן של כמעט כל החרויות האחרות</w:t>
      </w:r>
      <w:r>
        <w:rPr>
          <w:rFonts w:cs="David" w:hint="cs"/>
          <w:sz w:val="28"/>
          <w:szCs w:val="28"/>
          <w:rtl/>
        </w:rPr>
        <w:t>.</w:t>
      </w:r>
      <w:r w:rsidRPr="00EF4B4B">
        <w:rPr>
          <w:rFonts w:cs="David" w:hint="cs"/>
          <w:sz w:val="28"/>
          <w:szCs w:val="28"/>
          <w:rtl/>
        </w:rPr>
        <w:t>"</w:t>
      </w:r>
      <w:r w:rsidRPr="00EF4B4B">
        <w:rPr>
          <w:rStyle w:val="a5"/>
          <w:rFonts w:cs="David"/>
          <w:sz w:val="28"/>
          <w:szCs w:val="28"/>
          <w:rtl/>
        </w:rPr>
        <w:footnoteReference w:id="62"/>
      </w:r>
    </w:p>
    <w:p w:rsidR="00512C97" w:rsidRPr="00EF4B4B" w:rsidRDefault="00512C97" w:rsidP="006C5F67">
      <w:pPr>
        <w:spacing w:line="360" w:lineRule="auto"/>
        <w:jc w:val="both"/>
        <w:rPr>
          <w:rFonts w:cs="David"/>
          <w:sz w:val="28"/>
          <w:szCs w:val="28"/>
          <w:rtl/>
        </w:rPr>
      </w:pPr>
      <w:r>
        <w:rPr>
          <w:rFonts w:cs="David" w:hint="cs"/>
          <w:sz w:val="28"/>
          <w:szCs w:val="28"/>
          <w:rtl/>
        </w:rPr>
        <w:t xml:space="preserve">בהתאם לכך, </w:t>
      </w:r>
      <w:r w:rsidR="00CD07E8">
        <w:rPr>
          <w:rFonts w:cs="David" w:hint="cs"/>
          <w:sz w:val="28"/>
          <w:szCs w:val="28"/>
          <w:rtl/>
        </w:rPr>
        <w:t xml:space="preserve">נתנו </w:t>
      </w:r>
      <w:r w:rsidRPr="00EF4B4B">
        <w:rPr>
          <w:rFonts w:cs="David" w:hint="cs"/>
          <w:sz w:val="28"/>
          <w:szCs w:val="28"/>
          <w:rtl/>
        </w:rPr>
        <w:t xml:space="preserve">בתי המשפט </w:t>
      </w:r>
      <w:r>
        <w:rPr>
          <w:rFonts w:cs="David" w:hint="cs"/>
          <w:sz w:val="28"/>
          <w:szCs w:val="28"/>
          <w:rtl/>
        </w:rPr>
        <w:t>בישראל פירוש נרחב מאד לחופש הביטוי:</w:t>
      </w:r>
      <w:r w:rsidRPr="00EF4B4B">
        <w:rPr>
          <w:rFonts w:cs="David" w:hint="cs"/>
          <w:sz w:val="28"/>
          <w:szCs w:val="28"/>
          <w:rtl/>
        </w:rPr>
        <w:t xml:space="preserve"> מבחינת </w:t>
      </w:r>
      <w:r w:rsidRPr="00EF4B4B">
        <w:rPr>
          <w:rFonts w:cs="David" w:hint="cs"/>
          <w:b/>
          <w:bCs/>
          <w:sz w:val="28"/>
          <w:szCs w:val="28"/>
          <w:rtl/>
        </w:rPr>
        <w:t>היקפו</w:t>
      </w:r>
      <w:r w:rsidRPr="00EF4B4B">
        <w:rPr>
          <w:rFonts w:cs="David" w:hint="cs"/>
          <w:sz w:val="28"/>
          <w:szCs w:val="28"/>
          <w:rtl/>
        </w:rPr>
        <w:t xml:space="preserve"> נכללים בו כל צורות הביטוי והוא כולל בחובו את הביטוי הפוליטי, הספרותי והמסחרי. הוא </w:t>
      </w:r>
      <w:r w:rsidR="006C5F67">
        <w:rPr>
          <w:rFonts w:cs="David" w:hint="cs"/>
          <w:sz w:val="28"/>
          <w:szCs w:val="28"/>
          <w:rtl/>
        </w:rPr>
        <w:t xml:space="preserve">חל </w:t>
      </w:r>
      <w:r w:rsidRPr="00EF4B4B">
        <w:rPr>
          <w:rFonts w:cs="David" w:hint="cs"/>
          <w:sz w:val="28"/>
          <w:szCs w:val="28"/>
          <w:rtl/>
        </w:rPr>
        <w:t xml:space="preserve">גם על ביטויים שאוהבים לשמוע ועל ביטויים שמרגיזים ואף סוטים או כפי שנאמר </w:t>
      </w:r>
      <w:r w:rsidRPr="001F3102">
        <w:rPr>
          <w:rFonts w:cs="David" w:hint="cs"/>
          <w:sz w:val="28"/>
          <w:szCs w:val="28"/>
          <w:rtl/>
        </w:rPr>
        <w:t>ב</w:t>
      </w:r>
      <w:r w:rsidRPr="001F3102">
        <w:rPr>
          <w:rFonts w:cs="David" w:hint="cs"/>
          <w:b/>
          <w:bCs/>
          <w:sz w:val="28"/>
          <w:szCs w:val="28"/>
          <w:rtl/>
        </w:rPr>
        <w:t>בג"צ לאור נ' המועצה לביקורת סרטים ומחזות</w:t>
      </w:r>
      <w:r w:rsidRPr="00EF4B4B">
        <w:rPr>
          <w:rFonts w:cs="David" w:hint="cs"/>
          <w:sz w:val="28"/>
          <w:szCs w:val="28"/>
          <w:rtl/>
        </w:rPr>
        <w:t>, גם ביטוי שיש בו "ממרח מגונה של ארוטיקה, פוליטיקה וסטיות מכל סוג</w:t>
      </w:r>
      <w:r w:rsidR="001F3102">
        <w:rPr>
          <w:rFonts w:cs="David" w:hint="cs"/>
          <w:sz w:val="28"/>
          <w:szCs w:val="28"/>
          <w:rtl/>
        </w:rPr>
        <w:t>.</w:t>
      </w:r>
      <w:r w:rsidRPr="00EF4B4B">
        <w:rPr>
          <w:rFonts w:cs="David" w:hint="cs"/>
          <w:sz w:val="28"/>
          <w:szCs w:val="28"/>
          <w:rtl/>
        </w:rPr>
        <w:t>"</w:t>
      </w:r>
      <w:r w:rsidRPr="00EF4B4B">
        <w:rPr>
          <w:rStyle w:val="a5"/>
          <w:rFonts w:cs="David"/>
          <w:sz w:val="28"/>
          <w:szCs w:val="28"/>
          <w:rtl/>
        </w:rPr>
        <w:footnoteReference w:id="63"/>
      </w:r>
    </w:p>
    <w:p w:rsidR="00512C97" w:rsidRPr="00EF4B4B" w:rsidRDefault="00512C97" w:rsidP="00512C97">
      <w:pPr>
        <w:spacing w:line="360" w:lineRule="auto"/>
        <w:jc w:val="both"/>
        <w:rPr>
          <w:rFonts w:cs="David"/>
          <w:sz w:val="28"/>
          <w:szCs w:val="28"/>
          <w:rtl/>
        </w:rPr>
      </w:pPr>
      <w:r w:rsidRPr="00EF4B4B">
        <w:rPr>
          <w:rFonts w:cs="David" w:hint="cs"/>
          <w:sz w:val="28"/>
          <w:szCs w:val="28"/>
          <w:rtl/>
        </w:rPr>
        <w:t xml:space="preserve">מבחינת </w:t>
      </w:r>
      <w:r w:rsidRPr="00EF4B4B">
        <w:rPr>
          <w:rFonts w:cs="David" w:hint="cs"/>
          <w:b/>
          <w:bCs/>
          <w:sz w:val="28"/>
          <w:szCs w:val="28"/>
          <w:rtl/>
        </w:rPr>
        <w:t>חשיבות</w:t>
      </w:r>
      <w:r>
        <w:rPr>
          <w:rFonts w:cs="David" w:hint="cs"/>
          <w:b/>
          <w:bCs/>
          <w:sz w:val="28"/>
          <w:szCs w:val="28"/>
          <w:rtl/>
        </w:rPr>
        <w:t>ו</w:t>
      </w:r>
      <w:r w:rsidRPr="00EF4B4B">
        <w:rPr>
          <w:rFonts w:cs="David" w:hint="cs"/>
          <w:sz w:val="28"/>
          <w:szCs w:val="28"/>
          <w:rtl/>
        </w:rPr>
        <w:t xml:space="preserve"> </w:t>
      </w:r>
      <w:r>
        <w:rPr>
          <w:rFonts w:cs="David" w:hint="cs"/>
          <w:sz w:val="28"/>
          <w:szCs w:val="28"/>
          <w:rtl/>
        </w:rPr>
        <w:t xml:space="preserve">של </w:t>
      </w:r>
      <w:r w:rsidRPr="00EF4B4B">
        <w:rPr>
          <w:rFonts w:cs="David" w:hint="cs"/>
          <w:sz w:val="28"/>
          <w:szCs w:val="28"/>
          <w:rtl/>
        </w:rPr>
        <w:t xml:space="preserve">חופש הביטוי, השנים שעברו מאז קום המדינה </w:t>
      </w:r>
      <w:r>
        <w:rPr>
          <w:rFonts w:cs="David" w:hint="cs"/>
          <w:sz w:val="28"/>
          <w:szCs w:val="28"/>
          <w:rtl/>
        </w:rPr>
        <w:t>רק תרמו להעצמתו וכך,</w:t>
      </w:r>
      <w:r w:rsidRPr="00EF4B4B">
        <w:rPr>
          <w:rFonts w:cs="David" w:hint="cs"/>
          <w:sz w:val="28"/>
          <w:szCs w:val="28"/>
          <w:rtl/>
        </w:rPr>
        <w:t xml:space="preserve"> </w:t>
      </w:r>
      <w:r>
        <w:rPr>
          <w:rFonts w:cs="David" w:hint="cs"/>
          <w:sz w:val="28"/>
          <w:szCs w:val="28"/>
          <w:rtl/>
        </w:rPr>
        <w:t>ב</w:t>
      </w:r>
      <w:r w:rsidRPr="00EF4B4B">
        <w:rPr>
          <w:rFonts w:cs="David" w:hint="cs"/>
          <w:sz w:val="28"/>
          <w:szCs w:val="28"/>
          <w:rtl/>
        </w:rPr>
        <w:t xml:space="preserve">עשרות פסקי דין חיזקו </w:t>
      </w:r>
      <w:r>
        <w:rPr>
          <w:rFonts w:cs="David" w:hint="cs"/>
          <w:sz w:val="28"/>
          <w:szCs w:val="28"/>
          <w:rtl/>
        </w:rPr>
        <w:t xml:space="preserve">בתי המשפט </w:t>
      </w:r>
      <w:r w:rsidRPr="00EF4B4B">
        <w:rPr>
          <w:rFonts w:cs="David" w:hint="cs"/>
          <w:sz w:val="28"/>
          <w:szCs w:val="28"/>
          <w:rtl/>
        </w:rPr>
        <w:t xml:space="preserve">את יסודותיו של חופש הביטוי ויצקו תוכן אקטואלי לדיניו. התפתחות זו התאפשרה בשל אופייה של המדינה כמדינה דמוקרטית שוחרת חופש והיא ביטוי לתפיסת עומק בחברה הישראלית </w:t>
      </w:r>
      <w:r>
        <w:rPr>
          <w:rFonts w:cs="David" w:hint="cs"/>
          <w:sz w:val="28"/>
          <w:szCs w:val="28"/>
          <w:rtl/>
        </w:rPr>
        <w:t>ש</w:t>
      </w:r>
      <w:r w:rsidRPr="00EF4B4B">
        <w:rPr>
          <w:rFonts w:cs="David" w:hint="cs"/>
          <w:sz w:val="28"/>
          <w:szCs w:val="28"/>
          <w:rtl/>
        </w:rPr>
        <w:t xml:space="preserve">עוצבה וגובשה </w:t>
      </w:r>
      <w:r>
        <w:rPr>
          <w:rFonts w:cs="David" w:hint="cs"/>
          <w:sz w:val="28"/>
          <w:szCs w:val="28"/>
          <w:rtl/>
        </w:rPr>
        <w:t xml:space="preserve">בעיקר </w:t>
      </w:r>
      <w:r w:rsidRPr="00EF4B4B">
        <w:rPr>
          <w:rFonts w:cs="David" w:hint="cs"/>
          <w:sz w:val="28"/>
          <w:szCs w:val="28"/>
          <w:rtl/>
        </w:rPr>
        <w:t>על ידי בית המשפט העליון.</w:t>
      </w:r>
    </w:p>
    <w:p w:rsidR="00512C97" w:rsidRDefault="00512C97" w:rsidP="006C5F67">
      <w:pPr>
        <w:spacing w:line="360" w:lineRule="auto"/>
        <w:jc w:val="both"/>
        <w:rPr>
          <w:rFonts w:cs="David"/>
          <w:sz w:val="28"/>
          <w:szCs w:val="28"/>
          <w:rtl/>
        </w:rPr>
      </w:pPr>
      <w:r w:rsidRPr="00EF4B4B">
        <w:rPr>
          <w:rFonts w:cs="David" w:hint="cs"/>
          <w:sz w:val="28"/>
          <w:szCs w:val="28"/>
          <w:rtl/>
        </w:rPr>
        <w:t>כדוגמ</w:t>
      </w:r>
      <w:r w:rsidR="006C5F67">
        <w:rPr>
          <w:rFonts w:cs="David" w:hint="cs"/>
          <w:sz w:val="28"/>
          <w:szCs w:val="28"/>
          <w:rtl/>
        </w:rPr>
        <w:t>ה</w:t>
      </w:r>
      <w:r w:rsidRPr="00EF4B4B">
        <w:rPr>
          <w:rFonts w:cs="David" w:hint="cs"/>
          <w:sz w:val="28"/>
          <w:szCs w:val="28"/>
          <w:rtl/>
        </w:rPr>
        <w:t xml:space="preserve"> לכך, </w:t>
      </w:r>
      <w:r>
        <w:rPr>
          <w:rFonts w:cs="David" w:hint="cs"/>
          <w:sz w:val="28"/>
          <w:szCs w:val="28"/>
          <w:rtl/>
        </w:rPr>
        <w:t xml:space="preserve">ניתן לראות </w:t>
      </w:r>
      <w:r w:rsidRPr="00EF4B4B">
        <w:rPr>
          <w:rFonts w:cs="David" w:hint="cs"/>
          <w:sz w:val="28"/>
          <w:szCs w:val="28"/>
          <w:rtl/>
        </w:rPr>
        <w:t xml:space="preserve">את דברי כבוד הנשיא שמגר בפסק דינו </w:t>
      </w:r>
      <w:r w:rsidRPr="00510906">
        <w:rPr>
          <w:rFonts w:cs="David" w:hint="cs"/>
          <w:sz w:val="28"/>
          <w:szCs w:val="28"/>
          <w:rtl/>
        </w:rPr>
        <w:t>ב</w:t>
      </w:r>
      <w:r w:rsidRPr="00F331F5">
        <w:rPr>
          <w:rFonts w:cs="David" w:hint="cs"/>
          <w:b/>
          <w:bCs/>
          <w:sz w:val="28"/>
          <w:szCs w:val="28"/>
          <w:rtl/>
        </w:rPr>
        <w:t xml:space="preserve">ע"א הוצאת עיתון "הארץ" בע"מ נ' חברת החשמל לישראל בע"מ </w:t>
      </w:r>
      <w:r w:rsidRPr="0073059B">
        <w:rPr>
          <w:rFonts w:cs="David" w:hint="cs"/>
          <w:sz w:val="28"/>
          <w:szCs w:val="28"/>
          <w:rtl/>
        </w:rPr>
        <w:t>(1977)</w:t>
      </w:r>
      <w:r w:rsidRPr="00EF4B4B">
        <w:rPr>
          <w:rFonts w:cs="David" w:hint="cs"/>
          <w:sz w:val="28"/>
          <w:szCs w:val="28"/>
          <w:rtl/>
        </w:rPr>
        <w:t>,</w:t>
      </w:r>
      <w:r>
        <w:rPr>
          <w:rStyle w:val="a5"/>
          <w:rFonts w:cs="David"/>
          <w:sz w:val="28"/>
          <w:szCs w:val="28"/>
          <w:rtl/>
        </w:rPr>
        <w:footnoteReference w:id="64"/>
      </w:r>
      <w:r w:rsidRPr="00EF4B4B">
        <w:rPr>
          <w:rFonts w:cs="David" w:hint="cs"/>
          <w:sz w:val="28"/>
          <w:szCs w:val="28"/>
          <w:rtl/>
        </w:rPr>
        <w:t xml:space="preserve"> שם נכתב כי</w:t>
      </w:r>
    </w:p>
    <w:p w:rsidR="00512C97" w:rsidRPr="002607AA" w:rsidRDefault="00512C97" w:rsidP="00512C97">
      <w:pPr>
        <w:spacing w:line="360" w:lineRule="auto"/>
        <w:ind w:left="720"/>
        <w:jc w:val="both"/>
        <w:rPr>
          <w:rFonts w:cs="David"/>
          <w:sz w:val="24"/>
          <w:szCs w:val="24"/>
          <w:rtl/>
        </w:rPr>
      </w:pPr>
      <w:r w:rsidRPr="002607AA">
        <w:rPr>
          <w:rFonts w:cs="David" w:hint="cs"/>
          <w:sz w:val="24"/>
          <w:szCs w:val="24"/>
          <w:rtl/>
        </w:rPr>
        <w:t>זכות היסוד של חופש הביטוי היא בעלת חשיבות מכרעת בקביעת אופיו של המשטר השורר במסגרת מדינית או חברתית נתונה. יתרה מכן, היא יסוד מסד ותנאי מוקדם להבטחת קיומן ושמירתן הנאמנה של רוב זכויות יסוד האחרות: הווה אומר, בלעדיה מתערערת יציבותן של זכויות יסוד אחרות [...] אפיו המתואר של חופש הביטוי כזכות בין זכויות היסוד החוקתיות מעניק לו מעמד על-משפטי [...] יש לכך השלכה ישירה על פרשנותו המשפטית של כל חוק חרות.</w:t>
      </w:r>
    </w:p>
    <w:p w:rsidR="00512C97" w:rsidRPr="00EF4B4B" w:rsidRDefault="00512C97" w:rsidP="009712B5">
      <w:pPr>
        <w:spacing w:line="360" w:lineRule="auto"/>
        <w:jc w:val="both"/>
        <w:rPr>
          <w:rFonts w:cs="David"/>
          <w:sz w:val="28"/>
          <w:szCs w:val="28"/>
          <w:rtl/>
        </w:rPr>
      </w:pPr>
      <w:r w:rsidRPr="00EF4B4B">
        <w:rPr>
          <w:rFonts w:cs="David" w:hint="cs"/>
          <w:sz w:val="28"/>
          <w:szCs w:val="28"/>
          <w:rtl/>
        </w:rPr>
        <w:t xml:space="preserve">לפיכך, נראה כי במדינת ישראל ניתן לדבר על </w:t>
      </w:r>
      <w:r w:rsidRPr="00EF4B4B">
        <w:rPr>
          <w:rFonts w:cs="David" w:hint="cs"/>
          <w:b/>
          <w:bCs/>
          <w:sz w:val="28"/>
          <w:szCs w:val="28"/>
          <w:rtl/>
        </w:rPr>
        <w:t>מסורת של חופש ביטוי</w:t>
      </w:r>
      <w:r w:rsidRPr="00EF4B4B">
        <w:rPr>
          <w:rFonts w:cs="David" w:hint="cs"/>
          <w:sz w:val="28"/>
          <w:szCs w:val="28"/>
          <w:rtl/>
        </w:rPr>
        <w:t>, כפי שטוען כבוד הנשיא ברק, שבאה לידי ביטוי ב"סט</w:t>
      </w:r>
      <w:r w:rsidR="009712B5">
        <w:rPr>
          <w:rFonts w:cs="David" w:hint="cs"/>
          <w:sz w:val="28"/>
          <w:szCs w:val="28"/>
          <w:rtl/>
        </w:rPr>
        <w:t>א</w:t>
      </w:r>
      <w:r w:rsidRPr="00EF4B4B">
        <w:rPr>
          <w:rFonts w:cs="David" w:hint="cs"/>
          <w:sz w:val="28"/>
          <w:szCs w:val="28"/>
          <w:rtl/>
        </w:rPr>
        <w:t>טוס" משפטי של חופש ביטוי וב"מוסד" חברתי של חירות ביטוי.</w:t>
      </w:r>
      <w:r w:rsidRPr="00EF4B4B">
        <w:rPr>
          <w:rStyle w:val="a5"/>
          <w:rFonts w:cs="David"/>
          <w:sz w:val="28"/>
          <w:szCs w:val="28"/>
          <w:rtl/>
        </w:rPr>
        <w:footnoteReference w:id="65"/>
      </w:r>
      <w:r>
        <w:rPr>
          <w:rFonts w:cs="David" w:hint="cs"/>
          <w:sz w:val="28"/>
          <w:szCs w:val="28"/>
          <w:rtl/>
        </w:rPr>
        <w:t xml:space="preserve"> </w:t>
      </w:r>
      <w:r w:rsidRPr="00EF4B4B">
        <w:rPr>
          <w:rFonts w:cs="David" w:hint="cs"/>
          <w:sz w:val="28"/>
          <w:szCs w:val="28"/>
          <w:rtl/>
        </w:rPr>
        <w:t>מסורת זו גובשה</w:t>
      </w:r>
      <w:r w:rsidRPr="00A22990">
        <w:rPr>
          <w:rFonts w:cs="David" w:hint="cs"/>
          <w:sz w:val="28"/>
          <w:szCs w:val="28"/>
          <w:rtl/>
        </w:rPr>
        <w:t>, מהבחינה ההיסטורית בישראל,</w:t>
      </w:r>
      <w:r w:rsidRPr="00EF4B4B">
        <w:rPr>
          <w:rFonts w:cs="David" w:hint="cs"/>
          <w:sz w:val="28"/>
          <w:szCs w:val="28"/>
          <w:rtl/>
        </w:rPr>
        <w:t xml:space="preserve"> </w:t>
      </w:r>
      <w:r>
        <w:rPr>
          <w:rFonts w:cs="David" w:hint="cs"/>
          <w:sz w:val="28"/>
          <w:szCs w:val="28"/>
          <w:rtl/>
        </w:rPr>
        <w:t>בתנאים נורמטיביים ופיזיים קשים:</w:t>
      </w:r>
    </w:p>
    <w:p w:rsidR="00512C97" w:rsidRPr="00EF4B4B" w:rsidRDefault="00512C97" w:rsidP="0077264A">
      <w:pPr>
        <w:spacing w:line="360" w:lineRule="auto"/>
        <w:jc w:val="both"/>
        <w:rPr>
          <w:rFonts w:cs="David"/>
          <w:sz w:val="28"/>
          <w:szCs w:val="28"/>
          <w:rtl/>
        </w:rPr>
      </w:pPr>
      <w:r w:rsidRPr="00EF4B4B">
        <w:rPr>
          <w:rFonts w:cs="David" w:hint="cs"/>
          <w:sz w:val="28"/>
          <w:szCs w:val="28"/>
          <w:rtl/>
        </w:rPr>
        <w:t xml:space="preserve">מבחינה נורמטיבית, החקיקה בענייני חופש הביטוי הייתה בעיקרה חקיקה מנדטורית, פרי משטר קולוניאלי, שלא ביקש לקדם את חופש הביטוי. זה משטר שחוקק את פקודת העיתונות ופקודות נוספות שצמצמו והגבילו את חופש הביטוי. </w:t>
      </w:r>
      <w:r w:rsidRPr="00EF4B4B">
        <w:rPr>
          <w:rFonts w:cs="David" w:hint="cs"/>
          <w:sz w:val="28"/>
          <w:szCs w:val="28"/>
          <w:rtl/>
        </w:rPr>
        <w:lastRenderedPageBreak/>
        <w:t>המחוקק הישראלי לא ביטל חקיקה זו</w:t>
      </w:r>
      <w:r w:rsidR="009712B5">
        <w:rPr>
          <w:rFonts w:cs="David" w:hint="cs"/>
          <w:sz w:val="28"/>
          <w:szCs w:val="28"/>
          <w:rtl/>
        </w:rPr>
        <w:t>,</w:t>
      </w:r>
      <w:r w:rsidRPr="00EF4B4B">
        <w:rPr>
          <w:rFonts w:cs="David" w:hint="cs"/>
          <w:sz w:val="28"/>
          <w:szCs w:val="28"/>
          <w:rtl/>
        </w:rPr>
        <w:t xml:space="preserve"> ולכן לא הייתה זו מלאכה קלה לבתי המשפט לאפשר את חופש הביטוי ול</w:t>
      </w:r>
      <w:r>
        <w:rPr>
          <w:rFonts w:cs="David" w:hint="cs"/>
          <w:sz w:val="28"/>
          <w:szCs w:val="28"/>
          <w:rtl/>
        </w:rPr>
        <w:t>דבוק בתפי</w:t>
      </w:r>
      <w:r w:rsidRPr="00EF4B4B">
        <w:rPr>
          <w:rFonts w:cs="David" w:hint="cs"/>
          <w:sz w:val="28"/>
          <w:szCs w:val="28"/>
          <w:rtl/>
        </w:rPr>
        <w:t>סות היסוד של החברה הישראלית. זה חייב כמובן, תפישת עולם מגובשת באשר למעמד השפיטה, ל</w:t>
      </w:r>
      <w:r w:rsidR="00F6521B">
        <w:rPr>
          <w:rFonts w:cs="David" w:hint="cs"/>
          <w:sz w:val="28"/>
          <w:szCs w:val="28"/>
          <w:rtl/>
        </w:rPr>
        <w:t xml:space="preserve">תפקיד </w:t>
      </w:r>
      <w:r w:rsidR="0077264A">
        <w:rPr>
          <w:rFonts w:cs="David" w:hint="cs"/>
          <w:sz w:val="28"/>
          <w:szCs w:val="28"/>
          <w:rtl/>
        </w:rPr>
        <w:t>השופט</w:t>
      </w:r>
      <w:r w:rsidR="00F6521B">
        <w:rPr>
          <w:rFonts w:cs="David" w:hint="cs"/>
          <w:sz w:val="28"/>
          <w:szCs w:val="28"/>
          <w:rtl/>
        </w:rPr>
        <w:t xml:space="preserve"> </w:t>
      </w:r>
      <w:r w:rsidRPr="00EF4B4B">
        <w:rPr>
          <w:rFonts w:cs="David" w:hint="cs"/>
          <w:sz w:val="28"/>
          <w:szCs w:val="28"/>
          <w:rtl/>
        </w:rPr>
        <w:t>בחברה דמוקרטית, ליחסיו עם הרשויות ולחובתו לקדם את שלטון החוק.</w:t>
      </w:r>
    </w:p>
    <w:p w:rsidR="00512C97" w:rsidRPr="00EF4B4B" w:rsidRDefault="00512C97" w:rsidP="00512C97">
      <w:pPr>
        <w:spacing w:line="360" w:lineRule="auto"/>
        <w:jc w:val="both"/>
        <w:rPr>
          <w:rFonts w:cs="David"/>
          <w:sz w:val="28"/>
          <w:szCs w:val="28"/>
          <w:rtl/>
        </w:rPr>
      </w:pPr>
      <w:r w:rsidRPr="00EF4B4B">
        <w:rPr>
          <w:rFonts w:cs="David" w:hint="cs"/>
          <w:sz w:val="28"/>
          <w:szCs w:val="28"/>
          <w:rtl/>
        </w:rPr>
        <w:t>לא זאת בלבד, בתי המשפט גיבשו את תפיסתם זו בנוגע לחופש הביטוי על רקע ה</w:t>
      </w:r>
      <w:r w:rsidR="00D94A05">
        <w:rPr>
          <w:rFonts w:cs="David" w:hint="cs"/>
          <w:sz w:val="28"/>
          <w:szCs w:val="28"/>
          <w:rtl/>
        </w:rPr>
        <w:t>י</w:t>
      </w:r>
      <w:r w:rsidRPr="00EF4B4B">
        <w:rPr>
          <w:rFonts w:cs="David" w:hint="cs"/>
          <w:sz w:val="28"/>
          <w:szCs w:val="28"/>
          <w:rtl/>
        </w:rPr>
        <w:t>עדר חוקה הכוללת הגנה על אינטרסים וחרויות של פרטים</w:t>
      </w:r>
      <w:r>
        <w:rPr>
          <w:rFonts w:cs="David" w:hint="cs"/>
          <w:sz w:val="28"/>
          <w:szCs w:val="28"/>
          <w:rtl/>
        </w:rPr>
        <w:t>,</w:t>
      </w:r>
      <w:r w:rsidRPr="00EF4B4B">
        <w:rPr>
          <w:rFonts w:cs="David" w:hint="cs"/>
          <w:sz w:val="28"/>
          <w:szCs w:val="28"/>
          <w:rtl/>
        </w:rPr>
        <w:t xml:space="preserve"> </w:t>
      </w:r>
      <w:r>
        <w:rPr>
          <w:rFonts w:cs="David" w:hint="cs"/>
          <w:sz w:val="28"/>
          <w:szCs w:val="28"/>
          <w:rtl/>
        </w:rPr>
        <w:t xml:space="preserve">וזאת </w:t>
      </w:r>
      <w:r w:rsidRPr="00EF4B4B">
        <w:rPr>
          <w:rFonts w:cs="David" w:hint="cs"/>
          <w:sz w:val="28"/>
          <w:szCs w:val="28"/>
          <w:rtl/>
        </w:rPr>
        <w:t xml:space="preserve">עד לחקיקת חוקי היסוד בשנת 1992, כפי שיובא בהמשך. </w:t>
      </w:r>
    </w:p>
    <w:p w:rsidR="00512C97" w:rsidRPr="00EF4B4B" w:rsidRDefault="00512C97" w:rsidP="00512C97">
      <w:pPr>
        <w:spacing w:line="360" w:lineRule="auto"/>
        <w:jc w:val="both"/>
        <w:rPr>
          <w:rFonts w:cs="David"/>
          <w:sz w:val="28"/>
          <w:szCs w:val="28"/>
          <w:rtl/>
        </w:rPr>
      </w:pPr>
      <w:r w:rsidRPr="00EF4B4B">
        <w:rPr>
          <w:rFonts w:cs="David" w:hint="cs"/>
          <w:sz w:val="28"/>
          <w:szCs w:val="28"/>
          <w:rtl/>
        </w:rPr>
        <w:t xml:space="preserve">התנאים הפיזיים היו קשים גם הם. בתי המשפט פיתחו את מסורת חופש הביטוי בתנאים של מלחמות ושל צרכי ביטחון קשים ועל רקע מנטליות ביטחונית חזקה. במדינה כמו ארצות הברית </w:t>
      </w:r>
      <w:r w:rsidR="00D94A05">
        <w:rPr>
          <w:rFonts w:cs="David" w:hint="cs"/>
          <w:sz w:val="28"/>
          <w:szCs w:val="28"/>
          <w:rtl/>
        </w:rPr>
        <w:t xml:space="preserve">היה </w:t>
      </w:r>
      <w:r w:rsidRPr="00EF4B4B">
        <w:rPr>
          <w:rFonts w:cs="David" w:hint="cs"/>
          <w:sz w:val="28"/>
          <w:szCs w:val="28"/>
          <w:rtl/>
        </w:rPr>
        <w:t>זה קל יחסית לפתח מסורת של חופש ביטוי. לא כך הוא הדבר במדינת ישראל, מדינה קטנה שנאבקת על קיומה וביטחונה.</w:t>
      </w:r>
      <w:r w:rsidRPr="00EF4B4B">
        <w:rPr>
          <w:rStyle w:val="a5"/>
          <w:rFonts w:cs="David"/>
          <w:sz w:val="28"/>
          <w:szCs w:val="28"/>
          <w:rtl/>
        </w:rPr>
        <w:footnoteReference w:id="66"/>
      </w:r>
    </w:p>
    <w:p w:rsidR="00512C97" w:rsidRPr="00EF4B4B" w:rsidRDefault="00512C97" w:rsidP="00512C97">
      <w:pPr>
        <w:spacing w:line="360" w:lineRule="auto"/>
        <w:jc w:val="both"/>
        <w:rPr>
          <w:rFonts w:cs="David"/>
          <w:sz w:val="28"/>
          <w:szCs w:val="28"/>
          <w:rtl/>
        </w:rPr>
      </w:pPr>
      <w:r w:rsidRPr="00EF4B4B">
        <w:rPr>
          <w:rFonts w:cs="David" w:hint="cs"/>
          <w:sz w:val="28"/>
          <w:szCs w:val="28"/>
          <w:rtl/>
        </w:rPr>
        <w:t>ב</w:t>
      </w:r>
      <w:r>
        <w:rPr>
          <w:rFonts w:cs="David" w:hint="cs"/>
          <w:sz w:val="28"/>
          <w:szCs w:val="28"/>
          <w:rtl/>
        </w:rPr>
        <w:t>הלימה למסורת זו ובדרך לגיבושה</w:t>
      </w:r>
      <w:r w:rsidRPr="00EF4B4B">
        <w:rPr>
          <w:rFonts w:cs="David" w:hint="cs"/>
          <w:sz w:val="28"/>
          <w:szCs w:val="28"/>
          <w:rtl/>
        </w:rPr>
        <w:t>, ניתן לראות כיצד לאורך השנים קבע בית המשפט העליון</w:t>
      </w:r>
      <w:r>
        <w:rPr>
          <w:rFonts w:cs="David" w:hint="cs"/>
          <w:sz w:val="28"/>
          <w:szCs w:val="28"/>
          <w:rtl/>
        </w:rPr>
        <w:t>,</w:t>
      </w:r>
      <w:r w:rsidRPr="00EF4B4B">
        <w:rPr>
          <w:rFonts w:cs="David" w:hint="cs"/>
          <w:sz w:val="28"/>
          <w:szCs w:val="28"/>
          <w:rtl/>
        </w:rPr>
        <w:t xml:space="preserve"> שמספר רב של אינטרסים וחרויות הם בעלי מעמד מיוחד של 'זכות יסוד' לא חקוקה ובמסגרת זו גיבש, כפי שראינו לעיל</w:t>
      </w:r>
      <w:r w:rsidRPr="00246E5A">
        <w:rPr>
          <w:rFonts w:cs="David" w:hint="cs"/>
          <w:sz w:val="28"/>
          <w:szCs w:val="28"/>
          <w:rtl/>
        </w:rPr>
        <w:t>, גם את המעמד של חופש הביטוי במשפט הישראלי כ</w:t>
      </w:r>
      <w:r>
        <w:rPr>
          <w:rFonts w:cs="David" w:hint="cs"/>
          <w:sz w:val="28"/>
          <w:szCs w:val="28"/>
          <w:rtl/>
        </w:rPr>
        <w:t>'</w:t>
      </w:r>
      <w:r w:rsidRPr="00246E5A">
        <w:rPr>
          <w:rFonts w:cs="David" w:hint="cs"/>
          <w:sz w:val="28"/>
          <w:szCs w:val="28"/>
          <w:rtl/>
        </w:rPr>
        <w:t>זכות יסוד</w:t>
      </w:r>
      <w:r>
        <w:rPr>
          <w:rFonts w:cs="David" w:hint="cs"/>
          <w:sz w:val="28"/>
          <w:szCs w:val="28"/>
          <w:rtl/>
        </w:rPr>
        <w:t xml:space="preserve"> עילאית'. לכן, גם קבעו </w:t>
      </w:r>
      <w:r w:rsidRPr="00EF4B4B">
        <w:rPr>
          <w:rFonts w:cs="David" w:hint="cs"/>
          <w:sz w:val="28"/>
          <w:szCs w:val="28"/>
          <w:rtl/>
        </w:rPr>
        <w:t>בתי המשפט שאופייה הדמוקרטי של המדינה מחייב הגנה נמרצת על חופש הביטוי.</w:t>
      </w:r>
      <w:r w:rsidRPr="00EF4B4B">
        <w:rPr>
          <w:rStyle w:val="a5"/>
          <w:rFonts w:cs="David"/>
          <w:sz w:val="28"/>
          <w:szCs w:val="28"/>
          <w:rtl/>
        </w:rPr>
        <w:footnoteReference w:id="67"/>
      </w:r>
    </w:p>
    <w:p w:rsidR="00512C97" w:rsidRPr="00EF4B4B" w:rsidRDefault="00512C97" w:rsidP="00512C97">
      <w:pPr>
        <w:spacing w:line="360" w:lineRule="auto"/>
        <w:jc w:val="both"/>
        <w:rPr>
          <w:rFonts w:cs="David"/>
          <w:sz w:val="28"/>
          <w:szCs w:val="28"/>
          <w:rtl/>
        </w:rPr>
      </w:pPr>
      <w:r w:rsidRPr="00EF4B4B">
        <w:rPr>
          <w:rFonts w:cs="David" w:hint="cs"/>
          <w:sz w:val="28"/>
          <w:szCs w:val="28"/>
          <w:rtl/>
        </w:rPr>
        <w:t>מעמד מיוחד זה בא לידי ביטוי בעיקר בהלכה, לפיה יש לפרש חקיקה לאור חזקה נגד פגיעה ב'זכויות היסוד' וניתן לסטות ממנה רק כאשר אין מקום לפרשנות אחרת</w:t>
      </w:r>
      <w:r w:rsidRPr="00EF4B4B">
        <w:rPr>
          <w:rStyle w:val="a5"/>
          <w:rFonts w:cs="David"/>
          <w:sz w:val="28"/>
          <w:szCs w:val="28"/>
          <w:rtl/>
        </w:rPr>
        <w:footnoteReference w:id="68"/>
      </w:r>
      <w:r w:rsidRPr="00EF4B4B">
        <w:rPr>
          <w:rFonts w:cs="David" w:hint="cs"/>
          <w:sz w:val="28"/>
          <w:szCs w:val="28"/>
          <w:rtl/>
        </w:rPr>
        <w:t>.</w:t>
      </w:r>
    </w:p>
    <w:p w:rsidR="00512C97" w:rsidRPr="00055B29" w:rsidRDefault="00512C97" w:rsidP="00512C97">
      <w:pPr>
        <w:spacing w:line="360" w:lineRule="auto"/>
        <w:jc w:val="both"/>
        <w:rPr>
          <w:rFonts w:cs="David"/>
          <w:b/>
          <w:bCs/>
          <w:sz w:val="28"/>
          <w:szCs w:val="28"/>
          <w:rtl/>
        </w:rPr>
      </w:pPr>
      <w:r>
        <w:rPr>
          <w:rFonts w:cs="David" w:hint="cs"/>
          <w:b/>
          <w:bCs/>
          <w:sz w:val="28"/>
          <w:szCs w:val="28"/>
          <w:rtl/>
        </w:rPr>
        <w:t xml:space="preserve">א.2 </w:t>
      </w:r>
      <w:r w:rsidRPr="00055B29">
        <w:rPr>
          <w:rFonts w:cs="David" w:hint="cs"/>
          <w:b/>
          <w:bCs/>
          <w:sz w:val="28"/>
          <w:szCs w:val="28"/>
          <w:rtl/>
        </w:rPr>
        <w:t>מחקיקת חוקי היסוד ועד היום</w:t>
      </w:r>
      <w:r>
        <w:rPr>
          <w:rFonts w:cs="David" w:hint="cs"/>
          <w:b/>
          <w:bCs/>
          <w:sz w:val="28"/>
          <w:szCs w:val="28"/>
          <w:rtl/>
        </w:rPr>
        <w:t xml:space="preserve"> (2016-1992)</w:t>
      </w:r>
    </w:p>
    <w:p w:rsidR="00512C97" w:rsidRPr="00EF4B4B" w:rsidRDefault="00512C97" w:rsidP="00D94A05">
      <w:pPr>
        <w:spacing w:line="360" w:lineRule="auto"/>
        <w:jc w:val="both"/>
        <w:rPr>
          <w:rFonts w:cs="David"/>
          <w:sz w:val="28"/>
          <w:szCs w:val="28"/>
          <w:rtl/>
        </w:rPr>
      </w:pPr>
      <w:r w:rsidRPr="00EF4B4B">
        <w:rPr>
          <w:rFonts w:cs="David" w:hint="cs"/>
          <w:sz w:val="28"/>
          <w:szCs w:val="28"/>
          <w:rtl/>
        </w:rPr>
        <w:t xml:space="preserve">אם כן, </w:t>
      </w:r>
      <w:r w:rsidR="00D94A05">
        <w:rPr>
          <w:rFonts w:cs="David" w:hint="cs"/>
          <w:sz w:val="28"/>
          <w:szCs w:val="28"/>
          <w:rtl/>
        </w:rPr>
        <w:t xml:space="preserve">התפתח </w:t>
      </w:r>
      <w:r w:rsidRPr="00EF4B4B">
        <w:rPr>
          <w:rFonts w:cs="David" w:hint="cs"/>
          <w:sz w:val="28"/>
          <w:szCs w:val="28"/>
          <w:rtl/>
        </w:rPr>
        <w:t>לאורך השנים חופש הביטוי בישראל בעיקרו מתוך פרשנות חקיקה אשר הגבילה אותו.</w:t>
      </w:r>
      <w:r w:rsidRPr="00EF4B4B">
        <w:rPr>
          <w:rStyle w:val="a5"/>
          <w:rFonts w:cs="David"/>
          <w:sz w:val="28"/>
          <w:szCs w:val="28"/>
          <w:rtl/>
        </w:rPr>
        <w:footnoteReference w:id="69"/>
      </w:r>
      <w:r w:rsidRPr="00EF4B4B">
        <w:rPr>
          <w:rFonts w:cs="David" w:hint="cs"/>
          <w:sz w:val="28"/>
          <w:szCs w:val="28"/>
          <w:rtl/>
        </w:rPr>
        <w:t xml:space="preserve"> וכך, לאחר רצף של פסקי דין הנוגעים בנושא, חל מפנה והגיעה </w:t>
      </w:r>
      <w:r>
        <w:rPr>
          <w:rFonts w:cs="David" w:hint="cs"/>
          <w:sz w:val="28"/>
          <w:szCs w:val="28"/>
          <w:rtl/>
        </w:rPr>
        <w:t>'</w:t>
      </w:r>
      <w:r w:rsidRPr="00EF4B4B">
        <w:rPr>
          <w:rFonts w:cs="David" w:hint="cs"/>
          <w:sz w:val="28"/>
          <w:szCs w:val="28"/>
          <w:rtl/>
        </w:rPr>
        <w:t>המהפכה החוקתית</w:t>
      </w:r>
      <w:r>
        <w:rPr>
          <w:rFonts w:cs="David" w:hint="cs"/>
          <w:sz w:val="28"/>
          <w:szCs w:val="28"/>
          <w:rtl/>
        </w:rPr>
        <w:t>'</w:t>
      </w:r>
      <w:r w:rsidRPr="00EF4B4B">
        <w:rPr>
          <w:rFonts w:cs="David" w:hint="cs"/>
          <w:sz w:val="28"/>
          <w:szCs w:val="28"/>
          <w:rtl/>
        </w:rPr>
        <w:t>.</w:t>
      </w:r>
    </w:p>
    <w:p w:rsidR="00512C97" w:rsidRPr="00EF4B4B" w:rsidRDefault="00512C97" w:rsidP="00512C97">
      <w:pPr>
        <w:spacing w:line="360" w:lineRule="auto"/>
        <w:jc w:val="both"/>
        <w:rPr>
          <w:rFonts w:cs="David"/>
          <w:sz w:val="28"/>
          <w:szCs w:val="28"/>
          <w:rtl/>
        </w:rPr>
      </w:pPr>
      <w:r w:rsidRPr="00EF4B4B">
        <w:rPr>
          <w:rFonts w:cs="David" w:hint="cs"/>
          <w:sz w:val="28"/>
          <w:szCs w:val="28"/>
          <w:rtl/>
        </w:rPr>
        <w:t>בשנת 1992 נחקקו שני חוקי יסוד</w:t>
      </w:r>
      <w:r w:rsidR="00D94A05">
        <w:rPr>
          <w:rFonts w:cs="David" w:hint="cs"/>
          <w:sz w:val="28"/>
          <w:szCs w:val="28"/>
          <w:rtl/>
        </w:rPr>
        <w:t>,</w:t>
      </w:r>
      <w:r w:rsidRPr="00EF4B4B">
        <w:rPr>
          <w:rFonts w:cs="David" w:hint="cs"/>
          <w:sz w:val="28"/>
          <w:szCs w:val="28"/>
          <w:rtl/>
        </w:rPr>
        <w:t xml:space="preserve"> אשר </w:t>
      </w:r>
      <w:r>
        <w:rPr>
          <w:rFonts w:cs="David" w:hint="cs"/>
          <w:sz w:val="28"/>
          <w:szCs w:val="28"/>
          <w:rtl/>
        </w:rPr>
        <w:t>מ</w:t>
      </w:r>
      <w:r w:rsidRPr="00EF4B4B">
        <w:rPr>
          <w:rFonts w:cs="David" w:hint="cs"/>
          <w:sz w:val="28"/>
          <w:szCs w:val="28"/>
          <w:rtl/>
        </w:rPr>
        <w:t xml:space="preserve">עגנים כמה אינטרסים וחרויות של פרטים </w:t>
      </w:r>
      <w:r>
        <w:rPr>
          <w:rFonts w:cs="David" w:hint="cs"/>
          <w:sz w:val="28"/>
          <w:szCs w:val="28"/>
          <w:rtl/>
        </w:rPr>
        <w:t>-</w:t>
      </w:r>
      <w:r w:rsidRPr="00EF4B4B">
        <w:rPr>
          <w:rFonts w:cs="David" w:hint="cs"/>
          <w:sz w:val="28"/>
          <w:szCs w:val="28"/>
          <w:rtl/>
        </w:rPr>
        <w:t xml:space="preserve"> חוק יסוד: כבוד האדם וחרותו וחוק יסוד: חופש העיסוק. בניגוד להדגשה השיפוטית, בדבר </w:t>
      </w:r>
      <w:r>
        <w:rPr>
          <w:rFonts w:cs="David" w:hint="cs"/>
          <w:sz w:val="28"/>
          <w:szCs w:val="28"/>
          <w:rtl/>
        </w:rPr>
        <w:t xml:space="preserve">ההיקף, </w:t>
      </w:r>
      <w:r w:rsidRPr="00EF4B4B">
        <w:rPr>
          <w:rFonts w:cs="David" w:hint="cs"/>
          <w:sz w:val="28"/>
          <w:szCs w:val="28"/>
          <w:rtl/>
        </w:rPr>
        <w:t>החשיבות והמעמד המיוחד של חופש הביטוי</w:t>
      </w:r>
      <w:r>
        <w:rPr>
          <w:rFonts w:cs="David" w:hint="cs"/>
          <w:sz w:val="28"/>
          <w:szCs w:val="28"/>
          <w:rtl/>
        </w:rPr>
        <w:t xml:space="preserve">, </w:t>
      </w:r>
      <w:r w:rsidRPr="00EF4B4B">
        <w:rPr>
          <w:rFonts w:cs="David" w:hint="cs"/>
          <w:sz w:val="28"/>
          <w:szCs w:val="28"/>
          <w:rtl/>
        </w:rPr>
        <w:t xml:space="preserve">חוקי היסוד האמורים אינם כוללים את חופש הביטוי ברשימת האינטרסים או החרויות המוגנות </w:t>
      </w:r>
      <w:r w:rsidRPr="00EF4B4B">
        <w:rPr>
          <w:rFonts w:cs="David" w:hint="cs"/>
          <w:sz w:val="28"/>
          <w:szCs w:val="28"/>
          <w:rtl/>
        </w:rPr>
        <w:lastRenderedPageBreak/>
        <w:t xml:space="preserve">במסגרתם: חיים, שלמות הגוף, כבוד האדם, חירות, חופש הכניסה לישראל והיציאה ממנה, פרטיות, קניין וחופש העיסוק. הצעות להענקת </w:t>
      </w:r>
      <w:r>
        <w:rPr>
          <w:rFonts w:cs="David" w:hint="cs"/>
          <w:sz w:val="28"/>
          <w:szCs w:val="28"/>
          <w:rtl/>
        </w:rPr>
        <w:t>מ</w:t>
      </w:r>
      <w:r w:rsidRPr="00EF4B4B">
        <w:rPr>
          <w:rFonts w:cs="David" w:hint="cs"/>
          <w:sz w:val="28"/>
          <w:szCs w:val="28"/>
          <w:rtl/>
        </w:rPr>
        <w:t>עמד חוקתי לחופש הביטוי נדונו מספר פעמים בכנסת, אך עד כה לא התקבלו.</w:t>
      </w:r>
      <w:r w:rsidRPr="00EF4B4B">
        <w:rPr>
          <w:rStyle w:val="a5"/>
          <w:rFonts w:cs="David"/>
          <w:sz w:val="28"/>
          <w:szCs w:val="28"/>
          <w:rtl/>
        </w:rPr>
        <w:footnoteReference w:id="70"/>
      </w:r>
    </w:p>
    <w:p w:rsidR="00512C97" w:rsidRPr="00EF4B4B" w:rsidRDefault="00512C97" w:rsidP="00512C97">
      <w:pPr>
        <w:spacing w:line="360" w:lineRule="auto"/>
        <w:jc w:val="both"/>
        <w:rPr>
          <w:rFonts w:cs="David"/>
          <w:sz w:val="28"/>
          <w:szCs w:val="28"/>
          <w:rtl/>
        </w:rPr>
      </w:pPr>
      <w:r w:rsidRPr="00EF4B4B">
        <w:rPr>
          <w:rFonts w:cs="David" w:hint="cs"/>
          <w:sz w:val="28"/>
          <w:szCs w:val="28"/>
          <w:rtl/>
        </w:rPr>
        <w:t>יחד עם זאת, חוקי היסוד האמורים כוללים גם כמה הוראות ומושגים רחבים ועמומים והם מעלים את האפשרות שיש מקום לכלול במסגרתם אינטרסים וחרויות נוספים.</w:t>
      </w:r>
    </w:p>
    <w:p w:rsidR="00512C97" w:rsidRPr="00EF4B4B" w:rsidRDefault="00512C97" w:rsidP="00512C97">
      <w:pPr>
        <w:spacing w:line="360" w:lineRule="auto"/>
        <w:jc w:val="both"/>
        <w:rPr>
          <w:rFonts w:cs="David"/>
          <w:sz w:val="28"/>
          <w:szCs w:val="28"/>
          <w:rtl/>
        </w:rPr>
      </w:pPr>
      <w:r w:rsidRPr="00EF4B4B">
        <w:rPr>
          <w:rFonts w:cs="David" w:hint="cs"/>
          <w:sz w:val="28"/>
          <w:szCs w:val="28"/>
          <w:rtl/>
        </w:rPr>
        <w:t>לפיכך, התעוררה השאלה האם או באיזו מידה ראוי לפרש את חוקי היסוד ובעיקר את חוק יסוד: כבוד האדם וחרותו, אשר כולל את המושגים הרחבים,  'כבוד' ו'חרות' באופן רחב, כך שיכלול גם את אותה זכות יסוד שהוכרה כבר בפסיקה, הזכות לחופש הביטוי, או שמא יש לראות זאת כהסדר שלילי בכל הנוגע אליו?</w:t>
      </w:r>
      <w:r>
        <w:rPr>
          <w:rFonts w:cs="David" w:hint="cs"/>
          <w:sz w:val="28"/>
          <w:szCs w:val="28"/>
          <w:rtl/>
        </w:rPr>
        <w:t xml:space="preserve"> </w:t>
      </w:r>
      <w:r w:rsidRPr="00EF4B4B">
        <w:rPr>
          <w:rFonts w:cs="David" w:hint="cs"/>
          <w:sz w:val="28"/>
          <w:szCs w:val="28"/>
          <w:rtl/>
        </w:rPr>
        <w:t xml:space="preserve">בלשון אחרת, האם חופש הביטוי הינו חלק מהמושגים 'כבוד האדם' ו'חרותו', למרות שאינו מעוגן מפורשות בחוק </w:t>
      </w:r>
      <w:r>
        <w:rPr>
          <w:rFonts w:cs="David" w:hint="cs"/>
          <w:sz w:val="28"/>
          <w:szCs w:val="28"/>
          <w:rtl/>
        </w:rPr>
        <w:t xml:space="preserve">יסוד: כבוד האדם וחרותו </w:t>
      </w:r>
      <w:r w:rsidRPr="00EF4B4B">
        <w:rPr>
          <w:rFonts w:cs="David" w:hint="cs"/>
          <w:sz w:val="28"/>
          <w:szCs w:val="28"/>
          <w:rtl/>
        </w:rPr>
        <w:t>או בחוקי היסוד האחרים של המדינה?</w:t>
      </w:r>
    </w:p>
    <w:p w:rsidR="00512C97" w:rsidRPr="00EF4B4B" w:rsidRDefault="00512C97" w:rsidP="00512C97">
      <w:pPr>
        <w:spacing w:line="360" w:lineRule="auto"/>
        <w:jc w:val="both"/>
        <w:rPr>
          <w:rFonts w:cs="David"/>
          <w:sz w:val="28"/>
          <w:szCs w:val="28"/>
          <w:rtl/>
        </w:rPr>
      </w:pPr>
      <w:r w:rsidRPr="00EF4B4B">
        <w:rPr>
          <w:rFonts w:cs="David" w:hint="cs"/>
          <w:sz w:val="28"/>
          <w:szCs w:val="28"/>
          <w:rtl/>
        </w:rPr>
        <w:t>לתשובה על שאלה זו יש חשיבות מעשית</w:t>
      </w:r>
      <w:r>
        <w:rPr>
          <w:rFonts w:cs="David" w:hint="cs"/>
          <w:sz w:val="28"/>
          <w:szCs w:val="28"/>
          <w:rtl/>
        </w:rPr>
        <w:t xml:space="preserve"> ולא רק עיונית,</w:t>
      </w:r>
      <w:r w:rsidRPr="00EF4B4B">
        <w:rPr>
          <w:rFonts w:cs="David" w:hint="cs"/>
          <w:sz w:val="28"/>
          <w:szCs w:val="28"/>
          <w:rtl/>
        </w:rPr>
        <w:t xml:space="preserve"> לאור הקביעה של</w:t>
      </w:r>
      <w:r>
        <w:rPr>
          <w:rFonts w:cs="David" w:hint="cs"/>
          <w:sz w:val="28"/>
          <w:szCs w:val="28"/>
          <w:rtl/>
        </w:rPr>
        <w:t xml:space="preserve"> בתי המשפט כי האינטרסים והחרויות</w:t>
      </w:r>
      <w:r w:rsidRPr="00EF4B4B">
        <w:rPr>
          <w:rFonts w:cs="David" w:hint="cs"/>
          <w:sz w:val="28"/>
          <w:szCs w:val="28"/>
          <w:rtl/>
        </w:rPr>
        <w:t xml:space="preserve"> אשר עוגנו בחוקי היסוד יזכו למעמד חוקתי מיוחד, מעבר לאינטרסים וחרויות שהוכרו כזכויות יסוד ו</w:t>
      </w:r>
      <w:r>
        <w:rPr>
          <w:rFonts w:cs="David" w:hint="cs"/>
          <w:sz w:val="28"/>
          <w:szCs w:val="28"/>
          <w:rtl/>
        </w:rPr>
        <w:t xml:space="preserve">כבעלי </w:t>
      </w:r>
      <w:r w:rsidRPr="00EF4B4B">
        <w:rPr>
          <w:rFonts w:cs="David" w:hint="cs"/>
          <w:sz w:val="28"/>
          <w:szCs w:val="28"/>
          <w:rtl/>
        </w:rPr>
        <w:t xml:space="preserve">מעמד </w:t>
      </w:r>
      <w:r w:rsidRPr="00DB4C4D">
        <w:rPr>
          <w:rFonts w:cs="David" w:hint="cs"/>
          <w:sz w:val="28"/>
          <w:szCs w:val="28"/>
          <w:rtl/>
        </w:rPr>
        <w:t>חוקתי רק על ידי</w:t>
      </w:r>
      <w:r w:rsidRPr="00EF4B4B">
        <w:rPr>
          <w:rFonts w:cs="David" w:hint="cs"/>
          <w:sz w:val="28"/>
          <w:szCs w:val="28"/>
          <w:rtl/>
        </w:rPr>
        <w:t xml:space="preserve"> בתי המשפט.</w:t>
      </w:r>
    </w:p>
    <w:p w:rsidR="00512C97" w:rsidRPr="00EF4B4B" w:rsidRDefault="00512C97" w:rsidP="00512C97">
      <w:pPr>
        <w:spacing w:line="360" w:lineRule="auto"/>
        <w:jc w:val="both"/>
        <w:rPr>
          <w:rFonts w:cs="David"/>
          <w:sz w:val="28"/>
          <w:szCs w:val="28"/>
          <w:rtl/>
        </w:rPr>
      </w:pPr>
      <w:r w:rsidRPr="00EF4B4B">
        <w:rPr>
          <w:rFonts w:cs="David" w:hint="cs"/>
          <w:sz w:val="28"/>
          <w:szCs w:val="28"/>
          <w:rtl/>
        </w:rPr>
        <w:t xml:space="preserve">המעמד המיוחד של אינטרסים וחרויות הכלולים במסגרת חוקי היסוד כולל כמה היבטים. ראשית, נפסק שחוקי היסוד האמורים הם בעלי מעמד עדיף על פני חקיקה רגילה, שנחקקה לאחר כניסתם לתוקף של חוקי היסוד ולפיכך, חקיקה מנוגדת לחוקי היסוד </w:t>
      </w:r>
      <w:r>
        <w:rPr>
          <w:rFonts w:cs="David" w:hint="cs"/>
          <w:sz w:val="28"/>
          <w:szCs w:val="28"/>
          <w:rtl/>
        </w:rPr>
        <w:t>-</w:t>
      </w:r>
      <w:r w:rsidRPr="00EF4B4B">
        <w:rPr>
          <w:rFonts w:cs="David" w:hint="cs"/>
          <w:sz w:val="28"/>
          <w:szCs w:val="28"/>
          <w:rtl/>
        </w:rPr>
        <w:t xml:space="preserve"> כלומר פוגעת באינטרסים ובחרויות הכלולים במסגרתם בלי לעמוד בתנאים של 'פסקת ההגבלה'</w:t>
      </w:r>
      <w:r w:rsidRPr="00EF4B4B">
        <w:rPr>
          <w:rStyle w:val="a5"/>
          <w:rFonts w:cs="David"/>
          <w:sz w:val="28"/>
          <w:szCs w:val="28"/>
          <w:rtl/>
        </w:rPr>
        <w:footnoteReference w:id="71"/>
      </w:r>
      <w:r>
        <w:rPr>
          <w:rFonts w:cs="David" w:hint="cs"/>
          <w:sz w:val="28"/>
          <w:szCs w:val="28"/>
          <w:rtl/>
        </w:rPr>
        <w:t xml:space="preserve"> - </w:t>
      </w:r>
      <w:r w:rsidRPr="00EF4B4B">
        <w:rPr>
          <w:rFonts w:cs="David" w:hint="cs"/>
          <w:sz w:val="28"/>
          <w:szCs w:val="28"/>
          <w:rtl/>
        </w:rPr>
        <w:t>היא חסרת תוקף ובתי המשפט מוסמכים להצהיר על בטלותה.</w:t>
      </w:r>
      <w:r w:rsidRPr="00EF4B4B">
        <w:rPr>
          <w:rStyle w:val="a5"/>
          <w:rFonts w:cs="David"/>
          <w:sz w:val="28"/>
          <w:szCs w:val="28"/>
          <w:rtl/>
        </w:rPr>
        <w:footnoteReference w:id="72"/>
      </w:r>
      <w:r>
        <w:rPr>
          <w:rFonts w:cs="David" w:hint="cs"/>
          <w:sz w:val="28"/>
          <w:szCs w:val="28"/>
          <w:rtl/>
        </w:rPr>
        <w:t xml:space="preserve"> </w:t>
      </w:r>
      <w:r w:rsidRPr="00EF4B4B">
        <w:rPr>
          <w:rFonts w:cs="David" w:hint="cs"/>
          <w:sz w:val="28"/>
          <w:szCs w:val="28"/>
          <w:rtl/>
        </w:rPr>
        <w:t>שנית, נפסק בדעת רוב בפסיקה, שבמסגרת הפרשנות של החקיקה יש לתת לאינטרסים ולחרויות המעוגנים בחוקי היסוד משקל נוסף בהשוואה למשקלם לפני חקיקת חוקי היסוד.</w:t>
      </w:r>
      <w:r w:rsidRPr="00EF4B4B">
        <w:rPr>
          <w:rStyle w:val="a5"/>
          <w:rFonts w:cs="David"/>
          <w:sz w:val="28"/>
          <w:szCs w:val="28"/>
          <w:rtl/>
        </w:rPr>
        <w:footnoteReference w:id="73"/>
      </w:r>
    </w:p>
    <w:p w:rsidR="00512C97" w:rsidRPr="00EF4B4B" w:rsidRDefault="00512C97" w:rsidP="00512C97">
      <w:pPr>
        <w:spacing w:line="360" w:lineRule="auto"/>
        <w:jc w:val="both"/>
        <w:rPr>
          <w:rFonts w:cs="David"/>
          <w:sz w:val="28"/>
          <w:szCs w:val="28"/>
          <w:rtl/>
        </w:rPr>
      </w:pPr>
      <w:r w:rsidRPr="00EF4B4B">
        <w:rPr>
          <w:rFonts w:cs="David" w:hint="cs"/>
          <w:sz w:val="28"/>
          <w:szCs w:val="28"/>
          <w:rtl/>
        </w:rPr>
        <w:t xml:space="preserve">הספרות המשפטית והפסיקה מביעות לאורך השנים שתי עמדות בנוגע להיקפם של חוקי היסוד, הן באופן </w:t>
      </w:r>
      <w:r>
        <w:rPr>
          <w:rFonts w:cs="David" w:hint="cs"/>
          <w:sz w:val="28"/>
          <w:szCs w:val="28"/>
          <w:rtl/>
        </w:rPr>
        <w:t>ה</w:t>
      </w:r>
      <w:r w:rsidRPr="00EF4B4B">
        <w:rPr>
          <w:rFonts w:cs="David" w:hint="cs"/>
          <w:sz w:val="28"/>
          <w:szCs w:val="28"/>
          <w:rtl/>
        </w:rPr>
        <w:t xml:space="preserve">כללי והן באופן </w:t>
      </w:r>
      <w:r>
        <w:rPr>
          <w:rFonts w:cs="David" w:hint="cs"/>
          <w:sz w:val="28"/>
          <w:szCs w:val="28"/>
          <w:rtl/>
        </w:rPr>
        <w:t>ה</w:t>
      </w:r>
      <w:r w:rsidRPr="00EF4B4B">
        <w:rPr>
          <w:rFonts w:cs="David" w:hint="cs"/>
          <w:sz w:val="28"/>
          <w:szCs w:val="28"/>
          <w:rtl/>
        </w:rPr>
        <w:t>פרטני</w:t>
      </w:r>
      <w:r>
        <w:rPr>
          <w:rFonts w:cs="David" w:hint="cs"/>
          <w:sz w:val="28"/>
          <w:szCs w:val="28"/>
          <w:rtl/>
        </w:rPr>
        <w:t xml:space="preserve"> הנוגע </w:t>
      </w:r>
      <w:r w:rsidRPr="00EF4B4B">
        <w:rPr>
          <w:rFonts w:cs="David" w:hint="cs"/>
          <w:sz w:val="28"/>
          <w:szCs w:val="28"/>
          <w:rtl/>
        </w:rPr>
        <w:t>ל</w:t>
      </w:r>
      <w:r>
        <w:rPr>
          <w:rFonts w:cs="David" w:hint="cs"/>
          <w:sz w:val="28"/>
          <w:szCs w:val="28"/>
          <w:rtl/>
        </w:rPr>
        <w:t xml:space="preserve">זכות </w:t>
      </w:r>
      <w:r w:rsidRPr="00EF4B4B">
        <w:rPr>
          <w:rFonts w:cs="David" w:hint="cs"/>
          <w:sz w:val="28"/>
          <w:szCs w:val="28"/>
          <w:rtl/>
        </w:rPr>
        <w:t>חופש הביטוי.</w:t>
      </w:r>
      <w:r>
        <w:rPr>
          <w:rFonts w:cs="David" w:hint="cs"/>
          <w:sz w:val="28"/>
          <w:szCs w:val="28"/>
          <w:rtl/>
        </w:rPr>
        <w:t xml:space="preserve"> </w:t>
      </w:r>
      <w:r w:rsidRPr="00EF4B4B">
        <w:rPr>
          <w:rFonts w:cs="David" w:hint="cs"/>
          <w:sz w:val="28"/>
          <w:szCs w:val="28"/>
          <w:rtl/>
        </w:rPr>
        <w:t xml:space="preserve">האחת, העמדה המרחיבה המפרשת את חוק יסוד: כבוד האדם וחרותו באופן הכולל </w:t>
      </w:r>
      <w:r w:rsidRPr="00EF4B4B">
        <w:rPr>
          <w:rFonts w:cs="David" w:hint="cs"/>
          <w:sz w:val="28"/>
          <w:szCs w:val="28"/>
          <w:rtl/>
        </w:rPr>
        <w:lastRenderedPageBreak/>
        <w:t>במסגרתו אינטרסים וחרויות רחבים רבים, אשר אינם מוזכרים בו במפורש ובכלל זה את חופש הביטוי.</w:t>
      </w:r>
      <w:r w:rsidRPr="00EF4B4B">
        <w:rPr>
          <w:rStyle w:val="a5"/>
          <w:rFonts w:cs="David"/>
          <w:sz w:val="28"/>
          <w:szCs w:val="28"/>
          <w:rtl/>
        </w:rPr>
        <w:footnoteReference w:id="74"/>
      </w:r>
    </w:p>
    <w:p w:rsidR="00512C97" w:rsidRDefault="00512C97" w:rsidP="00512C97">
      <w:pPr>
        <w:spacing w:line="360" w:lineRule="auto"/>
        <w:jc w:val="both"/>
        <w:rPr>
          <w:rFonts w:cs="David"/>
          <w:sz w:val="28"/>
          <w:szCs w:val="28"/>
          <w:rtl/>
        </w:rPr>
      </w:pPr>
      <w:r>
        <w:rPr>
          <w:rFonts w:cs="David" w:hint="cs"/>
          <w:sz w:val="28"/>
          <w:szCs w:val="28"/>
          <w:rtl/>
        </w:rPr>
        <w:t xml:space="preserve">השנייה, </w:t>
      </w:r>
      <w:r w:rsidRPr="00EF4B4B">
        <w:rPr>
          <w:rFonts w:cs="David" w:hint="cs"/>
          <w:sz w:val="28"/>
          <w:szCs w:val="28"/>
          <w:rtl/>
        </w:rPr>
        <w:t xml:space="preserve">העמדה הצרה יותר מפרשת את חוק יסוד: כבוד האדם וחרותו באופן הכולל במסגרתו רק אינטרסים וחרויות שיש להם נגיעה מיוחדת לגרעין הקשה והמובהק של המושג </w:t>
      </w:r>
      <w:r>
        <w:rPr>
          <w:rFonts w:cs="David" w:hint="cs"/>
          <w:sz w:val="28"/>
          <w:szCs w:val="28"/>
          <w:rtl/>
        </w:rPr>
        <w:t>'</w:t>
      </w:r>
      <w:r w:rsidRPr="00EF4B4B">
        <w:rPr>
          <w:rFonts w:cs="David" w:hint="cs"/>
          <w:sz w:val="28"/>
          <w:szCs w:val="28"/>
          <w:rtl/>
        </w:rPr>
        <w:t>כבוד האדם</w:t>
      </w:r>
      <w:r>
        <w:rPr>
          <w:rFonts w:cs="David" w:hint="cs"/>
          <w:sz w:val="28"/>
          <w:szCs w:val="28"/>
          <w:rtl/>
        </w:rPr>
        <w:t>' ושכולל רק את הפגיעות 'המובהקות, והקלאסיות בכבוד ובחרות והקשורות לאנושיותו של האדם'</w:t>
      </w:r>
      <w:r w:rsidRPr="00EF4B4B">
        <w:rPr>
          <w:rFonts w:cs="David" w:hint="cs"/>
          <w:sz w:val="28"/>
          <w:szCs w:val="28"/>
          <w:rtl/>
        </w:rPr>
        <w:t>.</w:t>
      </w:r>
      <w:r w:rsidRPr="00EF4B4B">
        <w:rPr>
          <w:rStyle w:val="a5"/>
          <w:rFonts w:cs="David"/>
          <w:sz w:val="28"/>
          <w:szCs w:val="28"/>
          <w:rtl/>
        </w:rPr>
        <w:footnoteReference w:id="75"/>
      </w:r>
      <w:r>
        <w:rPr>
          <w:rFonts w:cs="David" w:hint="cs"/>
          <w:sz w:val="28"/>
          <w:szCs w:val="28"/>
          <w:rtl/>
        </w:rPr>
        <w:t xml:space="preserve"> </w:t>
      </w:r>
    </w:p>
    <w:p w:rsidR="00512C97" w:rsidRPr="00EF4B4B" w:rsidRDefault="00512C97" w:rsidP="00D94A05">
      <w:pPr>
        <w:spacing w:line="360" w:lineRule="auto"/>
        <w:jc w:val="both"/>
        <w:rPr>
          <w:rFonts w:cs="David"/>
          <w:sz w:val="28"/>
          <w:szCs w:val="28"/>
          <w:rtl/>
        </w:rPr>
      </w:pPr>
      <w:r w:rsidRPr="00EF4B4B">
        <w:rPr>
          <w:rFonts w:cs="David" w:hint="cs"/>
          <w:sz w:val="28"/>
          <w:szCs w:val="28"/>
          <w:rtl/>
        </w:rPr>
        <w:t>המבחן</w:t>
      </w:r>
      <w:r w:rsidR="00D94A05">
        <w:rPr>
          <w:rFonts w:cs="David" w:hint="cs"/>
          <w:sz w:val="28"/>
          <w:szCs w:val="28"/>
          <w:rtl/>
        </w:rPr>
        <w:t>,</w:t>
      </w:r>
      <w:r w:rsidRPr="00EF4B4B">
        <w:rPr>
          <w:rFonts w:cs="David" w:hint="cs"/>
          <w:sz w:val="28"/>
          <w:szCs w:val="28"/>
          <w:rtl/>
        </w:rPr>
        <w:t xml:space="preserve"> שהוצע ב</w:t>
      </w:r>
      <w:r>
        <w:rPr>
          <w:rFonts w:cs="David" w:hint="cs"/>
          <w:sz w:val="28"/>
          <w:szCs w:val="28"/>
          <w:rtl/>
        </w:rPr>
        <w:t xml:space="preserve">חלק מפסקי הדין </w:t>
      </w:r>
      <w:r w:rsidRPr="00EF4B4B">
        <w:rPr>
          <w:rFonts w:cs="David" w:hint="cs"/>
          <w:sz w:val="28"/>
          <w:szCs w:val="28"/>
          <w:rtl/>
        </w:rPr>
        <w:t>להבחנה בין האינטרסים וחרויות</w:t>
      </w:r>
      <w:r w:rsidR="00D94A05">
        <w:rPr>
          <w:rFonts w:cs="David" w:hint="cs"/>
          <w:sz w:val="28"/>
          <w:szCs w:val="28"/>
          <w:rtl/>
        </w:rPr>
        <w:t>,</w:t>
      </w:r>
      <w:r w:rsidRPr="00EF4B4B">
        <w:rPr>
          <w:rFonts w:cs="David" w:hint="cs"/>
          <w:sz w:val="28"/>
          <w:szCs w:val="28"/>
          <w:rtl/>
        </w:rPr>
        <w:t xml:space="preserve"> שהם חלק מ</w:t>
      </w:r>
      <w:r>
        <w:rPr>
          <w:rFonts w:cs="David" w:hint="cs"/>
          <w:sz w:val="28"/>
          <w:szCs w:val="28"/>
          <w:rtl/>
        </w:rPr>
        <w:t>'</w:t>
      </w:r>
      <w:r w:rsidRPr="00EF4B4B">
        <w:rPr>
          <w:rFonts w:cs="David" w:hint="cs"/>
          <w:sz w:val="28"/>
          <w:szCs w:val="28"/>
          <w:rtl/>
        </w:rPr>
        <w:t>כבוד האדם</w:t>
      </w:r>
      <w:r>
        <w:rPr>
          <w:rFonts w:cs="David" w:hint="cs"/>
          <w:sz w:val="28"/>
          <w:szCs w:val="28"/>
          <w:rtl/>
        </w:rPr>
        <w:t>'</w:t>
      </w:r>
      <w:r w:rsidRPr="00EF4B4B">
        <w:rPr>
          <w:rFonts w:cs="David" w:hint="cs"/>
          <w:sz w:val="28"/>
          <w:szCs w:val="28"/>
          <w:rtl/>
        </w:rPr>
        <w:t xml:space="preserve"> כמשמעו בחוק היסוד הוא השאלה</w:t>
      </w:r>
      <w:r w:rsidR="00D94A05">
        <w:rPr>
          <w:rFonts w:cs="David" w:hint="cs"/>
          <w:sz w:val="28"/>
          <w:szCs w:val="28"/>
          <w:rtl/>
        </w:rPr>
        <w:t>:</w:t>
      </w:r>
      <w:r w:rsidRPr="00EF4B4B">
        <w:rPr>
          <w:rFonts w:cs="David" w:hint="cs"/>
          <w:sz w:val="28"/>
          <w:szCs w:val="28"/>
          <w:rtl/>
        </w:rPr>
        <w:t xml:space="preserve"> האם פגיעה בהם כרוכה ב'השפלה'</w:t>
      </w:r>
      <w:r w:rsidR="00D94A05">
        <w:rPr>
          <w:rFonts w:cs="David" w:hint="cs"/>
          <w:sz w:val="28"/>
          <w:szCs w:val="28"/>
          <w:rtl/>
        </w:rPr>
        <w:t>?</w:t>
      </w:r>
      <w:r w:rsidRPr="00EF4B4B">
        <w:rPr>
          <w:rFonts w:cs="David" w:hint="cs"/>
          <w:sz w:val="28"/>
          <w:szCs w:val="28"/>
          <w:rtl/>
        </w:rPr>
        <w:t xml:space="preserve"> לפיכך, הוצע </w:t>
      </w:r>
      <w:r>
        <w:rPr>
          <w:rFonts w:cs="David" w:hint="cs"/>
          <w:sz w:val="28"/>
          <w:szCs w:val="28"/>
          <w:rtl/>
        </w:rPr>
        <w:t xml:space="preserve">לראות </w:t>
      </w:r>
      <w:r w:rsidRPr="00EF4B4B">
        <w:rPr>
          <w:rFonts w:cs="David" w:hint="cs"/>
          <w:sz w:val="28"/>
          <w:szCs w:val="28"/>
          <w:rtl/>
        </w:rPr>
        <w:t>את הפגיעות האלה כפגיעות בכבוד האדם: פגיעה פיזית, פגיעה נפשית</w:t>
      </w:r>
      <w:r>
        <w:rPr>
          <w:rFonts w:cs="David" w:hint="cs"/>
          <w:sz w:val="28"/>
          <w:szCs w:val="28"/>
          <w:rtl/>
        </w:rPr>
        <w:t xml:space="preserve">, </w:t>
      </w:r>
      <w:r w:rsidRPr="00EF4B4B">
        <w:rPr>
          <w:rFonts w:cs="David" w:hint="cs"/>
          <w:sz w:val="28"/>
          <w:szCs w:val="28"/>
          <w:rtl/>
        </w:rPr>
        <w:t>עינויים, ענישה אכזרית, פגיעה בשמו הטוב של האדם, אי סיפוק צרכים בסיסיים לקיום אנושי</w:t>
      </w:r>
      <w:r>
        <w:rPr>
          <w:rFonts w:cs="David" w:hint="cs"/>
          <w:sz w:val="28"/>
          <w:szCs w:val="28"/>
          <w:rtl/>
        </w:rPr>
        <w:t xml:space="preserve"> ו</w:t>
      </w:r>
      <w:r w:rsidRPr="00EF4B4B">
        <w:rPr>
          <w:rFonts w:cs="David" w:hint="cs"/>
          <w:sz w:val="28"/>
          <w:szCs w:val="28"/>
          <w:rtl/>
        </w:rPr>
        <w:t>אפליה על בסיס גזע או מין.</w:t>
      </w:r>
      <w:r w:rsidRPr="00EF4B4B">
        <w:rPr>
          <w:rStyle w:val="a5"/>
          <w:rFonts w:cs="David"/>
          <w:sz w:val="28"/>
          <w:szCs w:val="28"/>
          <w:rtl/>
        </w:rPr>
        <w:footnoteReference w:id="76"/>
      </w:r>
      <w:r w:rsidRPr="00EF4B4B">
        <w:rPr>
          <w:rFonts w:cs="David" w:hint="cs"/>
          <w:sz w:val="28"/>
          <w:szCs w:val="28"/>
          <w:rtl/>
        </w:rPr>
        <w:t xml:space="preserve"> במסגרת עמדה צרה זו הובע ספק</w:t>
      </w:r>
      <w:r w:rsidR="00D94A05">
        <w:rPr>
          <w:rFonts w:cs="David" w:hint="cs"/>
          <w:sz w:val="28"/>
          <w:szCs w:val="28"/>
          <w:rtl/>
        </w:rPr>
        <w:t>,</w:t>
      </w:r>
      <w:r w:rsidRPr="00EF4B4B">
        <w:rPr>
          <w:rFonts w:cs="David" w:hint="cs"/>
          <w:sz w:val="28"/>
          <w:szCs w:val="28"/>
          <w:rtl/>
        </w:rPr>
        <w:t xml:space="preserve"> הנוגע למעמדו החוקתי של חופש הביטוי ואם הוכר ככזה, היה זה רק באשר להיבטים מסוימים של חופש הביטוי </w:t>
      </w:r>
      <w:r>
        <w:rPr>
          <w:rFonts w:cs="David" w:hint="cs"/>
          <w:sz w:val="28"/>
          <w:szCs w:val="28"/>
          <w:rtl/>
        </w:rPr>
        <w:t>-</w:t>
      </w:r>
      <w:r w:rsidRPr="00EF4B4B">
        <w:rPr>
          <w:rFonts w:cs="David" w:hint="cs"/>
          <w:sz w:val="28"/>
          <w:szCs w:val="28"/>
          <w:rtl/>
        </w:rPr>
        <w:t xml:space="preserve"> שלילה של חופש הביטוי הפוגעת 'בכבודו של האדם באשר הוא אדם' או כרוכה ב'השפלה' </w:t>
      </w:r>
      <w:r>
        <w:rPr>
          <w:rFonts w:cs="David" w:hint="cs"/>
          <w:sz w:val="28"/>
          <w:szCs w:val="28"/>
          <w:rtl/>
        </w:rPr>
        <w:t>-</w:t>
      </w:r>
      <w:r w:rsidRPr="00EF4B4B">
        <w:rPr>
          <w:rFonts w:cs="David" w:hint="cs"/>
          <w:sz w:val="28"/>
          <w:szCs w:val="28"/>
          <w:rtl/>
        </w:rPr>
        <w:t xml:space="preserve"> אך לא היבטים אחרים של חופש הביטוי.</w:t>
      </w:r>
      <w:r w:rsidRPr="00EF4B4B">
        <w:rPr>
          <w:rStyle w:val="a5"/>
          <w:rFonts w:cs="David"/>
          <w:sz w:val="28"/>
          <w:szCs w:val="28"/>
          <w:rtl/>
        </w:rPr>
        <w:footnoteReference w:id="77"/>
      </w:r>
    </w:p>
    <w:p w:rsidR="004D2E96" w:rsidRDefault="00512C97" w:rsidP="00845D1C">
      <w:pPr>
        <w:spacing w:line="360" w:lineRule="auto"/>
        <w:jc w:val="both"/>
        <w:rPr>
          <w:rFonts w:cs="David"/>
          <w:sz w:val="28"/>
          <w:szCs w:val="28"/>
          <w:rtl/>
        </w:rPr>
      </w:pPr>
      <w:r>
        <w:rPr>
          <w:rFonts w:cs="David" w:hint="cs"/>
          <w:sz w:val="28"/>
          <w:szCs w:val="28"/>
          <w:rtl/>
        </w:rPr>
        <w:t xml:space="preserve">ההכרעה </w:t>
      </w:r>
      <w:r w:rsidRPr="00EF4B4B">
        <w:rPr>
          <w:rFonts w:cs="David" w:hint="cs"/>
          <w:sz w:val="28"/>
          <w:szCs w:val="28"/>
          <w:rtl/>
        </w:rPr>
        <w:t xml:space="preserve">איזו מבין הפרשנויות </w:t>
      </w:r>
      <w:r>
        <w:rPr>
          <w:rFonts w:cs="David" w:hint="cs"/>
          <w:sz w:val="28"/>
          <w:szCs w:val="28"/>
          <w:rtl/>
        </w:rPr>
        <w:t>האמורות היא התקפה</w:t>
      </w:r>
      <w:r w:rsidRPr="00EF4B4B">
        <w:rPr>
          <w:rFonts w:cs="David" w:hint="cs"/>
          <w:sz w:val="28"/>
          <w:szCs w:val="28"/>
          <w:rtl/>
        </w:rPr>
        <w:t xml:space="preserve"> </w:t>
      </w:r>
      <w:r>
        <w:rPr>
          <w:rFonts w:cs="David" w:hint="cs"/>
          <w:sz w:val="28"/>
          <w:szCs w:val="28"/>
          <w:rtl/>
        </w:rPr>
        <w:t>כיום -</w:t>
      </w:r>
      <w:r w:rsidRPr="00EF4B4B">
        <w:rPr>
          <w:rFonts w:cs="David" w:hint="cs"/>
          <w:sz w:val="28"/>
          <w:szCs w:val="28"/>
          <w:rtl/>
        </w:rPr>
        <w:t xml:space="preserve"> הפרשנות הרחבה או הפרשנות הצרה </w:t>
      </w:r>
      <w:r>
        <w:rPr>
          <w:rFonts w:cs="David" w:hint="cs"/>
          <w:sz w:val="28"/>
          <w:szCs w:val="28"/>
          <w:rtl/>
        </w:rPr>
        <w:t>-</w:t>
      </w:r>
      <w:r w:rsidRPr="00EF4B4B">
        <w:rPr>
          <w:rFonts w:cs="David" w:hint="cs"/>
          <w:sz w:val="28"/>
          <w:szCs w:val="28"/>
          <w:rtl/>
        </w:rPr>
        <w:t xml:space="preserve"> </w:t>
      </w:r>
      <w:r>
        <w:rPr>
          <w:rFonts w:cs="David" w:hint="cs"/>
          <w:sz w:val="28"/>
          <w:szCs w:val="28"/>
          <w:rtl/>
        </w:rPr>
        <w:t xml:space="preserve">באה לידי ביטוי </w:t>
      </w:r>
      <w:r w:rsidRPr="00EF4B4B">
        <w:rPr>
          <w:rFonts w:cs="David" w:hint="cs"/>
          <w:sz w:val="28"/>
          <w:szCs w:val="28"/>
          <w:rtl/>
        </w:rPr>
        <w:t>בשנים האחרונות במספר פסקי דין של בית המשפט העליון</w:t>
      </w:r>
      <w:r>
        <w:rPr>
          <w:rFonts w:cs="David" w:hint="cs"/>
          <w:sz w:val="28"/>
          <w:szCs w:val="28"/>
          <w:rtl/>
        </w:rPr>
        <w:t>, שם נקבע כי זכות חופש הביטוי מוכרת ככזאת שמוחלת בתוך חוק יסוד: כבוד האדם וחרותו.</w:t>
      </w:r>
    </w:p>
    <w:p w:rsidR="00512C97" w:rsidRDefault="00512C97" w:rsidP="00215481">
      <w:pPr>
        <w:spacing w:line="360" w:lineRule="auto"/>
        <w:jc w:val="both"/>
        <w:rPr>
          <w:rFonts w:cs="David"/>
          <w:sz w:val="28"/>
          <w:szCs w:val="28"/>
          <w:rtl/>
        </w:rPr>
      </w:pPr>
      <w:r>
        <w:rPr>
          <w:rFonts w:cs="David" w:hint="cs"/>
          <w:sz w:val="28"/>
          <w:szCs w:val="28"/>
          <w:rtl/>
        </w:rPr>
        <w:t xml:space="preserve">לסיכום, ניתן להביא את דברי </w:t>
      </w:r>
      <w:r w:rsidR="0077264A">
        <w:rPr>
          <w:rFonts w:cs="David" w:hint="cs"/>
          <w:sz w:val="28"/>
          <w:szCs w:val="28"/>
          <w:rtl/>
        </w:rPr>
        <w:t>כבוד השופט</w:t>
      </w:r>
      <w:r w:rsidRPr="00EF4B4B">
        <w:rPr>
          <w:rFonts w:cs="David" w:hint="cs"/>
          <w:sz w:val="28"/>
          <w:szCs w:val="28"/>
          <w:rtl/>
        </w:rPr>
        <w:t xml:space="preserve"> הנדל </w:t>
      </w:r>
      <w:r w:rsidR="00215481" w:rsidRPr="00EF4B4B">
        <w:rPr>
          <w:rFonts w:cs="David" w:hint="cs"/>
          <w:sz w:val="28"/>
          <w:szCs w:val="28"/>
          <w:rtl/>
        </w:rPr>
        <w:t>ב</w:t>
      </w:r>
      <w:r w:rsidR="00215481" w:rsidRPr="00E70E1E">
        <w:rPr>
          <w:rFonts w:cs="David" w:hint="cs"/>
          <w:b/>
          <w:bCs/>
          <w:sz w:val="28"/>
          <w:szCs w:val="28"/>
          <w:rtl/>
        </w:rPr>
        <w:t>רע"פ מדינת ישראל נ' מיכאל בן</w:t>
      </w:r>
      <w:r w:rsidR="00215481">
        <w:rPr>
          <w:rFonts w:cs="David" w:hint="cs"/>
          <w:b/>
          <w:bCs/>
          <w:sz w:val="28"/>
          <w:szCs w:val="28"/>
          <w:rtl/>
        </w:rPr>
        <w:t>-</w:t>
      </w:r>
      <w:r w:rsidR="00215481" w:rsidRPr="00E70E1E">
        <w:rPr>
          <w:rFonts w:cs="David" w:hint="cs"/>
          <w:b/>
          <w:bCs/>
          <w:sz w:val="28"/>
          <w:szCs w:val="28"/>
          <w:rtl/>
        </w:rPr>
        <w:t xml:space="preserve">חורין </w:t>
      </w:r>
      <w:r w:rsidR="00215481" w:rsidRPr="00EF4B4B">
        <w:rPr>
          <w:rFonts w:cs="David" w:hint="cs"/>
          <w:sz w:val="28"/>
          <w:szCs w:val="28"/>
          <w:rtl/>
        </w:rPr>
        <w:t xml:space="preserve">(להלן: </w:t>
      </w:r>
      <w:r w:rsidR="00215481" w:rsidRPr="00EF4B4B">
        <w:rPr>
          <w:rFonts w:cs="David" w:hint="cs"/>
          <w:b/>
          <w:bCs/>
          <w:sz w:val="28"/>
          <w:szCs w:val="28"/>
          <w:rtl/>
        </w:rPr>
        <w:t xml:space="preserve">עניין </w:t>
      </w:r>
      <w:r w:rsidR="00215481">
        <w:rPr>
          <w:rFonts w:cs="David" w:hint="cs"/>
          <w:b/>
          <w:bCs/>
          <w:sz w:val="28"/>
          <w:szCs w:val="28"/>
          <w:rtl/>
        </w:rPr>
        <w:t>'</w:t>
      </w:r>
      <w:r w:rsidR="00215481" w:rsidRPr="00EF4B4B">
        <w:rPr>
          <w:rFonts w:cs="David" w:hint="cs"/>
          <w:b/>
          <w:bCs/>
          <w:sz w:val="28"/>
          <w:szCs w:val="28"/>
          <w:rtl/>
        </w:rPr>
        <w:t>בן-חורין</w:t>
      </w:r>
      <w:r w:rsidR="00215481">
        <w:rPr>
          <w:rFonts w:cs="David" w:hint="cs"/>
          <w:b/>
          <w:bCs/>
          <w:sz w:val="28"/>
          <w:szCs w:val="28"/>
          <w:rtl/>
        </w:rPr>
        <w:t>'</w:t>
      </w:r>
      <w:r w:rsidR="00215481" w:rsidRPr="00EF4B4B">
        <w:rPr>
          <w:rFonts w:cs="David" w:hint="cs"/>
          <w:sz w:val="28"/>
          <w:szCs w:val="28"/>
          <w:rtl/>
        </w:rPr>
        <w:t>)</w:t>
      </w:r>
      <w:r>
        <w:rPr>
          <w:rFonts w:cs="David" w:hint="cs"/>
          <w:sz w:val="28"/>
          <w:szCs w:val="28"/>
          <w:rtl/>
        </w:rPr>
        <w:t>:</w:t>
      </w:r>
      <w:r w:rsidRPr="00EF4B4B">
        <w:rPr>
          <w:rStyle w:val="a5"/>
          <w:rFonts w:cs="David"/>
          <w:sz w:val="28"/>
          <w:szCs w:val="28"/>
          <w:rtl/>
        </w:rPr>
        <w:footnoteReference w:id="78"/>
      </w:r>
    </w:p>
    <w:p w:rsidR="00512C97" w:rsidRDefault="00512C97" w:rsidP="00225942">
      <w:pPr>
        <w:spacing w:line="360" w:lineRule="auto"/>
        <w:ind w:left="720"/>
        <w:jc w:val="both"/>
        <w:rPr>
          <w:rFonts w:cs="David"/>
          <w:b/>
          <w:bCs/>
          <w:sz w:val="32"/>
          <w:szCs w:val="32"/>
          <w:rtl/>
        </w:rPr>
      </w:pPr>
      <w:r w:rsidRPr="00A9303D">
        <w:rPr>
          <w:rFonts w:cs="David" w:hint="cs"/>
          <w:sz w:val="24"/>
          <w:szCs w:val="24"/>
          <w:rtl/>
        </w:rPr>
        <w:t>מעמדו האיתן של חופש הביטוי מימים ימימה</w:t>
      </w:r>
      <w:r w:rsidRPr="00A9303D">
        <w:rPr>
          <w:rFonts w:cs="David" w:hint="cs"/>
          <w:b/>
          <w:bCs/>
          <w:sz w:val="24"/>
          <w:szCs w:val="24"/>
          <w:rtl/>
        </w:rPr>
        <w:t xml:space="preserve"> עלה במדרגתו משעה שנחקק חוק יסוד: כבוד האדם וחרותו</w:t>
      </w:r>
      <w:r w:rsidRPr="00A9303D">
        <w:rPr>
          <w:rFonts w:cs="David" w:hint="cs"/>
          <w:sz w:val="24"/>
          <w:szCs w:val="24"/>
          <w:rtl/>
        </w:rPr>
        <w:t xml:space="preserve">. כדברי חברתי, הנשיאה ביניש: הזכות לחופש הביטוי הוכרה בפסיקת </w:t>
      </w:r>
      <w:r w:rsidRPr="00A9303D">
        <w:rPr>
          <w:rFonts w:cs="David" w:hint="cs"/>
          <w:sz w:val="24"/>
          <w:szCs w:val="24"/>
          <w:rtl/>
        </w:rPr>
        <w:lastRenderedPageBreak/>
        <w:t xml:space="preserve">בית משפט זה כזכות יסוד עוד בשנותיו הראשונות וכיום היא אף </w:t>
      </w:r>
      <w:r w:rsidRPr="00A9303D">
        <w:rPr>
          <w:rFonts w:cs="David" w:hint="cs"/>
          <w:b/>
          <w:bCs/>
          <w:sz w:val="24"/>
          <w:szCs w:val="24"/>
          <w:rtl/>
        </w:rPr>
        <w:t>נהנית ממעמד חוקתי על-חוקי כחלק מהזכות החוקתית לכבוד האדם</w:t>
      </w:r>
      <w:r w:rsidRPr="00A9303D">
        <w:rPr>
          <w:rFonts w:cs="David" w:hint="cs"/>
          <w:sz w:val="24"/>
          <w:szCs w:val="24"/>
          <w:rtl/>
        </w:rPr>
        <w:t>. (ההדגשות של הח"מ - ר"מ)</w:t>
      </w:r>
    </w:p>
    <w:p w:rsidR="00512C97" w:rsidRPr="00B50425" w:rsidRDefault="00512C97" w:rsidP="00512C97">
      <w:pPr>
        <w:spacing w:line="360" w:lineRule="auto"/>
        <w:jc w:val="both"/>
        <w:rPr>
          <w:rFonts w:cs="David"/>
          <w:b/>
          <w:bCs/>
          <w:sz w:val="28"/>
          <w:szCs w:val="28"/>
          <w:rtl/>
        </w:rPr>
      </w:pPr>
      <w:r>
        <w:rPr>
          <w:rFonts w:cs="David" w:hint="cs"/>
          <w:b/>
          <w:bCs/>
          <w:sz w:val="32"/>
          <w:szCs w:val="32"/>
          <w:rtl/>
        </w:rPr>
        <w:t xml:space="preserve">ב. </w:t>
      </w:r>
      <w:r w:rsidRPr="00B50425">
        <w:rPr>
          <w:rFonts w:cs="David" w:hint="cs"/>
          <w:b/>
          <w:bCs/>
          <w:sz w:val="32"/>
          <w:szCs w:val="32"/>
          <w:rtl/>
        </w:rPr>
        <w:t xml:space="preserve">חופש הביטוי </w:t>
      </w:r>
      <w:r>
        <w:rPr>
          <w:rFonts w:cs="David" w:hint="cs"/>
          <w:b/>
          <w:bCs/>
          <w:sz w:val="32"/>
          <w:szCs w:val="32"/>
          <w:rtl/>
        </w:rPr>
        <w:t>מ</w:t>
      </w:r>
      <w:r w:rsidRPr="00B50425">
        <w:rPr>
          <w:rFonts w:cs="David" w:hint="cs"/>
          <w:b/>
          <w:bCs/>
          <w:sz w:val="32"/>
          <w:szCs w:val="32"/>
          <w:rtl/>
        </w:rPr>
        <w:t>ו</w:t>
      </w:r>
      <w:r>
        <w:rPr>
          <w:rFonts w:cs="David" w:hint="cs"/>
          <w:b/>
          <w:bCs/>
          <w:sz w:val="32"/>
          <w:szCs w:val="32"/>
          <w:rtl/>
        </w:rPr>
        <w:t xml:space="preserve">ל </w:t>
      </w:r>
      <w:r w:rsidRPr="00B50425">
        <w:rPr>
          <w:rFonts w:cs="David" w:hint="cs"/>
          <w:b/>
          <w:bCs/>
          <w:sz w:val="32"/>
          <w:szCs w:val="32"/>
          <w:rtl/>
        </w:rPr>
        <w:t xml:space="preserve">אינטרסים </w:t>
      </w:r>
      <w:r>
        <w:rPr>
          <w:rFonts w:cs="David" w:hint="cs"/>
          <w:b/>
          <w:bCs/>
          <w:sz w:val="32"/>
          <w:szCs w:val="32"/>
          <w:rtl/>
        </w:rPr>
        <w:t xml:space="preserve">וערכים </w:t>
      </w:r>
      <w:r w:rsidRPr="00B50425">
        <w:rPr>
          <w:rFonts w:cs="David" w:hint="cs"/>
          <w:b/>
          <w:bCs/>
          <w:sz w:val="32"/>
          <w:szCs w:val="32"/>
          <w:rtl/>
        </w:rPr>
        <w:t>אחרים</w:t>
      </w:r>
    </w:p>
    <w:p w:rsidR="00512C97" w:rsidRPr="00EF4B4B" w:rsidRDefault="00510906" w:rsidP="00512C97">
      <w:pPr>
        <w:spacing w:line="360" w:lineRule="auto"/>
        <w:jc w:val="both"/>
        <w:rPr>
          <w:rFonts w:cs="David"/>
          <w:sz w:val="28"/>
          <w:szCs w:val="28"/>
          <w:rtl/>
        </w:rPr>
      </w:pPr>
      <w:r>
        <w:rPr>
          <w:rFonts w:cs="David" w:hint="cs"/>
          <w:sz w:val="28"/>
          <w:szCs w:val="28"/>
          <w:rtl/>
        </w:rPr>
        <w:t>משהוצג</w:t>
      </w:r>
      <w:r w:rsidR="00512C97" w:rsidRPr="00EF4B4B">
        <w:rPr>
          <w:rFonts w:cs="David" w:hint="cs"/>
          <w:sz w:val="28"/>
          <w:szCs w:val="28"/>
          <w:rtl/>
        </w:rPr>
        <w:t xml:space="preserve"> כי היקפה של זכות חופש הביטוי הינה רחבה ולפי העמדה הרווחת בפסיקה ניתן אף לומר כי הינה </w:t>
      </w:r>
      <w:r w:rsidR="00512C97" w:rsidRPr="00510906">
        <w:rPr>
          <w:rFonts w:cs="David" w:hint="cs"/>
          <w:b/>
          <w:bCs/>
          <w:sz w:val="28"/>
          <w:szCs w:val="28"/>
          <w:rtl/>
        </w:rPr>
        <w:t>מוחלטת בהיקפה</w:t>
      </w:r>
      <w:r w:rsidR="00B50B35">
        <w:rPr>
          <w:rFonts w:cs="David" w:hint="cs"/>
          <w:sz w:val="28"/>
          <w:szCs w:val="28"/>
          <w:rtl/>
        </w:rPr>
        <w:t xml:space="preserve">, </w:t>
      </w:r>
      <w:r w:rsidR="004D2E96" w:rsidRPr="00250CF4">
        <w:rPr>
          <w:rFonts w:cs="David" w:hint="cs"/>
          <w:b/>
          <w:bCs/>
          <w:sz w:val="28"/>
          <w:szCs w:val="28"/>
          <w:rtl/>
        </w:rPr>
        <w:t>אך מאוזנת</w:t>
      </w:r>
      <w:r w:rsidR="004D2E96">
        <w:rPr>
          <w:rFonts w:cs="David" w:hint="cs"/>
          <w:sz w:val="28"/>
          <w:szCs w:val="28"/>
          <w:rtl/>
        </w:rPr>
        <w:t xml:space="preserve"> לעיתים על ידי אינטרסים נוגדים</w:t>
      </w:r>
      <w:r w:rsidR="00512C97" w:rsidRPr="00EF4B4B">
        <w:rPr>
          <w:rStyle w:val="a5"/>
          <w:rFonts w:cs="David"/>
          <w:sz w:val="28"/>
          <w:szCs w:val="28"/>
          <w:rtl/>
        </w:rPr>
        <w:footnoteReference w:id="79"/>
      </w:r>
      <w:r w:rsidR="004D2E96">
        <w:rPr>
          <w:rFonts w:cs="David" w:hint="cs"/>
          <w:sz w:val="28"/>
          <w:szCs w:val="28"/>
          <w:rtl/>
        </w:rPr>
        <w:t xml:space="preserve"> </w:t>
      </w:r>
      <w:r w:rsidR="00512C97" w:rsidRPr="00EF4B4B">
        <w:rPr>
          <w:rFonts w:cs="David" w:hint="cs"/>
          <w:sz w:val="28"/>
          <w:szCs w:val="28"/>
          <w:rtl/>
        </w:rPr>
        <w:t>וכי זכות זו מוכרת על ידי בית המשפט העליון כבעלת מעמד חוקתי על-חוקי, נשאלת השאלה</w:t>
      </w:r>
      <w:r w:rsidR="002F7F92">
        <w:rPr>
          <w:rFonts w:cs="David" w:hint="cs"/>
          <w:sz w:val="28"/>
          <w:szCs w:val="28"/>
          <w:rtl/>
        </w:rPr>
        <w:t>:</w:t>
      </w:r>
      <w:r w:rsidR="00512C97" w:rsidRPr="00EF4B4B">
        <w:rPr>
          <w:rFonts w:cs="David" w:hint="cs"/>
          <w:sz w:val="28"/>
          <w:szCs w:val="28"/>
          <w:rtl/>
        </w:rPr>
        <w:t xml:space="preserve"> האם המדובר בזכות מוחלטת</w:t>
      </w:r>
      <w:r w:rsidR="00512C97">
        <w:rPr>
          <w:rFonts w:cs="David" w:hint="cs"/>
          <w:sz w:val="28"/>
          <w:szCs w:val="28"/>
          <w:rtl/>
        </w:rPr>
        <w:t xml:space="preserve"> גם ב</w:t>
      </w:r>
      <w:r w:rsidR="00512C97" w:rsidRPr="00F41F86">
        <w:rPr>
          <w:rFonts w:cs="David" w:hint="cs"/>
          <w:b/>
          <w:bCs/>
          <w:sz w:val="28"/>
          <w:szCs w:val="28"/>
          <w:rtl/>
        </w:rPr>
        <w:t>מהותה</w:t>
      </w:r>
      <w:r w:rsidR="00512C97" w:rsidRPr="00EF4B4B">
        <w:rPr>
          <w:rFonts w:cs="David" w:hint="cs"/>
          <w:sz w:val="28"/>
          <w:szCs w:val="28"/>
          <w:rtl/>
        </w:rPr>
        <w:t>?</w:t>
      </w:r>
    </w:p>
    <w:p w:rsidR="00512C97" w:rsidRPr="00EF4B4B" w:rsidRDefault="00512C97" w:rsidP="00512C97">
      <w:pPr>
        <w:spacing w:line="360" w:lineRule="auto"/>
        <w:jc w:val="both"/>
        <w:rPr>
          <w:rFonts w:cs="David"/>
          <w:sz w:val="28"/>
          <w:szCs w:val="28"/>
          <w:rtl/>
        </w:rPr>
      </w:pPr>
      <w:r w:rsidRPr="00EF4B4B">
        <w:rPr>
          <w:rFonts w:cs="David" w:hint="cs"/>
          <w:sz w:val="28"/>
          <w:szCs w:val="28"/>
          <w:rtl/>
        </w:rPr>
        <w:t xml:space="preserve">לעיתים קרובות נכתב במשפט הישראלי כי חופש הביטוי, ככל זכות חוקתית, </w:t>
      </w:r>
      <w:r w:rsidRPr="007C47A0">
        <w:rPr>
          <w:rFonts w:cs="David" w:hint="cs"/>
          <w:b/>
          <w:bCs/>
          <w:sz w:val="28"/>
          <w:szCs w:val="28"/>
          <w:rtl/>
        </w:rPr>
        <w:t>אינו מוחלט. בתי המשפט חזרו והדגישו כי חופש הביטוי הוא חופש יחסי</w:t>
      </w:r>
      <w:r w:rsidRPr="00EF4B4B">
        <w:rPr>
          <w:rFonts w:cs="David" w:hint="cs"/>
          <w:sz w:val="28"/>
          <w:szCs w:val="28"/>
          <w:rtl/>
        </w:rPr>
        <w:t xml:space="preserve">. בכך, באה לידי ביטוי התפישה כי חופש הביטוי, עם כל חשיבותו, אינו הערך היחיד במרקם החיים בחברה ובמדינה ולצדו יש </w:t>
      </w:r>
      <w:r>
        <w:rPr>
          <w:rFonts w:cs="David" w:hint="cs"/>
          <w:sz w:val="28"/>
          <w:szCs w:val="28"/>
          <w:rtl/>
        </w:rPr>
        <w:t>אינטרסים ו</w:t>
      </w:r>
      <w:r w:rsidRPr="00EF4B4B">
        <w:rPr>
          <w:rFonts w:cs="David" w:hint="cs"/>
          <w:sz w:val="28"/>
          <w:szCs w:val="28"/>
          <w:rtl/>
        </w:rPr>
        <w:t>ערכים נוספים, של הפרט ושל הכלל וביטחונו.</w:t>
      </w:r>
      <w:r w:rsidRPr="00EF4B4B">
        <w:rPr>
          <w:rStyle w:val="a5"/>
          <w:rFonts w:cs="David"/>
          <w:sz w:val="28"/>
          <w:szCs w:val="28"/>
          <w:rtl/>
        </w:rPr>
        <w:footnoteReference w:id="80"/>
      </w:r>
    </w:p>
    <w:p w:rsidR="00512C97" w:rsidRPr="00EF4B4B" w:rsidRDefault="00512C97" w:rsidP="0077264A">
      <w:pPr>
        <w:spacing w:line="360" w:lineRule="auto"/>
        <w:jc w:val="both"/>
        <w:rPr>
          <w:rFonts w:cs="David"/>
          <w:i/>
          <w:iCs/>
          <w:sz w:val="28"/>
          <w:szCs w:val="28"/>
          <w:rtl/>
        </w:rPr>
      </w:pPr>
      <w:r w:rsidRPr="00EF4B4B">
        <w:rPr>
          <w:rFonts w:cs="David" w:hint="cs"/>
          <w:sz w:val="28"/>
          <w:szCs w:val="28"/>
          <w:rtl/>
        </w:rPr>
        <w:t xml:space="preserve">יש והזכות לחופש הביטוי </w:t>
      </w:r>
      <w:r w:rsidRPr="00225942">
        <w:rPr>
          <w:rFonts w:cs="David" w:hint="cs"/>
          <w:b/>
          <w:bCs/>
          <w:sz w:val="28"/>
          <w:szCs w:val="28"/>
          <w:rtl/>
        </w:rPr>
        <w:t>תיסוג מפני עקרונות ואינטרסים חשובים אחרים</w:t>
      </w:r>
      <w:r w:rsidRPr="00EF4B4B">
        <w:rPr>
          <w:rFonts w:cs="David" w:hint="cs"/>
          <w:sz w:val="28"/>
          <w:szCs w:val="28"/>
          <w:rtl/>
        </w:rPr>
        <w:t>. יחד עם זאת, האיסורים הפליליים המגבילים את חופש הביטוי צריכים ש</w:t>
      </w:r>
      <w:r w:rsidR="002F7F92">
        <w:rPr>
          <w:rFonts w:cs="David" w:hint="cs"/>
          <w:sz w:val="28"/>
          <w:szCs w:val="28"/>
          <w:rtl/>
        </w:rPr>
        <w:t>י</w:t>
      </w:r>
      <w:r w:rsidRPr="00EF4B4B">
        <w:rPr>
          <w:rFonts w:cs="David" w:hint="cs"/>
          <w:sz w:val="28"/>
          <w:szCs w:val="28"/>
          <w:rtl/>
        </w:rPr>
        <w:t xml:space="preserve">יעשו </w:t>
      </w:r>
      <w:r w:rsidRPr="00225942">
        <w:rPr>
          <w:rFonts w:cs="David" w:hint="cs"/>
          <w:b/>
          <w:bCs/>
          <w:sz w:val="28"/>
          <w:szCs w:val="28"/>
          <w:rtl/>
        </w:rPr>
        <w:t>ביד קפוצה</w:t>
      </w:r>
      <w:r w:rsidRPr="00EF4B4B">
        <w:rPr>
          <w:rFonts w:cs="David" w:hint="cs"/>
          <w:sz w:val="28"/>
          <w:szCs w:val="28"/>
          <w:rtl/>
        </w:rPr>
        <w:t xml:space="preserve">, כפי שטוען </w:t>
      </w:r>
      <w:r w:rsidR="0077264A">
        <w:rPr>
          <w:rFonts w:cs="David" w:hint="cs"/>
          <w:sz w:val="28"/>
          <w:szCs w:val="28"/>
          <w:rtl/>
        </w:rPr>
        <w:t>כבוד השופט</w:t>
      </w:r>
      <w:r w:rsidRPr="00EF4B4B">
        <w:rPr>
          <w:rFonts w:cs="David" w:hint="cs"/>
          <w:sz w:val="28"/>
          <w:szCs w:val="28"/>
          <w:rtl/>
        </w:rPr>
        <w:t xml:space="preserve"> הנדל בעניי</w:t>
      </w:r>
      <w:r>
        <w:rPr>
          <w:rFonts w:cs="David" w:hint="cs"/>
          <w:sz w:val="28"/>
          <w:szCs w:val="28"/>
          <w:rtl/>
        </w:rPr>
        <w:t>ן</w:t>
      </w:r>
      <w:r w:rsidRPr="00EF4B4B">
        <w:rPr>
          <w:rFonts w:cs="David" w:hint="cs"/>
          <w:sz w:val="28"/>
          <w:szCs w:val="28"/>
          <w:rtl/>
        </w:rPr>
        <w:t xml:space="preserve"> </w:t>
      </w:r>
      <w:r>
        <w:rPr>
          <w:rFonts w:cs="David" w:hint="cs"/>
          <w:sz w:val="28"/>
          <w:szCs w:val="28"/>
          <w:rtl/>
        </w:rPr>
        <w:t>'</w:t>
      </w:r>
      <w:r w:rsidRPr="00EF4B4B">
        <w:rPr>
          <w:rFonts w:cs="David" w:hint="cs"/>
          <w:sz w:val="28"/>
          <w:szCs w:val="28"/>
          <w:rtl/>
        </w:rPr>
        <w:t>בן-חורין</w:t>
      </w:r>
      <w:r>
        <w:rPr>
          <w:rFonts w:cs="David" w:hint="cs"/>
          <w:sz w:val="28"/>
          <w:szCs w:val="28"/>
          <w:rtl/>
        </w:rPr>
        <w:t>'</w:t>
      </w:r>
      <w:r w:rsidRPr="00EF4B4B">
        <w:rPr>
          <w:rFonts w:cs="David" w:hint="cs"/>
          <w:sz w:val="28"/>
          <w:szCs w:val="28"/>
          <w:rtl/>
        </w:rPr>
        <w:t>:</w:t>
      </w:r>
      <w:r>
        <w:rPr>
          <w:rStyle w:val="a5"/>
          <w:rFonts w:cs="David"/>
          <w:i/>
          <w:iCs/>
          <w:sz w:val="28"/>
          <w:szCs w:val="28"/>
          <w:rtl/>
        </w:rPr>
        <w:footnoteReference w:id="81"/>
      </w:r>
    </w:p>
    <w:p w:rsidR="00512C97" w:rsidRPr="00A9303D" w:rsidRDefault="00512C97" w:rsidP="00512C97">
      <w:pPr>
        <w:spacing w:line="360" w:lineRule="auto"/>
        <w:ind w:left="720"/>
        <w:jc w:val="both"/>
        <w:rPr>
          <w:rFonts w:cs="David"/>
          <w:sz w:val="24"/>
          <w:szCs w:val="24"/>
          <w:rtl/>
        </w:rPr>
      </w:pPr>
      <w:r w:rsidRPr="00A9303D">
        <w:rPr>
          <w:rFonts w:cs="David" w:hint="cs"/>
          <w:sz w:val="24"/>
          <w:szCs w:val="24"/>
          <w:rtl/>
        </w:rPr>
        <w:t xml:space="preserve">נקודת מוצא עקרונית </w:t>
      </w:r>
      <w:r w:rsidRPr="00A9303D">
        <w:rPr>
          <w:rFonts w:cs="David" w:hint="cs"/>
          <w:b/>
          <w:bCs/>
          <w:sz w:val="24"/>
          <w:szCs w:val="24"/>
          <w:rtl/>
        </w:rPr>
        <w:t>זו מחייבת אותנו להתייחס בזהירות רבה לכל הגבלה של חופש הביטוי, לא כל שכן כאשר מדובר בהגבלה הנעשית באמצעות המשפט הפלילי</w:t>
      </w:r>
      <w:r w:rsidRPr="00A9303D">
        <w:rPr>
          <w:rFonts w:cs="David" w:hint="cs"/>
          <w:sz w:val="24"/>
          <w:szCs w:val="24"/>
          <w:rtl/>
        </w:rPr>
        <w:t>. יחד עם זאת, בדומה לזכויות אדם אחרות גם הזכות לחופש ביטוי איננה זכות מוחלטת וניתן להגבילה לשם הגנה על ערכים ואינטרסים חשובים אחרים של פרט זה או אחר או של החברה בכללותה [...]</w:t>
      </w:r>
      <w:r w:rsidRPr="00A9303D">
        <w:rPr>
          <w:rFonts w:cs="David" w:hint="cs"/>
          <w:b/>
          <w:bCs/>
          <w:sz w:val="24"/>
          <w:szCs w:val="24"/>
          <w:rtl/>
        </w:rPr>
        <w:t xml:space="preserve"> המפגש בין המשפט הפלילי לבין חופש הביטוי רגיש ביותר</w:t>
      </w:r>
      <w:r w:rsidRPr="00A9303D">
        <w:rPr>
          <w:rFonts w:cs="David" w:hint="cs"/>
          <w:sz w:val="24"/>
          <w:szCs w:val="24"/>
          <w:rtl/>
        </w:rPr>
        <w:t xml:space="preserve"> [...] המפגש הרגיש מחייב את בית המשפט לנהוג בזהירות במלאכת האיזון בין חופש הביטוי לבין הערך המוגן שמצדיק את הגבלתו ובמלאכת פרשנות הסעיף הרלוונטי. (ההדגשות של הח"מ - ר"מ)</w:t>
      </w:r>
    </w:p>
    <w:p w:rsidR="00512C97" w:rsidRPr="00EF4B4B" w:rsidRDefault="00512C97" w:rsidP="00512C97">
      <w:pPr>
        <w:spacing w:line="360" w:lineRule="auto"/>
        <w:jc w:val="both"/>
        <w:rPr>
          <w:rFonts w:cs="David"/>
          <w:sz w:val="28"/>
          <w:szCs w:val="28"/>
          <w:rtl/>
        </w:rPr>
      </w:pPr>
      <w:r>
        <w:rPr>
          <w:rFonts w:cs="David" w:hint="cs"/>
          <w:sz w:val="28"/>
          <w:szCs w:val="28"/>
          <w:rtl/>
        </w:rPr>
        <w:t xml:space="preserve">ואם הזכות לחופש הביטוי אינה מוחלטת והינה יחסית, אזי בית המשפט נדרש לבצע </w:t>
      </w:r>
      <w:r w:rsidRPr="007C47A0">
        <w:rPr>
          <w:rFonts w:cs="David" w:hint="cs"/>
          <w:b/>
          <w:bCs/>
          <w:sz w:val="28"/>
          <w:szCs w:val="28"/>
          <w:rtl/>
        </w:rPr>
        <w:t>איזון</w:t>
      </w:r>
      <w:r>
        <w:rPr>
          <w:rFonts w:cs="David" w:hint="cs"/>
          <w:sz w:val="28"/>
          <w:szCs w:val="28"/>
          <w:rtl/>
        </w:rPr>
        <w:t xml:space="preserve"> כל אימת שהיא מתנגשת עם אינטרסים או ערכים אחרים. לפי שגב ראם, </w:t>
      </w:r>
      <w:r w:rsidRPr="00EF4B4B">
        <w:rPr>
          <w:rFonts w:cs="David" w:hint="cs"/>
          <w:sz w:val="28"/>
          <w:szCs w:val="28"/>
          <w:rtl/>
        </w:rPr>
        <w:t xml:space="preserve">הדוקטרינה הבולטת ביותר במשפט הישראלי בנוגע לדרך שבה ראוי להכריע בין שיקולים ואינטרסים מתנגשים ידועה כדוקטרינת 'איזון האינטרסים'. על פי </w:t>
      </w:r>
      <w:r w:rsidRPr="00EF4B4B">
        <w:rPr>
          <w:rFonts w:cs="David" w:hint="cs"/>
          <w:sz w:val="28"/>
          <w:szCs w:val="28"/>
          <w:rtl/>
        </w:rPr>
        <w:lastRenderedPageBreak/>
        <w:t>דוקטרינה זו יש לעשות זאת באמצעות 'איזון של האינטרסים' או 'הערכים' העומדים על הפרק לפי חשיבותם, אופיים או מעמדם הפורמלי.</w:t>
      </w:r>
      <w:r>
        <w:rPr>
          <w:rStyle w:val="a5"/>
          <w:rFonts w:cs="David"/>
          <w:sz w:val="28"/>
          <w:szCs w:val="28"/>
          <w:rtl/>
        </w:rPr>
        <w:footnoteReference w:id="82"/>
      </w:r>
    </w:p>
    <w:p w:rsidR="00512C97" w:rsidRDefault="00512C97" w:rsidP="00512C97">
      <w:pPr>
        <w:spacing w:line="360" w:lineRule="auto"/>
        <w:jc w:val="both"/>
        <w:rPr>
          <w:rFonts w:cs="David"/>
          <w:b/>
          <w:bCs/>
          <w:sz w:val="32"/>
          <w:szCs w:val="32"/>
          <w:rtl/>
        </w:rPr>
      </w:pPr>
      <w:r>
        <w:rPr>
          <w:rFonts w:cs="David" w:hint="cs"/>
          <w:sz w:val="28"/>
          <w:szCs w:val="28"/>
          <w:rtl/>
        </w:rPr>
        <w:t xml:space="preserve">בתמצית, </w:t>
      </w:r>
      <w:r w:rsidRPr="00EF4B4B">
        <w:rPr>
          <w:rFonts w:cs="David" w:hint="cs"/>
          <w:sz w:val="28"/>
          <w:szCs w:val="28"/>
          <w:rtl/>
        </w:rPr>
        <w:t xml:space="preserve">ישנם שני סוגים של איזונים במסגרת הדין בישראל: 'איזון אופקי' </w:t>
      </w:r>
      <w:r>
        <w:rPr>
          <w:rFonts w:cs="David" w:hint="cs"/>
          <w:sz w:val="28"/>
          <w:szCs w:val="28"/>
          <w:rtl/>
        </w:rPr>
        <w:t>-</w:t>
      </w:r>
      <w:r w:rsidRPr="00EF4B4B">
        <w:rPr>
          <w:rFonts w:cs="David" w:hint="cs"/>
          <w:sz w:val="28"/>
          <w:szCs w:val="28"/>
          <w:rtl/>
        </w:rPr>
        <w:t xml:space="preserve"> בין אינטרסים בעלי חשיבות דומה או מעמד דומה ו'איזון אנכי' </w:t>
      </w:r>
      <w:r>
        <w:rPr>
          <w:rFonts w:cs="David" w:hint="cs"/>
          <w:sz w:val="28"/>
          <w:szCs w:val="28"/>
          <w:rtl/>
        </w:rPr>
        <w:t>-</w:t>
      </w:r>
      <w:r w:rsidRPr="00EF4B4B">
        <w:rPr>
          <w:rFonts w:cs="David" w:hint="cs"/>
          <w:sz w:val="28"/>
          <w:szCs w:val="28"/>
          <w:rtl/>
        </w:rPr>
        <w:t xml:space="preserve"> בין אינטרס חשוב יותר או בעל מעמד גבוה יותר לבין אינטרס פחות חשוב או בעל מעמד נחות יותר. לפי ההלכה במסגרת 'איזון אנכי' יש להעניק עדיפות לאינטרס הבכיר בעדיפות ואילו במסגרת 'האיזון האופקי' אין מקום לתת עדיפות כאמור.</w:t>
      </w:r>
      <w:r>
        <w:rPr>
          <w:rFonts w:cs="David" w:hint="cs"/>
          <w:sz w:val="28"/>
          <w:szCs w:val="28"/>
          <w:rtl/>
        </w:rPr>
        <w:t xml:space="preserve"> </w:t>
      </w:r>
      <w:r w:rsidRPr="00EF4B4B">
        <w:rPr>
          <w:rFonts w:cs="David" w:hint="cs"/>
          <w:sz w:val="28"/>
          <w:szCs w:val="28"/>
          <w:rtl/>
        </w:rPr>
        <w:t xml:space="preserve">המשפט הישראלי החיל את </w:t>
      </w:r>
      <w:r>
        <w:rPr>
          <w:rFonts w:cs="David" w:hint="cs"/>
          <w:sz w:val="28"/>
          <w:szCs w:val="28"/>
          <w:rtl/>
        </w:rPr>
        <w:t>'</w:t>
      </w:r>
      <w:r w:rsidRPr="00EF4B4B">
        <w:rPr>
          <w:rFonts w:cs="David" w:hint="cs"/>
          <w:sz w:val="28"/>
          <w:szCs w:val="28"/>
          <w:rtl/>
        </w:rPr>
        <w:t>דוקטרינת איזון האינטרסים</w:t>
      </w:r>
      <w:r>
        <w:rPr>
          <w:rFonts w:cs="David" w:hint="cs"/>
          <w:sz w:val="28"/>
          <w:szCs w:val="28"/>
          <w:rtl/>
        </w:rPr>
        <w:t>'</w:t>
      </w:r>
      <w:r w:rsidRPr="00EF4B4B">
        <w:rPr>
          <w:rFonts w:cs="David" w:hint="cs"/>
          <w:sz w:val="28"/>
          <w:szCs w:val="28"/>
          <w:rtl/>
        </w:rPr>
        <w:t xml:space="preserve"> בכל תחומי המשפט ובכל מקום בו חלה התנגשות בין זכות יסוד ובין שיקולים ו/או אינטרסים נוגדים.</w:t>
      </w:r>
      <w:r w:rsidRPr="00EF4B4B">
        <w:rPr>
          <w:rStyle w:val="a5"/>
          <w:rFonts w:cs="David"/>
          <w:sz w:val="28"/>
          <w:szCs w:val="28"/>
          <w:rtl/>
        </w:rPr>
        <w:footnoteReference w:id="83"/>
      </w:r>
    </w:p>
    <w:p w:rsidR="00CB6D31" w:rsidRPr="00225942" w:rsidRDefault="00512C97" w:rsidP="00F119A4">
      <w:pPr>
        <w:spacing w:line="360" w:lineRule="auto"/>
        <w:jc w:val="both"/>
        <w:rPr>
          <w:rFonts w:cs="David"/>
          <w:b/>
          <w:bCs/>
          <w:sz w:val="32"/>
          <w:szCs w:val="32"/>
          <w:rtl/>
        </w:rPr>
      </w:pPr>
      <w:r>
        <w:rPr>
          <w:rFonts w:cs="David" w:hint="cs"/>
          <w:b/>
          <w:bCs/>
          <w:sz w:val="32"/>
          <w:szCs w:val="32"/>
          <w:rtl/>
        </w:rPr>
        <w:t>ג</w:t>
      </w:r>
      <w:r w:rsidR="005B0F8A">
        <w:rPr>
          <w:rFonts w:cs="David" w:hint="cs"/>
          <w:b/>
          <w:bCs/>
          <w:sz w:val="32"/>
          <w:szCs w:val="32"/>
          <w:rtl/>
        </w:rPr>
        <w:t xml:space="preserve">. </w:t>
      </w:r>
      <w:r w:rsidR="006F4563" w:rsidRPr="005B0F8A">
        <w:rPr>
          <w:rFonts w:cs="David" w:hint="cs"/>
          <w:b/>
          <w:bCs/>
          <w:sz w:val="32"/>
          <w:szCs w:val="32"/>
          <w:rtl/>
        </w:rPr>
        <w:t>ה</w:t>
      </w:r>
      <w:r w:rsidR="00B90802" w:rsidRPr="005B0F8A">
        <w:rPr>
          <w:rFonts w:cs="David" w:hint="cs"/>
          <w:b/>
          <w:bCs/>
          <w:sz w:val="32"/>
          <w:szCs w:val="32"/>
          <w:rtl/>
        </w:rPr>
        <w:t>תפתחות החקיקה</w:t>
      </w:r>
      <w:r>
        <w:rPr>
          <w:rFonts w:cs="David" w:hint="cs"/>
          <w:b/>
          <w:bCs/>
          <w:sz w:val="28"/>
          <w:szCs w:val="28"/>
          <w:rtl/>
        </w:rPr>
        <w:t xml:space="preserve"> </w:t>
      </w:r>
      <w:r w:rsidRPr="00225942">
        <w:rPr>
          <w:rFonts w:cs="David" w:hint="cs"/>
          <w:b/>
          <w:bCs/>
          <w:sz w:val="32"/>
          <w:szCs w:val="32"/>
          <w:rtl/>
        </w:rPr>
        <w:t>בעבירות ההסתה לגזענות ולאלימות</w:t>
      </w:r>
    </w:p>
    <w:p w:rsidR="004D39D8" w:rsidRDefault="007C47A0" w:rsidP="002F7F92">
      <w:pPr>
        <w:spacing w:line="360" w:lineRule="auto"/>
        <w:jc w:val="both"/>
        <w:rPr>
          <w:rFonts w:cs="David"/>
          <w:sz w:val="28"/>
          <w:szCs w:val="28"/>
          <w:rtl/>
        </w:rPr>
      </w:pPr>
      <w:r w:rsidRPr="007C47A0">
        <w:rPr>
          <w:rFonts w:cs="David" w:hint="cs"/>
          <w:sz w:val="28"/>
          <w:szCs w:val="28"/>
          <w:rtl/>
        </w:rPr>
        <w:t>כעת, משהוצג</w:t>
      </w:r>
      <w:r>
        <w:rPr>
          <w:rFonts w:cs="David" w:hint="cs"/>
          <w:sz w:val="28"/>
          <w:szCs w:val="28"/>
          <w:rtl/>
        </w:rPr>
        <w:t xml:space="preserve"> מעמדו הרם אך </w:t>
      </w:r>
      <w:r w:rsidR="00524BFA">
        <w:rPr>
          <w:rFonts w:cs="David" w:hint="cs"/>
          <w:sz w:val="28"/>
          <w:szCs w:val="28"/>
          <w:rtl/>
        </w:rPr>
        <w:t>ה</w:t>
      </w:r>
      <w:r>
        <w:rPr>
          <w:rFonts w:cs="David" w:hint="cs"/>
          <w:sz w:val="28"/>
          <w:szCs w:val="28"/>
          <w:rtl/>
        </w:rPr>
        <w:t>לא מוחלט של חופש הביטוי והצורך בביצוע איזונים כל אימת שישנה התנגשות בינו ובין אינטרסים וערכים אחרים, ראוי ש</w:t>
      </w:r>
      <w:r w:rsidR="004D39D8">
        <w:rPr>
          <w:rFonts w:cs="David" w:hint="cs"/>
          <w:sz w:val="28"/>
          <w:szCs w:val="28"/>
          <w:rtl/>
        </w:rPr>
        <w:t xml:space="preserve">ייבחנו לעומק עבירות ההסתה לגזענות ולאלימות, העומדות במרכז עבודה זו, כשלב בדרך לבחינה </w:t>
      </w:r>
      <w:r w:rsidR="00A74E2A">
        <w:rPr>
          <w:rFonts w:cs="David" w:hint="cs"/>
          <w:sz w:val="28"/>
          <w:szCs w:val="28"/>
          <w:rtl/>
        </w:rPr>
        <w:t>ה</w:t>
      </w:r>
      <w:r w:rsidR="004D39D8">
        <w:rPr>
          <w:rFonts w:cs="David" w:hint="cs"/>
          <w:sz w:val="28"/>
          <w:szCs w:val="28"/>
          <w:rtl/>
        </w:rPr>
        <w:t>פרטנית של ההתנגשות בין חופש הביטוי ובין האינטרסים והערכים הספציפיים המוגנים בעבירות הללו.</w:t>
      </w:r>
    </w:p>
    <w:p w:rsidR="00AF1A2B" w:rsidRPr="00290979" w:rsidRDefault="004D39D8" w:rsidP="002F7F92">
      <w:pPr>
        <w:spacing w:line="360" w:lineRule="auto"/>
        <w:jc w:val="both"/>
        <w:rPr>
          <w:rFonts w:cs="David"/>
          <w:b/>
          <w:bCs/>
          <w:sz w:val="28"/>
          <w:szCs w:val="28"/>
          <w:rtl/>
        </w:rPr>
      </w:pPr>
      <w:r>
        <w:rPr>
          <w:rFonts w:cs="David" w:hint="cs"/>
          <w:sz w:val="28"/>
          <w:szCs w:val="28"/>
          <w:rtl/>
        </w:rPr>
        <w:t xml:space="preserve">תחילה תפנה העבודה לבחון את ההתפתחות ההיסטורית של החקיקה בכנסת בעבירות ההסתה לגזענות ולאלימות, תוך עמידה על התכלית שעמדה מאחורי חקיקה זו והרקע לה, </w:t>
      </w:r>
      <w:r w:rsidR="00810DFA" w:rsidRPr="00290979">
        <w:rPr>
          <w:rFonts w:cs="David" w:hint="cs"/>
          <w:b/>
          <w:bCs/>
          <w:sz w:val="28"/>
          <w:szCs w:val="28"/>
          <w:rtl/>
        </w:rPr>
        <w:t xml:space="preserve">במטרה להדגיש </w:t>
      </w:r>
      <w:r w:rsidR="00674038" w:rsidRPr="00290979">
        <w:rPr>
          <w:rFonts w:cs="David" w:hint="cs"/>
          <w:b/>
          <w:bCs/>
          <w:sz w:val="28"/>
          <w:szCs w:val="28"/>
          <w:rtl/>
        </w:rPr>
        <w:t xml:space="preserve">את הקשיים </w:t>
      </w:r>
      <w:r w:rsidR="00654F4F" w:rsidRPr="00290979">
        <w:rPr>
          <w:rFonts w:cs="David" w:hint="cs"/>
          <w:b/>
          <w:bCs/>
          <w:sz w:val="28"/>
          <w:szCs w:val="28"/>
          <w:rtl/>
        </w:rPr>
        <w:t xml:space="preserve">המהותיים </w:t>
      </w:r>
      <w:r w:rsidR="00674038" w:rsidRPr="00290979">
        <w:rPr>
          <w:rFonts w:cs="David" w:hint="cs"/>
          <w:b/>
          <w:bCs/>
          <w:sz w:val="28"/>
          <w:szCs w:val="28"/>
          <w:rtl/>
        </w:rPr>
        <w:t>עימם התמודד המחוקק</w:t>
      </w:r>
      <w:r w:rsidR="00674038">
        <w:rPr>
          <w:rFonts w:cs="David" w:hint="cs"/>
          <w:sz w:val="28"/>
          <w:szCs w:val="28"/>
          <w:rtl/>
        </w:rPr>
        <w:t xml:space="preserve">, </w:t>
      </w:r>
      <w:r w:rsidR="00810DFA">
        <w:rPr>
          <w:rFonts w:cs="David" w:hint="cs"/>
          <w:sz w:val="28"/>
          <w:szCs w:val="28"/>
          <w:rtl/>
        </w:rPr>
        <w:t>בבואו להילחם בתופעה המתפשטת</w:t>
      </w:r>
      <w:r w:rsidR="00AF1A2B">
        <w:rPr>
          <w:rFonts w:cs="David" w:hint="cs"/>
          <w:sz w:val="28"/>
          <w:szCs w:val="28"/>
          <w:rtl/>
        </w:rPr>
        <w:t xml:space="preserve"> </w:t>
      </w:r>
      <w:r w:rsidR="00810DFA">
        <w:rPr>
          <w:rFonts w:cs="David" w:hint="cs"/>
          <w:sz w:val="28"/>
          <w:szCs w:val="28"/>
          <w:rtl/>
        </w:rPr>
        <w:t xml:space="preserve">של </w:t>
      </w:r>
      <w:r w:rsidR="00AF1A2B">
        <w:rPr>
          <w:rFonts w:cs="David" w:hint="cs"/>
          <w:sz w:val="28"/>
          <w:szCs w:val="28"/>
          <w:rtl/>
        </w:rPr>
        <w:t xml:space="preserve">ההסתה לגזענות </w:t>
      </w:r>
      <w:r w:rsidR="00810DFA">
        <w:rPr>
          <w:rFonts w:cs="David" w:hint="cs"/>
          <w:sz w:val="28"/>
          <w:szCs w:val="28"/>
          <w:rtl/>
        </w:rPr>
        <w:t xml:space="preserve">ולאלימות, המתנגשת עם </w:t>
      </w:r>
      <w:r w:rsidR="00654F4F">
        <w:rPr>
          <w:rFonts w:cs="David" w:hint="cs"/>
          <w:sz w:val="28"/>
          <w:szCs w:val="28"/>
          <w:rtl/>
        </w:rPr>
        <w:t xml:space="preserve">ערכי המדינה היהודית והדמוקרטית וזאת </w:t>
      </w:r>
      <w:r w:rsidR="00654F4F" w:rsidRPr="00290979">
        <w:rPr>
          <w:rFonts w:cs="David" w:hint="cs"/>
          <w:b/>
          <w:bCs/>
          <w:sz w:val="28"/>
          <w:szCs w:val="28"/>
          <w:rtl/>
        </w:rPr>
        <w:t xml:space="preserve">עוד קודם לימי הרשתות החברתיות, אשר </w:t>
      </w:r>
      <w:r w:rsidR="002B3154">
        <w:rPr>
          <w:rFonts w:cs="David" w:hint="cs"/>
          <w:b/>
          <w:bCs/>
          <w:sz w:val="28"/>
          <w:szCs w:val="28"/>
          <w:rtl/>
        </w:rPr>
        <w:t xml:space="preserve">כפי שהוצג </w:t>
      </w:r>
      <w:r w:rsidR="00654F4F" w:rsidRPr="00290979">
        <w:rPr>
          <w:rFonts w:cs="David" w:hint="cs"/>
          <w:b/>
          <w:bCs/>
          <w:sz w:val="28"/>
          <w:szCs w:val="28"/>
          <w:rtl/>
        </w:rPr>
        <w:t>רק העצימ</w:t>
      </w:r>
      <w:r w:rsidR="002F7F92">
        <w:rPr>
          <w:rFonts w:cs="David" w:hint="cs"/>
          <w:b/>
          <w:bCs/>
          <w:sz w:val="28"/>
          <w:szCs w:val="28"/>
          <w:rtl/>
        </w:rPr>
        <w:t>ו</w:t>
      </w:r>
      <w:r w:rsidR="00654F4F" w:rsidRPr="00290979">
        <w:rPr>
          <w:rFonts w:cs="David" w:hint="cs"/>
          <w:b/>
          <w:bCs/>
          <w:sz w:val="28"/>
          <w:szCs w:val="28"/>
          <w:rtl/>
        </w:rPr>
        <w:t xml:space="preserve"> את התפשטות התופעה.</w:t>
      </w:r>
    </w:p>
    <w:p w:rsidR="005B0F8A" w:rsidRPr="005B0F8A" w:rsidRDefault="00512C97" w:rsidP="00F119A4">
      <w:pPr>
        <w:spacing w:line="360" w:lineRule="auto"/>
        <w:jc w:val="both"/>
        <w:rPr>
          <w:rFonts w:cs="David"/>
          <w:b/>
          <w:bCs/>
          <w:sz w:val="28"/>
          <w:szCs w:val="28"/>
        </w:rPr>
      </w:pPr>
      <w:r>
        <w:rPr>
          <w:rFonts w:cs="David" w:hint="cs"/>
          <w:b/>
          <w:bCs/>
          <w:sz w:val="28"/>
          <w:szCs w:val="28"/>
          <w:rtl/>
        </w:rPr>
        <w:t>ג</w:t>
      </w:r>
      <w:r w:rsidR="005B0F8A">
        <w:rPr>
          <w:rFonts w:cs="David" w:hint="cs"/>
          <w:b/>
          <w:bCs/>
          <w:sz w:val="28"/>
          <w:szCs w:val="28"/>
          <w:rtl/>
        </w:rPr>
        <w:t>.1 עבירת ההסתה לגזענות</w:t>
      </w:r>
    </w:p>
    <w:p w:rsidR="0060238C" w:rsidRDefault="00F96E36" w:rsidP="007150D2">
      <w:pPr>
        <w:spacing w:line="360" w:lineRule="auto"/>
        <w:jc w:val="both"/>
        <w:rPr>
          <w:rFonts w:cs="David"/>
          <w:sz w:val="28"/>
          <w:szCs w:val="28"/>
          <w:rtl/>
        </w:rPr>
      </w:pPr>
      <w:r w:rsidRPr="00E00C19">
        <w:rPr>
          <w:rFonts w:cs="David" w:hint="cs"/>
          <w:sz w:val="28"/>
          <w:szCs w:val="28"/>
          <w:rtl/>
        </w:rPr>
        <w:t xml:space="preserve">היוזמה לקבוע איסורים פליליים מפורשים על ביטויים שונים של גזענות </w:t>
      </w:r>
      <w:r w:rsidR="00BA4B5E">
        <w:rPr>
          <w:rFonts w:cs="David" w:hint="cs"/>
          <w:sz w:val="28"/>
          <w:szCs w:val="28"/>
          <w:rtl/>
        </w:rPr>
        <w:t xml:space="preserve">באה לעולם </w:t>
      </w:r>
      <w:r w:rsidRPr="00E00C19">
        <w:rPr>
          <w:rFonts w:cs="David" w:hint="cs"/>
          <w:sz w:val="28"/>
          <w:szCs w:val="28"/>
          <w:rtl/>
        </w:rPr>
        <w:t xml:space="preserve"> על רקע צמיחת הכהניזם בחברה בישראל. היות המדינה מדינה יהודית ודמוקרטית והצורך להגן על דמותה זו של המדינה וערכיה, ה</w:t>
      </w:r>
      <w:r w:rsidR="005031FF">
        <w:rPr>
          <w:rFonts w:cs="David" w:hint="cs"/>
          <w:sz w:val="28"/>
          <w:szCs w:val="28"/>
          <w:rtl/>
        </w:rPr>
        <w:t>ביא את המחוקק לנקיטת צעדים וכך,</w:t>
      </w:r>
      <w:r w:rsidR="00BA4B5E">
        <w:rPr>
          <w:rFonts w:cs="David" w:hint="cs"/>
          <w:sz w:val="28"/>
          <w:szCs w:val="28"/>
          <w:rtl/>
        </w:rPr>
        <w:t xml:space="preserve"> </w:t>
      </w:r>
      <w:r w:rsidRPr="00E00C19">
        <w:rPr>
          <w:rFonts w:cs="David" w:hint="cs"/>
          <w:sz w:val="28"/>
          <w:szCs w:val="28"/>
          <w:rtl/>
        </w:rPr>
        <w:t>החקיקה</w:t>
      </w:r>
      <w:r w:rsidR="00BA4B5E">
        <w:rPr>
          <w:rFonts w:cs="David" w:hint="cs"/>
          <w:sz w:val="28"/>
          <w:szCs w:val="28"/>
          <w:rtl/>
        </w:rPr>
        <w:t xml:space="preserve"> </w:t>
      </w:r>
      <w:r w:rsidRPr="00E00C19">
        <w:rPr>
          <w:rFonts w:cs="David" w:hint="cs"/>
          <w:sz w:val="28"/>
          <w:szCs w:val="28"/>
          <w:rtl/>
        </w:rPr>
        <w:t>בתחום העונשי</w:t>
      </w:r>
      <w:r w:rsidR="005031FF">
        <w:rPr>
          <w:rFonts w:cs="David" w:hint="cs"/>
          <w:sz w:val="28"/>
          <w:szCs w:val="28"/>
          <w:rtl/>
        </w:rPr>
        <w:t>ן</w:t>
      </w:r>
      <w:r w:rsidRPr="00E00C19">
        <w:rPr>
          <w:rFonts w:cs="David" w:hint="cs"/>
          <w:sz w:val="28"/>
          <w:szCs w:val="28"/>
          <w:rtl/>
        </w:rPr>
        <w:t xml:space="preserve"> הייתה אחת מדרכי פעולתו.</w:t>
      </w:r>
    </w:p>
    <w:p w:rsidR="007150D2" w:rsidRDefault="00F96E36" w:rsidP="0077264A">
      <w:pPr>
        <w:spacing w:line="360" w:lineRule="auto"/>
        <w:jc w:val="both"/>
        <w:rPr>
          <w:rFonts w:cs="David"/>
          <w:sz w:val="24"/>
          <w:szCs w:val="24"/>
          <w:rtl/>
        </w:rPr>
      </w:pPr>
      <w:r w:rsidRPr="00E00C19">
        <w:rPr>
          <w:rFonts w:cs="David" w:hint="cs"/>
          <w:sz w:val="28"/>
          <w:szCs w:val="28"/>
          <w:rtl/>
        </w:rPr>
        <w:lastRenderedPageBreak/>
        <w:t>טרם דיון בגדרו ובפרשנותו של האיסור הפלילי</w:t>
      </w:r>
      <w:r w:rsidR="009A6D42" w:rsidRPr="00E00C19">
        <w:rPr>
          <w:rFonts w:cs="David" w:hint="cs"/>
          <w:sz w:val="28"/>
          <w:szCs w:val="28"/>
          <w:rtl/>
        </w:rPr>
        <w:t xml:space="preserve"> על הסתה לגזענות</w:t>
      </w:r>
      <w:r w:rsidRPr="00E00C19">
        <w:rPr>
          <w:rFonts w:cs="David" w:hint="cs"/>
          <w:sz w:val="28"/>
          <w:szCs w:val="28"/>
          <w:rtl/>
        </w:rPr>
        <w:t>, מן הראוי ל</w:t>
      </w:r>
      <w:r w:rsidR="003465DE" w:rsidRPr="00E00C19">
        <w:rPr>
          <w:rFonts w:cs="David" w:hint="cs"/>
          <w:sz w:val="28"/>
          <w:szCs w:val="28"/>
          <w:rtl/>
        </w:rPr>
        <w:t>הידרש לתכלית שביסוד החקיק</w:t>
      </w:r>
      <w:r w:rsidR="009A6D42" w:rsidRPr="00E00C19">
        <w:rPr>
          <w:rFonts w:cs="David" w:hint="cs"/>
          <w:sz w:val="28"/>
          <w:szCs w:val="28"/>
          <w:rtl/>
        </w:rPr>
        <w:t>ה ול</w:t>
      </w:r>
      <w:r w:rsidRPr="00E00C19">
        <w:rPr>
          <w:rFonts w:cs="David" w:hint="cs"/>
          <w:sz w:val="28"/>
          <w:szCs w:val="28"/>
          <w:rtl/>
        </w:rPr>
        <w:t>עמוד על רקעה והתפתחותה</w:t>
      </w:r>
      <w:r w:rsidR="0060238C">
        <w:rPr>
          <w:rFonts w:cs="David" w:hint="cs"/>
          <w:sz w:val="28"/>
          <w:szCs w:val="28"/>
          <w:rtl/>
        </w:rPr>
        <w:t xml:space="preserve">. </w:t>
      </w:r>
      <w:r w:rsidR="009A39EF">
        <w:rPr>
          <w:rFonts w:cs="David" w:hint="cs"/>
          <w:sz w:val="28"/>
          <w:szCs w:val="28"/>
          <w:rtl/>
        </w:rPr>
        <w:t>ב</w:t>
      </w:r>
      <w:r w:rsidR="009A39EF" w:rsidRPr="009A39EF">
        <w:rPr>
          <w:rFonts w:cs="David" w:hint="cs"/>
          <w:b/>
          <w:bCs/>
          <w:sz w:val="28"/>
          <w:szCs w:val="28"/>
          <w:rtl/>
        </w:rPr>
        <w:t>ע"פ עידו אלבה נ' מדינת ישראל (</w:t>
      </w:r>
      <w:r w:rsidR="009A39EF" w:rsidRPr="0012706D">
        <w:rPr>
          <w:rFonts w:cs="David" w:hint="cs"/>
          <w:sz w:val="28"/>
          <w:szCs w:val="28"/>
          <w:rtl/>
        </w:rPr>
        <w:t>להלן:</w:t>
      </w:r>
      <w:r w:rsidR="009A39EF" w:rsidRPr="009A39EF">
        <w:rPr>
          <w:rFonts w:cs="David" w:hint="cs"/>
          <w:b/>
          <w:bCs/>
          <w:sz w:val="28"/>
          <w:szCs w:val="28"/>
          <w:rtl/>
        </w:rPr>
        <w:t xml:space="preserve"> עניין אלבה) </w:t>
      </w:r>
      <w:r w:rsidR="007F3CB9">
        <w:rPr>
          <w:rFonts w:cs="David" w:hint="cs"/>
          <w:sz w:val="28"/>
          <w:szCs w:val="28"/>
          <w:rtl/>
        </w:rPr>
        <w:t xml:space="preserve">טען </w:t>
      </w:r>
      <w:r w:rsidR="0077264A">
        <w:rPr>
          <w:rFonts w:cs="David" w:hint="cs"/>
          <w:sz w:val="28"/>
          <w:szCs w:val="28"/>
          <w:rtl/>
        </w:rPr>
        <w:t>כבוד השופט</w:t>
      </w:r>
      <w:r w:rsidR="007F3CB9">
        <w:rPr>
          <w:rFonts w:cs="David" w:hint="cs"/>
          <w:sz w:val="28"/>
          <w:szCs w:val="28"/>
          <w:rtl/>
        </w:rPr>
        <w:t xml:space="preserve"> מצא:</w:t>
      </w:r>
      <w:r w:rsidR="009A6D42">
        <w:rPr>
          <w:rStyle w:val="a5"/>
          <w:rFonts w:cs="David"/>
          <w:sz w:val="28"/>
          <w:szCs w:val="28"/>
          <w:rtl/>
        </w:rPr>
        <w:footnoteReference w:id="84"/>
      </w:r>
    </w:p>
    <w:p w:rsidR="00783ACD" w:rsidRDefault="009A6D42" w:rsidP="007150D2">
      <w:pPr>
        <w:spacing w:line="360" w:lineRule="auto"/>
        <w:ind w:left="720"/>
        <w:jc w:val="both"/>
        <w:rPr>
          <w:rFonts w:cs="David"/>
          <w:sz w:val="28"/>
          <w:szCs w:val="28"/>
          <w:rtl/>
        </w:rPr>
      </w:pPr>
      <w:r w:rsidRPr="00553B94">
        <w:rPr>
          <w:rFonts w:cs="David" w:hint="cs"/>
          <w:sz w:val="24"/>
          <w:szCs w:val="24"/>
          <w:rtl/>
        </w:rPr>
        <w:t>מדינת ישאל</w:t>
      </w:r>
      <w:r w:rsidR="00BA4B5E" w:rsidRPr="00553B94">
        <w:rPr>
          <w:rFonts w:cs="David" w:hint="cs"/>
          <w:sz w:val="24"/>
          <w:szCs w:val="24"/>
          <w:rtl/>
        </w:rPr>
        <w:t>,</w:t>
      </w:r>
      <w:r w:rsidRPr="00553B94">
        <w:rPr>
          <w:rFonts w:cs="David" w:hint="cs"/>
          <w:sz w:val="24"/>
          <w:szCs w:val="24"/>
          <w:rtl/>
        </w:rPr>
        <w:t xml:space="preserve"> קמה בצל</w:t>
      </w:r>
      <w:r w:rsidR="00553B94">
        <w:rPr>
          <w:rFonts w:cs="David" w:hint="cs"/>
          <w:sz w:val="24"/>
          <w:szCs w:val="24"/>
          <w:rtl/>
        </w:rPr>
        <w:t>ה של</w:t>
      </w:r>
      <w:r w:rsidRPr="00553B94">
        <w:rPr>
          <w:rFonts w:cs="David" w:hint="cs"/>
          <w:sz w:val="24"/>
          <w:szCs w:val="24"/>
          <w:rtl/>
        </w:rPr>
        <w:t xml:space="preserve"> השואה</w:t>
      </w:r>
      <w:r w:rsidR="00553B94">
        <w:rPr>
          <w:rFonts w:cs="David" w:hint="cs"/>
          <w:sz w:val="24"/>
          <w:szCs w:val="24"/>
          <w:rtl/>
        </w:rPr>
        <w:t xml:space="preserve">. עם הקמתה </w:t>
      </w:r>
      <w:r w:rsidRPr="00553B94">
        <w:rPr>
          <w:rFonts w:cs="David" w:hint="cs"/>
          <w:sz w:val="24"/>
          <w:szCs w:val="24"/>
          <w:rtl/>
        </w:rPr>
        <w:t xml:space="preserve"> </w:t>
      </w:r>
      <w:r w:rsidR="003465DE" w:rsidRPr="00553B94">
        <w:rPr>
          <w:rFonts w:cs="David" w:hint="cs"/>
          <w:sz w:val="24"/>
          <w:szCs w:val="24"/>
          <w:rtl/>
        </w:rPr>
        <w:t xml:space="preserve">חרתה </w:t>
      </w:r>
      <w:r w:rsidR="00553B94">
        <w:rPr>
          <w:rFonts w:cs="David" w:hint="cs"/>
          <w:sz w:val="24"/>
          <w:szCs w:val="24"/>
          <w:rtl/>
        </w:rPr>
        <w:t xml:space="preserve">המדינה </w:t>
      </w:r>
      <w:r w:rsidR="003465DE" w:rsidRPr="00553B94">
        <w:rPr>
          <w:rFonts w:cs="David" w:hint="cs"/>
          <w:sz w:val="24"/>
          <w:szCs w:val="24"/>
          <w:rtl/>
        </w:rPr>
        <w:t>על דגלה את לקח</w:t>
      </w:r>
      <w:r w:rsidR="00553B94">
        <w:rPr>
          <w:rFonts w:cs="David" w:hint="cs"/>
          <w:sz w:val="24"/>
          <w:szCs w:val="24"/>
          <w:rtl/>
        </w:rPr>
        <w:t>ה הנורא</w:t>
      </w:r>
      <w:r w:rsidR="003465DE" w:rsidRPr="00553B94">
        <w:rPr>
          <w:rFonts w:cs="David" w:hint="cs"/>
          <w:sz w:val="24"/>
          <w:szCs w:val="24"/>
          <w:rtl/>
        </w:rPr>
        <w:t xml:space="preserve"> של השנאה הגזענית, </w:t>
      </w:r>
      <w:r w:rsidR="00553B94">
        <w:rPr>
          <w:rFonts w:cs="David" w:hint="cs"/>
          <w:sz w:val="24"/>
          <w:szCs w:val="24"/>
          <w:rtl/>
        </w:rPr>
        <w:t xml:space="preserve">שטעמה המר ליווה את עמנו מאז גלה מארצו ושבעשור האחרון לגלותו העמידה אותו על סף הכליה. בהכרזה על הקמת המדינה [...] באה ההצהרה הקובעת כי </w:t>
      </w:r>
      <w:r w:rsidR="003465DE" w:rsidRPr="00553B94">
        <w:rPr>
          <w:rFonts w:cs="David" w:hint="cs"/>
          <w:sz w:val="24"/>
          <w:szCs w:val="24"/>
          <w:rtl/>
        </w:rPr>
        <w:t>"מדינת ישראל [...] תהא מושתתת על יסודות החרות, הצדק והשלום [...] תקיים שוויון חברתי ומדיני גמור לכל אזרחיה בלי ה</w:t>
      </w:r>
      <w:r w:rsidR="00553B94">
        <w:rPr>
          <w:rFonts w:cs="David" w:hint="cs"/>
          <w:sz w:val="24"/>
          <w:szCs w:val="24"/>
          <w:rtl/>
        </w:rPr>
        <w:t>בדל דת, גזע ומין, תבטיח חופש דת [...]</w:t>
      </w:r>
      <w:r w:rsidR="003465DE" w:rsidRPr="00553B94">
        <w:rPr>
          <w:rFonts w:cs="David" w:hint="cs"/>
          <w:sz w:val="24"/>
          <w:szCs w:val="24"/>
          <w:rtl/>
        </w:rPr>
        <w:t>"</w:t>
      </w:r>
    </w:p>
    <w:p w:rsidR="00E00C19" w:rsidRPr="00553B94" w:rsidRDefault="003465DE" w:rsidP="005525B8">
      <w:pPr>
        <w:spacing w:line="360" w:lineRule="auto"/>
        <w:jc w:val="both"/>
        <w:rPr>
          <w:rFonts w:cs="David"/>
          <w:sz w:val="24"/>
          <w:szCs w:val="24"/>
          <w:rtl/>
        </w:rPr>
      </w:pPr>
      <w:r w:rsidRPr="00E00C19">
        <w:rPr>
          <w:rFonts w:cs="David" w:hint="cs"/>
          <w:sz w:val="28"/>
          <w:szCs w:val="28"/>
          <w:rtl/>
        </w:rPr>
        <w:t xml:space="preserve">הכרזה זו, שבשנים </w:t>
      </w:r>
      <w:r w:rsidR="005525B8">
        <w:rPr>
          <w:rFonts w:cs="David" w:hint="cs"/>
          <w:sz w:val="28"/>
          <w:szCs w:val="28"/>
          <w:rtl/>
        </w:rPr>
        <w:t>לבוא</w:t>
      </w:r>
      <w:r w:rsidRPr="00E00C19">
        <w:rPr>
          <w:rFonts w:cs="David" w:hint="cs"/>
          <w:sz w:val="28"/>
          <w:szCs w:val="28"/>
          <w:rtl/>
        </w:rPr>
        <w:t xml:space="preserve"> היוותה גם את הבסיס לחוק יסוד: כבוד האדם וחרותו</w:t>
      </w:r>
      <w:r>
        <w:rPr>
          <w:rStyle w:val="a5"/>
          <w:rFonts w:cs="David"/>
          <w:sz w:val="28"/>
          <w:szCs w:val="28"/>
          <w:rtl/>
        </w:rPr>
        <w:footnoteReference w:id="85"/>
      </w:r>
      <w:r w:rsidRPr="00E00C19">
        <w:rPr>
          <w:rFonts w:cs="David" w:hint="cs"/>
          <w:sz w:val="28"/>
          <w:szCs w:val="28"/>
          <w:rtl/>
        </w:rPr>
        <w:t xml:space="preserve">, שיקפה את ההסכמה הלאומית ואת השקפת "האבות המייסדים", לפיה המדינה תהיה בית לעם היהודי, מבוססת </w:t>
      </w:r>
      <w:r w:rsidR="00BA4B5E">
        <w:rPr>
          <w:rFonts w:cs="David" w:hint="cs"/>
          <w:sz w:val="28"/>
          <w:szCs w:val="28"/>
          <w:rtl/>
        </w:rPr>
        <w:t>ע</w:t>
      </w:r>
      <w:r w:rsidRPr="00E00C19">
        <w:rPr>
          <w:rFonts w:cs="David" w:hint="cs"/>
          <w:sz w:val="28"/>
          <w:szCs w:val="28"/>
          <w:rtl/>
        </w:rPr>
        <w:t>ל משטר דמוקרטי</w:t>
      </w:r>
      <w:r w:rsidR="007464CE" w:rsidRPr="00E00C19">
        <w:rPr>
          <w:rFonts w:cs="David" w:hint="cs"/>
          <w:sz w:val="28"/>
          <w:szCs w:val="28"/>
          <w:rtl/>
        </w:rPr>
        <w:t xml:space="preserve"> ליהודים וללא-יהודים. תפיסה זו </w:t>
      </w:r>
      <w:r w:rsidR="007464CE" w:rsidRPr="00B50B35">
        <w:rPr>
          <w:rFonts w:cs="David" w:hint="cs"/>
          <w:b/>
          <w:bCs/>
          <w:sz w:val="28"/>
          <w:szCs w:val="28"/>
          <w:rtl/>
        </w:rPr>
        <w:t>הטמיעה את השוויון והוקיעה את הגזענות</w:t>
      </w:r>
      <w:r w:rsidR="007464CE" w:rsidRPr="00E00C19">
        <w:rPr>
          <w:rFonts w:cs="David" w:hint="cs"/>
          <w:sz w:val="28"/>
          <w:szCs w:val="28"/>
          <w:rtl/>
        </w:rPr>
        <w:t>.</w:t>
      </w:r>
    </w:p>
    <w:p w:rsidR="00E7589C" w:rsidRPr="00E00C19" w:rsidRDefault="00E7589C" w:rsidP="00FF0A14">
      <w:pPr>
        <w:spacing w:line="360" w:lineRule="auto"/>
        <w:jc w:val="both"/>
        <w:rPr>
          <w:rFonts w:cs="David"/>
          <w:sz w:val="28"/>
          <w:szCs w:val="28"/>
          <w:rtl/>
        </w:rPr>
      </w:pPr>
      <w:r w:rsidRPr="00E00C19">
        <w:rPr>
          <w:rFonts w:cs="David" w:hint="cs"/>
          <w:sz w:val="28"/>
          <w:szCs w:val="28"/>
          <w:rtl/>
        </w:rPr>
        <w:t xml:space="preserve">באותם הימים של קום המדינה, </w:t>
      </w:r>
      <w:r w:rsidR="00BA4B5E">
        <w:rPr>
          <w:rFonts w:cs="David" w:hint="cs"/>
          <w:sz w:val="28"/>
          <w:szCs w:val="28"/>
          <w:rtl/>
        </w:rPr>
        <w:t xml:space="preserve">לא התעורר עדיין </w:t>
      </w:r>
      <w:r w:rsidRPr="00E00C19">
        <w:rPr>
          <w:rFonts w:cs="David" w:hint="cs"/>
          <w:sz w:val="28"/>
          <w:szCs w:val="28"/>
          <w:rtl/>
        </w:rPr>
        <w:t>הצורך בחקיקה מיוחדת לאכיפת</w:t>
      </w:r>
      <w:r w:rsidR="00FC4377" w:rsidRPr="00E00C19">
        <w:rPr>
          <w:rFonts w:cs="David" w:hint="cs"/>
          <w:sz w:val="28"/>
          <w:szCs w:val="28"/>
          <w:rtl/>
        </w:rPr>
        <w:t xml:space="preserve"> דבר </w:t>
      </w:r>
      <w:r w:rsidR="00B50B35">
        <w:rPr>
          <w:rFonts w:cs="David" w:hint="cs"/>
          <w:sz w:val="28"/>
          <w:szCs w:val="28"/>
          <w:rtl/>
        </w:rPr>
        <w:t>ה</w:t>
      </w:r>
      <w:r w:rsidR="00FC4377" w:rsidRPr="00E00C19">
        <w:rPr>
          <w:rFonts w:cs="David" w:hint="cs"/>
          <w:sz w:val="28"/>
          <w:szCs w:val="28"/>
          <w:rtl/>
        </w:rPr>
        <w:t>ה</w:t>
      </w:r>
      <w:r w:rsidR="00672940" w:rsidRPr="00E00C19">
        <w:rPr>
          <w:rFonts w:cs="David" w:hint="cs"/>
          <w:sz w:val="28"/>
          <w:szCs w:val="28"/>
          <w:rtl/>
        </w:rPr>
        <w:t>כרז</w:t>
      </w:r>
      <w:r w:rsidR="00FC4377" w:rsidRPr="00E00C19">
        <w:rPr>
          <w:rFonts w:cs="David" w:hint="cs"/>
          <w:sz w:val="28"/>
          <w:szCs w:val="28"/>
          <w:rtl/>
        </w:rPr>
        <w:t xml:space="preserve">ה ורוחה, </w:t>
      </w:r>
      <w:r w:rsidR="00672940" w:rsidRPr="00E00C19">
        <w:rPr>
          <w:rFonts w:cs="David" w:hint="cs"/>
          <w:sz w:val="28"/>
          <w:szCs w:val="28"/>
          <w:rtl/>
        </w:rPr>
        <w:t>שכן בשלושים השנ</w:t>
      </w:r>
      <w:r w:rsidR="00B50B35">
        <w:rPr>
          <w:rFonts w:cs="David" w:hint="cs"/>
          <w:sz w:val="28"/>
          <w:szCs w:val="28"/>
          <w:rtl/>
        </w:rPr>
        <w:t>ים</w:t>
      </w:r>
      <w:r w:rsidR="00672940" w:rsidRPr="00E00C19">
        <w:rPr>
          <w:rFonts w:cs="David" w:hint="cs"/>
          <w:sz w:val="28"/>
          <w:szCs w:val="28"/>
          <w:rtl/>
        </w:rPr>
        <w:t xml:space="preserve"> הראשונות של המדינה, תופעות של הסתה וגזענות, ככל שהיו, היו שוליות וחריגות. החוק </w:t>
      </w:r>
      <w:r w:rsidR="00BA4B5E">
        <w:rPr>
          <w:rFonts w:cs="David" w:hint="cs"/>
          <w:sz w:val="28"/>
          <w:szCs w:val="28"/>
          <w:rtl/>
        </w:rPr>
        <w:t xml:space="preserve">התייחס </w:t>
      </w:r>
      <w:r w:rsidR="00672940" w:rsidRPr="00E00C19">
        <w:rPr>
          <w:rFonts w:cs="David" w:hint="cs"/>
          <w:sz w:val="28"/>
          <w:szCs w:val="28"/>
          <w:rtl/>
        </w:rPr>
        <w:t>אמנם לאפשרות העמדה לדין של מסיתים ובעיקר אסר על פרסומי המרדה (שהחליפו חקיקה מנ</w:t>
      </w:r>
      <w:r w:rsidR="00FF0A14">
        <w:rPr>
          <w:rFonts w:cs="David" w:hint="cs"/>
          <w:sz w:val="28"/>
          <w:szCs w:val="28"/>
          <w:rtl/>
        </w:rPr>
        <w:t xml:space="preserve">דטורית) ועל לשון הרע - </w:t>
      </w:r>
      <w:r w:rsidR="00672940" w:rsidRPr="00E00C19">
        <w:rPr>
          <w:rFonts w:cs="David" w:hint="cs"/>
          <w:sz w:val="28"/>
          <w:szCs w:val="28"/>
          <w:rtl/>
        </w:rPr>
        <w:t xml:space="preserve">כולל איסור על לשון הרע כלפי ציבור, </w:t>
      </w:r>
      <w:r w:rsidR="00FF0A14">
        <w:rPr>
          <w:rFonts w:cs="David" w:hint="cs"/>
          <w:sz w:val="28"/>
          <w:szCs w:val="28"/>
          <w:rtl/>
        </w:rPr>
        <w:t xml:space="preserve">אשר </w:t>
      </w:r>
      <w:r w:rsidR="00672940" w:rsidRPr="00E00C19">
        <w:rPr>
          <w:rFonts w:cs="David" w:hint="cs"/>
          <w:sz w:val="28"/>
          <w:szCs w:val="28"/>
          <w:rtl/>
        </w:rPr>
        <w:t>איפשר להגיש כתבי אישום בשל הסתה לגזענות</w:t>
      </w:r>
      <w:r w:rsidR="00FF0A14">
        <w:rPr>
          <w:rFonts w:cs="David" w:hint="cs"/>
          <w:sz w:val="28"/>
          <w:szCs w:val="28"/>
          <w:rtl/>
        </w:rPr>
        <w:t xml:space="preserve"> -</w:t>
      </w:r>
      <w:r w:rsidR="00672940" w:rsidRPr="00E00C19">
        <w:rPr>
          <w:rFonts w:cs="David" w:hint="cs"/>
          <w:sz w:val="28"/>
          <w:szCs w:val="28"/>
          <w:rtl/>
        </w:rPr>
        <w:t xml:space="preserve"> אך כתבי אישום שכאלו כמעט ולא נדרשו</w:t>
      </w:r>
      <w:r w:rsidR="001702D8" w:rsidRPr="00E00C19">
        <w:rPr>
          <w:rFonts w:cs="David" w:hint="cs"/>
          <w:sz w:val="28"/>
          <w:szCs w:val="28"/>
          <w:rtl/>
        </w:rPr>
        <w:t xml:space="preserve"> ולא היה צורך ממשי להרחיב את מסגרת האיסורים הפליליים על פרסום הסתה לגזענות.</w:t>
      </w:r>
      <w:r w:rsidR="00672940" w:rsidRPr="00E00C19">
        <w:rPr>
          <w:rFonts w:cs="David" w:hint="cs"/>
          <w:sz w:val="28"/>
          <w:szCs w:val="28"/>
          <w:rtl/>
        </w:rPr>
        <w:t xml:space="preserve"> נראה שלא ניתן </w:t>
      </w:r>
      <w:r w:rsidR="001702D8" w:rsidRPr="00E00C19">
        <w:rPr>
          <w:rFonts w:cs="David" w:hint="cs"/>
          <w:sz w:val="28"/>
          <w:szCs w:val="28"/>
          <w:rtl/>
        </w:rPr>
        <w:t xml:space="preserve">לנתק </w:t>
      </w:r>
      <w:r w:rsidR="004D0914">
        <w:rPr>
          <w:rFonts w:cs="David" w:hint="cs"/>
          <w:sz w:val="28"/>
          <w:szCs w:val="28"/>
          <w:rtl/>
        </w:rPr>
        <w:t xml:space="preserve">זאת </w:t>
      </w:r>
      <w:r w:rsidR="001702D8" w:rsidRPr="00E00C19">
        <w:rPr>
          <w:rFonts w:cs="David" w:hint="cs"/>
          <w:sz w:val="28"/>
          <w:szCs w:val="28"/>
          <w:rtl/>
        </w:rPr>
        <w:t>מ</w:t>
      </w:r>
      <w:r w:rsidR="00672940" w:rsidRPr="00E00C19">
        <w:rPr>
          <w:rFonts w:cs="David" w:hint="cs"/>
          <w:sz w:val="28"/>
          <w:szCs w:val="28"/>
          <w:rtl/>
        </w:rPr>
        <w:t>טראומת</w:t>
      </w:r>
      <w:r w:rsidR="001702D8" w:rsidRPr="00E00C19">
        <w:rPr>
          <w:rFonts w:cs="David" w:hint="cs"/>
          <w:sz w:val="28"/>
          <w:szCs w:val="28"/>
          <w:rtl/>
        </w:rPr>
        <w:t xml:space="preserve"> השואה</w:t>
      </w:r>
      <w:r w:rsidR="00672940" w:rsidRPr="00E00C19">
        <w:rPr>
          <w:rFonts w:cs="David" w:hint="cs"/>
          <w:sz w:val="28"/>
          <w:szCs w:val="28"/>
          <w:rtl/>
        </w:rPr>
        <w:t xml:space="preserve"> ו</w:t>
      </w:r>
      <w:r w:rsidR="001702D8" w:rsidRPr="00E00C19">
        <w:rPr>
          <w:rFonts w:cs="David" w:hint="cs"/>
          <w:sz w:val="28"/>
          <w:szCs w:val="28"/>
          <w:rtl/>
        </w:rPr>
        <w:t>מ</w:t>
      </w:r>
      <w:r w:rsidR="00672940" w:rsidRPr="00E00C19">
        <w:rPr>
          <w:rFonts w:cs="David" w:hint="cs"/>
          <w:sz w:val="28"/>
          <w:szCs w:val="28"/>
          <w:rtl/>
        </w:rPr>
        <w:t xml:space="preserve">כך שהיה זה בלתי מתקבל על הדעת, שבתוך החברה הישראלית </w:t>
      </w:r>
      <w:r w:rsidR="001702D8" w:rsidRPr="00E00C19">
        <w:rPr>
          <w:rFonts w:cs="David" w:hint="cs"/>
          <w:sz w:val="28"/>
          <w:szCs w:val="28"/>
          <w:rtl/>
        </w:rPr>
        <w:t>באות</w:t>
      </w:r>
      <w:r w:rsidR="004D0914">
        <w:rPr>
          <w:rFonts w:cs="David" w:hint="cs"/>
          <w:sz w:val="28"/>
          <w:szCs w:val="28"/>
          <w:rtl/>
        </w:rPr>
        <w:t>ן</w:t>
      </w:r>
      <w:r w:rsidR="001702D8" w:rsidRPr="00E00C19">
        <w:rPr>
          <w:rFonts w:cs="David" w:hint="cs"/>
          <w:sz w:val="28"/>
          <w:szCs w:val="28"/>
          <w:rtl/>
        </w:rPr>
        <w:t xml:space="preserve"> השנים </w:t>
      </w:r>
      <w:r w:rsidR="00672940" w:rsidRPr="00E00C19">
        <w:rPr>
          <w:rFonts w:cs="David" w:hint="cs"/>
          <w:sz w:val="28"/>
          <w:szCs w:val="28"/>
          <w:rtl/>
        </w:rPr>
        <w:t>יהיו סימנים של גזענות כלפי אחרים.</w:t>
      </w:r>
    </w:p>
    <w:p w:rsidR="008661F3" w:rsidRDefault="00FF0A14" w:rsidP="00FF0A14">
      <w:pPr>
        <w:spacing w:line="360" w:lineRule="auto"/>
        <w:jc w:val="both"/>
        <w:rPr>
          <w:rFonts w:cs="David"/>
          <w:sz w:val="28"/>
          <w:szCs w:val="28"/>
          <w:rtl/>
        </w:rPr>
      </w:pPr>
      <w:r>
        <w:rPr>
          <w:rFonts w:cs="David" w:hint="cs"/>
          <w:sz w:val="28"/>
          <w:szCs w:val="28"/>
          <w:rtl/>
        </w:rPr>
        <w:t>לכך יש להוסיף ו</w:t>
      </w:r>
      <w:r w:rsidR="008661F3">
        <w:rPr>
          <w:rFonts w:cs="David" w:hint="cs"/>
          <w:sz w:val="28"/>
          <w:szCs w:val="28"/>
          <w:rtl/>
        </w:rPr>
        <w:t xml:space="preserve">לציין את הצטרפותה של ישראל </w:t>
      </w:r>
      <w:r w:rsidR="00575E7F">
        <w:rPr>
          <w:rFonts w:cs="David" w:hint="cs"/>
          <w:sz w:val="28"/>
          <w:szCs w:val="28"/>
          <w:rtl/>
        </w:rPr>
        <w:t xml:space="preserve"> בשנת 1965 </w:t>
      </w:r>
      <w:r w:rsidR="008661F3">
        <w:rPr>
          <w:rFonts w:cs="David" w:hint="cs"/>
          <w:sz w:val="28"/>
          <w:szCs w:val="28"/>
          <w:rtl/>
        </w:rPr>
        <w:t>לאמנה בינלאומית</w:t>
      </w:r>
      <w:r w:rsidR="00507BAD">
        <w:rPr>
          <w:rFonts w:cs="David" w:hint="cs"/>
          <w:sz w:val="28"/>
          <w:szCs w:val="28"/>
          <w:rtl/>
        </w:rPr>
        <w:t>,</w:t>
      </w:r>
      <w:r w:rsidR="008661F3">
        <w:rPr>
          <w:rFonts w:cs="David" w:hint="cs"/>
          <w:sz w:val="28"/>
          <w:szCs w:val="28"/>
          <w:rtl/>
        </w:rPr>
        <w:t xml:space="preserve"> שעניינה ביעור</w:t>
      </w:r>
      <w:r w:rsidR="00C7080F">
        <w:rPr>
          <w:rFonts w:cs="David" w:hint="cs"/>
          <w:sz w:val="28"/>
          <w:szCs w:val="28"/>
          <w:rtl/>
        </w:rPr>
        <w:t xml:space="preserve"> </w:t>
      </w:r>
      <w:r w:rsidR="008661F3">
        <w:rPr>
          <w:rFonts w:cs="David" w:hint="cs"/>
          <w:sz w:val="28"/>
          <w:szCs w:val="28"/>
          <w:rtl/>
        </w:rPr>
        <w:t xml:space="preserve">כל צורות </w:t>
      </w:r>
      <w:r w:rsidR="004D0914">
        <w:rPr>
          <w:rFonts w:cs="David" w:hint="cs"/>
          <w:sz w:val="28"/>
          <w:szCs w:val="28"/>
          <w:rtl/>
        </w:rPr>
        <w:t>ה</w:t>
      </w:r>
      <w:r w:rsidR="008661F3">
        <w:rPr>
          <w:rFonts w:cs="David" w:hint="cs"/>
          <w:sz w:val="28"/>
          <w:szCs w:val="28"/>
          <w:rtl/>
        </w:rPr>
        <w:t xml:space="preserve">אפליה </w:t>
      </w:r>
      <w:r w:rsidR="004D0914">
        <w:rPr>
          <w:rFonts w:cs="David" w:hint="cs"/>
          <w:sz w:val="28"/>
          <w:szCs w:val="28"/>
          <w:rtl/>
        </w:rPr>
        <w:t>ה</w:t>
      </w:r>
      <w:r w:rsidR="008661F3">
        <w:rPr>
          <w:rFonts w:cs="David" w:hint="cs"/>
          <w:sz w:val="28"/>
          <w:szCs w:val="28"/>
          <w:rtl/>
        </w:rPr>
        <w:t>גזעית</w:t>
      </w:r>
      <w:r w:rsidR="004D0914">
        <w:rPr>
          <w:rFonts w:cs="David" w:hint="cs"/>
          <w:sz w:val="28"/>
          <w:szCs w:val="28"/>
          <w:rtl/>
        </w:rPr>
        <w:t>.</w:t>
      </w:r>
      <w:r w:rsidR="00546651">
        <w:rPr>
          <w:rStyle w:val="a5"/>
          <w:rFonts w:cs="David"/>
          <w:sz w:val="28"/>
          <w:szCs w:val="28"/>
          <w:rtl/>
        </w:rPr>
        <w:footnoteReference w:id="86"/>
      </w:r>
      <w:r w:rsidR="00575E7F">
        <w:rPr>
          <w:rFonts w:cs="David" w:hint="cs"/>
          <w:sz w:val="28"/>
          <w:szCs w:val="28"/>
          <w:rtl/>
        </w:rPr>
        <w:t xml:space="preserve"> במסגרת זו התחייבה </w:t>
      </w:r>
      <w:r w:rsidR="00507BAD">
        <w:rPr>
          <w:rFonts w:cs="David" w:hint="cs"/>
          <w:sz w:val="28"/>
          <w:szCs w:val="28"/>
          <w:rtl/>
        </w:rPr>
        <w:t xml:space="preserve">ישראל </w:t>
      </w:r>
      <w:r w:rsidR="00575E7F">
        <w:rPr>
          <w:rFonts w:cs="David" w:hint="cs"/>
          <w:sz w:val="28"/>
          <w:szCs w:val="28"/>
          <w:rtl/>
        </w:rPr>
        <w:t xml:space="preserve">לנקוט מהלכים חקיקתיים, שמטרתם לאסור, גם באמצעים עונשים, פעילות והסתה לגזענות. </w:t>
      </w:r>
    </w:p>
    <w:p w:rsidR="00507BAD" w:rsidRDefault="00507BAD" w:rsidP="009F6A30">
      <w:pPr>
        <w:spacing w:line="360" w:lineRule="auto"/>
        <w:jc w:val="both"/>
        <w:rPr>
          <w:rFonts w:cs="David"/>
          <w:sz w:val="28"/>
          <w:szCs w:val="28"/>
          <w:rtl/>
        </w:rPr>
      </w:pPr>
      <w:r>
        <w:rPr>
          <w:rFonts w:cs="David" w:hint="cs"/>
          <w:sz w:val="28"/>
          <w:szCs w:val="28"/>
          <w:rtl/>
        </w:rPr>
        <w:t xml:space="preserve">ברם, מה שנראה בשלושים השנים הראשונות לקום המדינה כבלתי מתקבל על הדעת, קרם עור וגידים בשנות השמונים והפך לעובדה קונקרטית, עם הופעתה של תנועת </w:t>
      </w:r>
      <w:r w:rsidR="00D11345">
        <w:rPr>
          <w:rFonts w:cs="David" w:hint="cs"/>
          <w:sz w:val="28"/>
          <w:szCs w:val="28"/>
          <w:rtl/>
        </w:rPr>
        <w:lastRenderedPageBreak/>
        <w:t>'כך'</w:t>
      </w:r>
      <w:r>
        <w:rPr>
          <w:rFonts w:cs="David" w:hint="cs"/>
          <w:sz w:val="28"/>
          <w:szCs w:val="28"/>
          <w:rtl/>
        </w:rPr>
        <w:t xml:space="preserve"> בשלהי שנות השבעים, אשר הטיפ</w:t>
      </w:r>
      <w:r w:rsidR="009F6A30">
        <w:rPr>
          <w:rFonts w:cs="David" w:hint="cs"/>
          <w:sz w:val="28"/>
          <w:szCs w:val="28"/>
          <w:rtl/>
        </w:rPr>
        <w:t>ה לייסודה של מדינת הלכה יהודית "</w:t>
      </w:r>
      <w:r>
        <w:rPr>
          <w:rFonts w:cs="David" w:hint="cs"/>
          <w:sz w:val="28"/>
          <w:szCs w:val="28"/>
          <w:rtl/>
        </w:rPr>
        <w:t>נקייה</w:t>
      </w:r>
      <w:r w:rsidR="009F6A30">
        <w:rPr>
          <w:rFonts w:cs="David" w:hint="cs"/>
          <w:sz w:val="28"/>
          <w:szCs w:val="28"/>
          <w:rtl/>
        </w:rPr>
        <w:t>"</w:t>
      </w:r>
      <w:r>
        <w:rPr>
          <w:rFonts w:cs="David" w:hint="cs"/>
          <w:sz w:val="28"/>
          <w:szCs w:val="28"/>
          <w:rtl/>
        </w:rPr>
        <w:t xml:space="preserve"> מלא-יהודים והעלתה על הבמה הציבורית את האידיאולוגיה הגזענית המובהקת.</w:t>
      </w:r>
    </w:p>
    <w:p w:rsidR="009E6C78" w:rsidRDefault="005D3499" w:rsidP="00EC4DC5">
      <w:pPr>
        <w:spacing w:line="360" w:lineRule="auto"/>
        <w:jc w:val="both"/>
        <w:rPr>
          <w:rFonts w:cs="David"/>
          <w:sz w:val="28"/>
          <w:szCs w:val="28"/>
          <w:rtl/>
        </w:rPr>
      </w:pPr>
      <w:r>
        <w:rPr>
          <w:rFonts w:cs="David" w:hint="cs"/>
          <w:sz w:val="28"/>
          <w:szCs w:val="28"/>
          <w:rtl/>
        </w:rPr>
        <w:t>הפריצה של התנועה לתודעה הציבורית הייתה הדרגתית וחרף חומרתה לא כולם ה</w:t>
      </w:r>
      <w:r w:rsidR="004D0914">
        <w:rPr>
          <w:rFonts w:cs="David" w:hint="cs"/>
          <w:sz w:val="28"/>
          <w:szCs w:val="28"/>
          <w:rtl/>
        </w:rPr>
        <w:t>י</w:t>
      </w:r>
      <w:r>
        <w:rPr>
          <w:rFonts w:cs="David" w:hint="cs"/>
          <w:sz w:val="28"/>
          <w:szCs w:val="28"/>
          <w:rtl/>
        </w:rPr>
        <w:t>טיבו לראות את הסכנה הטמונה ב</w:t>
      </w:r>
      <w:r w:rsidR="004D0914">
        <w:rPr>
          <w:rFonts w:cs="David" w:hint="cs"/>
          <w:sz w:val="28"/>
          <w:szCs w:val="28"/>
          <w:rtl/>
        </w:rPr>
        <w:t>ה</w:t>
      </w:r>
      <w:r>
        <w:rPr>
          <w:rFonts w:cs="David" w:hint="cs"/>
          <w:sz w:val="28"/>
          <w:szCs w:val="28"/>
          <w:rtl/>
        </w:rPr>
        <w:t xml:space="preserve"> ובהתפתחותה</w:t>
      </w:r>
      <w:r w:rsidR="004D0914">
        <w:rPr>
          <w:rFonts w:cs="David" w:hint="cs"/>
          <w:sz w:val="28"/>
          <w:szCs w:val="28"/>
          <w:rtl/>
        </w:rPr>
        <w:t>.</w:t>
      </w:r>
      <w:r>
        <w:rPr>
          <w:rFonts w:cs="David" w:hint="cs"/>
          <w:sz w:val="28"/>
          <w:szCs w:val="28"/>
          <w:rtl/>
        </w:rPr>
        <w:t xml:space="preserve"> כך, בשנת 1981 אף אושרה התנועה </w:t>
      </w:r>
      <w:r w:rsidR="009E6C78">
        <w:rPr>
          <w:rFonts w:cs="David" w:hint="cs"/>
          <w:sz w:val="28"/>
          <w:szCs w:val="28"/>
          <w:rtl/>
        </w:rPr>
        <w:t xml:space="preserve">לראשונה </w:t>
      </w:r>
      <w:r>
        <w:rPr>
          <w:rFonts w:cs="David" w:hint="cs"/>
          <w:sz w:val="28"/>
          <w:szCs w:val="28"/>
          <w:rtl/>
        </w:rPr>
        <w:t xml:space="preserve">להתמודד בבחירות </w:t>
      </w:r>
      <w:r w:rsidR="009E6C78">
        <w:rPr>
          <w:rFonts w:cs="David" w:hint="cs"/>
          <w:sz w:val="28"/>
          <w:szCs w:val="28"/>
          <w:rtl/>
        </w:rPr>
        <w:t xml:space="preserve">לכנסת  העשירית </w:t>
      </w:r>
      <w:r>
        <w:rPr>
          <w:rFonts w:cs="David" w:hint="cs"/>
          <w:sz w:val="28"/>
          <w:szCs w:val="28"/>
          <w:rtl/>
        </w:rPr>
        <w:t xml:space="preserve">וגם </w:t>
      </w:r>
      <w:r w:rsidR="004D0914">
        <w:rPr>
          <w:rFonts w:cs="David" w:hint="cs"/>
          <w:sz w:val="28"/>
          <w:szCs w:val="28"/>
          <w:rtl/>
        </w:rPr>
        <w:t>ערעור על ההחלטה ב</w:t>
      </w:r>
      <w:r>
        <w:rPr>
          <w:rFonts w:cs="David" w:hint="cs"/>
          <w:sz w:val="28"/>
          <w:szCs w:val="28"/>
          <w:rtl/>
        </w:rPr>
        <w:t>פני בית המשפט העליון לא נשא פרי והרשימה אושרה.</w:t>
      </w:r>
      <w:r w:rsidR="009E6C78">
        <w:rPr>
          <w:rStyle w:val="a5"/>
          <w:rFonts w:cs="David"/>
          <w:sz w:val="28"/>
          <w:szCs w:val="28"/>
          <w:rtl/>
        </w:rPr>
        <w:footnoteReference w:id="87"/>
      </w:r>
      <w:r w:rsidR="009E6C78">
        <w:rPr>
          <w:rFonts w:cs="David" w:hint="cs"/>
          <w:sz w:val="28"/>
          <w:szCs w:val="28"/>
          <w:rtl/>
        </w:rPr>
        <w:t xml:space="preserve"> לקראת הכנסת האחת-עשרה  החליטה ועדת הבחירות המרכזית לפסול את רשימת </w:t>
      </w:r>
      <w:r w:rsidR="00EC4DC5">
        <w:rPr>
          <w:rFonts w:cs="David" w:hint="cs"/>
          <w:sz w:val="28"/>
          <w:szCs w:val="28"/>
          <w:rtl/>
        </w:rPr>
        <w:t>'כך'</w:t>
      </w:r>
      <w:r w:rsidR="009E6C78">
        <w:rPr>
          <w:rFonts w:cs="David" w:hint="cs"/>
          <w:sz w:val="28"/>
          <w:szCs w:val="28"/>
          <w:rtl/>
        </w:rPr>
        <w:t xml:space="preserve"> וזו ערערה לבית המשפט העליון, אשר קיבל את ערעורה</w:t>
      </w:r>
      <w:r w:rsidR="008B39E6">
        <w:rPr>
          <w:rFonts w:cs="David" w:hint="cs"/>
          <w:sz w:val="28"/>
          <w:szCs w:val="28"/>
          <w:rtl/>
        </w:rPr>
        <w:t>.</w:t>
      </w:r>
      <w:r w:rsidR="008B39E6">
        <w:rPr>
          <w:rStyle w:val="a5"/>
          <w:rFonts w:cs="David"/>
          <w:sz w:val="28"/>
          <w:szCs w:val="28"/>
          <w:rtl/>
        </w:rPr>
        <w:footnoteReference w:id="88"/>
      </w:r>
      <w:r w:rsidR="00B97E20">
        <w:rPr>
          <w:rFonts w:cs="David" w:hint="cs"/>
          <w:sz w:val="28"/>
          <w:szCs w:val="28"/>
          <w:rtl/>
        </w:rPr>
        <w:t xml:space="preserve"> בית המשפט, אשר עמד על תפיסותיה הגזעניות של התנועה (שהיו גלויות במצעה), לא מצא יסוד לקביעה כי יש במטרות התנועה משום שלילת עצם קיומה של המדינה</w:t>
      </w:r>
      <w:r w:rsidR="00CB597F">
        <w:rPr>
          <w:rFonts w:cs="David" w:hint="cs"/>
          <w:sz w:val="28"/>
          <w:szCs w:val="28"/>
          <w:rtl/>
        </w:rPr>
        <w:t xml:space="preserve"> וכי השתתפותה בבחירות מקימה אפשרות סבירה לפגיעה באופייה הדמוקרטי של המדינה</w:t>
      </w:r>
      <w:r w:rsidR="004D0914">
        <w:rPr>
          <w:rFonts w:cs="David" w:hint="cs"/>
          <w:sz w:val="28"/>
          <w:szCs w:val="28"/>
          <w:rtl/>
        </w:rPr>
        <w:t>.</w:t>
      </w:r>
      <w:r w:rsidR="00B97E20">
        <w:rPr>
          <w:rFonts w:cs="David" w:hint="cs"/>
          <w:sz w:val="28"/>
          <w:szCs w:val="28"/>
          <w:rtl/>
        </w:rPr>
        <w:t xml:space="preserve"> לכן לא נמצא בסיס חוקי איתן לשלול  ממנה את זכות הייצוג בכנסת</w:t>
      </w:r>
      <w:r w:rsidR="00CB597F">
        <w:rPr>
          <w:rFonts w:cs="David" w:hint="cs"/>
          <w:sz w:val="28"/>
          <w:szCs w:val="28"/>
          <w:rtl/>
        </w:rPr>
        <w:t xml:space="preserve"> והתנועה הורשתה להשתתף בבחירות</w:t>
      </w:r>
      <w:r w:rsidR="00B97E20">
        <w:rPr>
          <w:rFonts w:cs="David" w:hint="cs"/>
          <w:sz w:val="28"/>
          <w:szCs w:val="28"/>
          <w:rtl/>
        </w:rPr>
        <w:t>.</w:t>
      </w:r>
      <w:r w:rsidR="00B97E20">
        <w:rPr>
          <w:rStyle w:val="a5"/>
          <w:rFonts w:cs="David"/>
          <w:sz w:val="28"/>
          <w:szCs w:val="28"/>
          <w:rtl/>
        </w:rPr>
        <w:footnoteReference w:id="89"/>
      </w:r>
    </w:p>
    <w:p w:rsidR="005A486D" w:rsidRDefault="009046DF" w:rsidP="00F119A4">
      <w:pPr>
        <w:spacing w:line="360" w:lineRule="auto"/>
        <w:jc w:val="both"/>
        <w:rPr>
          <w:rFonts w:cs="David"/>
          <w:sz w:val="28"/>
          <w:szCs w:val="28"/>
          <w:rtl/>
        </w:rPr>
      </w:pPr>
      <w:r>
        <w:rPr>
          <w:rFonts w:cs="David" w:hint="cs"/>
          <w:sz w:val="28"/>
          <w:szCs w:val="28"/>
          <w:rtl/>
        </w:rPr>
        <w:t xml:space="preserve">משנבחר </w:t>
      </w:r>
      <w:r w:rsidR="000B2CC7">
        <w:rPr>
          <w:rFonts w:cs="David" w:hint="cs"/>
          <w:sz w:val="28"/>
          <w:szCs w:val="28"/>
          <w:rtl/>
        </w:rPr>
        <w:t xml:space="preserve">הרב </w:t>
      </w:r>
      <w:r>
        <w:rPr>
          <w:rFonts w:cs="David" w:hint="cs"/>
          <w:sz w:val="28"/>
          <w:szCs w:val="28"/>
          <w:rtl/>
        </w:rPr>
        <w:t xml:space="preserve">כהנא לכנסת האחת-עשרה הגבירו הוא ותנועתו את פעילותם הגזענית ורעיונותיו הופצו בכתובים, תוך ניצול במת הכנסת לנאומי הסתה כנגד אזרחיה הערבים של המדינה. </w:t>
      </w:r>
      <w:r w:rsidR="00D5045D">
        <w:rPr>
          <w:rFonts w:cs="David" w:hint="cs"/>
          <w:sz w:val="28"/>
          <w:szCs w:val="28"/>
          <w:rtl/>
        </w:rPr>
        <w:t>כפועל יוצא</w:t>
      </w:r>
      <w:r>
        <w:rPr>
          <w:rFonts w:cs="David" w:hint="cs"/>
          <w:sz w:val="28"/>
          <w:szCs w:val="28"/>
          <w:rtl/>
        </w:rPr>
        <w:t xml:space="preserve">, החלה מתבהרת </w:t>
      </w:r>
      <w:r w:rsidR="005A486D">
        <w:rPr>
          <w:rFonts w:cs="David" w:hint="cs"/>
          <w:sz w:val="28"/>
          <w:szCs w:val="28"/>
          <w:rtl/>
        </w:rPr>
        <w:t>חיוניות הצורך בחקיקה ספציפית, אשר תשלול ותבלום את ההסתה הגזענית, לרבות איסור פלילי מפורש על פרסומי הסתה לגזענות</w:t>
      </w:r>
      <w:r w:rsidR="002653B5">
        <w:rPr>
          <w:rFonts w:cs="David" w:hint="cs"/>
          <w:sz w:val="28"/>
          <w:szCs w:val="28"/>
          <w:rtl/>
        </w:rPr>
        <w:t>.</w:t>
      </w:r>
    </w:p>
    <w:p w:rsidR="00703BF4" w:rsidRDefault="002653B5" w:rsidP="00F119A4">
      <w:pPr>
        <w:spacing w:line="360" w:lineRule="auto"/>
        <w:jc w:val="both"/>
        <w:rPr>
          <w:rFonts w:cs="David"/>
          <w:sz w:val="28"/>
          <w:szCs w:val="28"/>
          <w:rtl/>
        </w:rPr>
      </w:pPr>
      <w:r w:rsidRPr="00E23963">
        <w:rPr>
          <w:rFonts w:cs="David" w:hint="cs"/>
          <w:b/>
          <w:bCs/>
          <w:sz w:val="28"/>
          <w:szCs w:val="28"/>
          <w:rtl/>
        </w:rPr>
        <w:t>בשנת תשמ"ה-1985</w:t>
      </w:r>
      <w:r>
        <w:rPr>
          <w:rFonts w:cs="David" w:hint="cs"/>
          <w:sz w:val="28"/>
          <w:szCs w:val="28"/>
          <w:rtl/>
        </w:rPr>
        <w:t>, החלה הכנסת בתהליכי חקיקה, שמטרתם המוצהרת הייתה מלחמה בגזענות.</w:t>
      </w:r>
      <w:r w:rsidR="002155F0">
        <w:rPr>
          <w:rFonts w:cs="David" w:hint="cs"/>
          <w:sz w:val="28"/>
          <w:szCs w:val="28"/>
          <w:rtl/>
        </w:rPr>
        <w:t xml:space="preserve"> בסמיכות זמנים הונחו על שול</w:t>
      </w:r>
      <w:r w:rsidR="00085E8D">
        <w:rPr>
          <w:rFonts w:cs="David" w:hint="cs"/>
          <w:sz w:val="28"/>
          <w:szCs w:val="28"/>
          <w:rtl/>
        </w:rPr>
        <w:t>ח</w:t>
      </w:r>
      <w:r w:rsidR="002155F0">
        <w:rPr>
          <w:rFonts w:cs="David" w:hint="cs"/>
          <w:sz w:val="28"/>
          <w:szCs w:val="28"/>
          <w:rtl/>
        </w:rPr>
        <w:t xml:space="preserve">ן הכנסת שתי הצעות חוק </w:t>
      </w:r>
      <w:r w:rsidR="00536505">
        <w:rPr>
          <w:rFonts w:cs="David" w:hint="cs"/>
          <w:sz w:val="28"/>
          <w:szCs w:val="28"/>
          <w:rtl/>
        </w:rPr>
        <w:t>-</w:t>
      </w:r>
      <w:r w:rsidR="002155F0">
        <w:rPr>
          <w:rFonts w:cs="David" w:hint="cs"/>
          <w:sz w:val="28"/>
          <w:szCs w:val="28"/>
          <w:rtl/>
        </w:rPr>
        <w:t xml:space="preserve"> הצעת חוק יסוד: הכנסת (תיקון מספר 12), שהציעה לתקן את חוק יסוד:</w:t>
      </w:r>
      <w:r w:rsidR="00085E8D">
        <w:rPr>
          <w:rFonts w:cs="David" w:hint="cs"/>
          <w:sz w:val="28"/>
          <w:szCs w:val="28"/>
          <w:rtl/>
        </w:rPr>
        <w:t xml:space="preserve"> </w:t>
      </w:r>
      <w:r w:rsidR="002155F0">
        <w:rPr>
          <w:rFonts w:cs="David" w:hint="cs"/>
          <w:sz w:val="28"/>
          <w:szCs w:val="28"/>
          <w:rtl/>
        </w:rPr>
        <w:t>הכנסת ואת חוק הבחירות לכנסת [נוסח משולב] ו</w:t>
      </w:r>
      <w:r w:rsidR="00C668CB">
        <w:rPr>
          <w:rFonts w:cs="David" w:hint="cs"/>
          <w:sz w:val="28"/>
          <w:szCs w:val="28"/>
          <w:rtl/>
        </w:rPr>
        <w:t xml:space="preserve">כן </w:t>
      </w:r>
      <w:r w:rsidR="002155F0">
        <w:rPr>
          <w:rFonts w:cs="David" w:hint="cs"/>
          <w:sz w:val="28"/>
          <w:szCs w:val="28"/>
          <w:rtl/>
        </w:rPr>
        <w:t xml:space="preserve">הצעת חוק </w:t>
      </w:r>
      <w:r w:rsidR="002155F0" w:rsidRPr="0059242E">
        <w:rPr>
          <w:rFonts w:cs="David" w:hint="cs"/>
          <w:sz w:val="28"/>
          <w:szCs w:val="28"/>
          <w:rtl/>
        </w:rPr>
        <w:t>העונשין (תיקון מספר 24),</w:t>
      </w:r>
      <w:r w:rsidR="002155F0">
        <w:rPr>
          <w:rFonts w:cs="David" w:hint="cs"/>
          <w:sz w:val="28"/>
          <w:szCs w:val="28"/>
          <w:rtl/>
        </w:rPr>
        <w:t xml:space="preserve"> תשמ"ה-1985. בדברי ההסבר להצעת החוק הראשונה נכללה גם הפניה להצעת החוק השנייה ולהלן חלק מההתייחסות הרלוונטית</w:t>
      </w:r>
      <w:r w:rsidR="00266F5A">
        <w:rPr>
          <w:rFonts w:cs="David" w:hint="cs"/>
          <w:sz w:val="28"/>
          <w:szCs w:val="28"/>
          <w:rtl/>
        </w:rPr>
        <w:t>:</w:t>
      </w:r>
      <w:r w:rsidR="00912F4F">
        <w:rPr>
          <w:rStyle w:val="a5"/>
          <w:rFonts w:cs="David"/>
          <w:sz w:val="28"/>
          <w:szCs w:val="28"/>
          <w:rtl/>
        </w:rPr>
        <w:footnoteReference w:id="90"/>
      </w:r>
    </w:p>
    <w:p w:rsidR="0043501D" w:rsidRPr="00196662" w:rsidRDefault="0043501D" w:rsidP="00EF30BA">
      <w:pPr>
        <w:spacing w:line="360" w:lineRule="auto"/>
        <w:ind w:left="720"/>
        <w:jc w:val="both"/>
        <w:rPr>
          <w:rFonts w:cs="David"/>
          <w:sz w:val="24"/>
          <w:szCs w:val="24"/>
          <w:rtl/>
        </w:rPr>
      </w:pPr>
      <w:r w:rsidRPr="00196662">
        <w:rPr>
          <w:rFonts w:cs="David" w:hint="cs"/>
          <w:sz w:val="24"/>
          <w:szCs w:val="24"/>
          <w:rtl/>
        </w:rPr>
        <w:t>בהצעת חוק העונשין (תיקון מספר 24), התשמ"ה-1985, מוצע לא</w:t>
      </w:r>
      <w:r w:rsidR="009F2F23" w:rsidRPr="00196662">
        <w:rPr>
          <w:rFonts w:cs="David" w:hint="cs"/>
          <w:sz w:val="24"/>
          <w:szCs w:val="24"/>
          <w:rtl/>
        </w:rPr>
        <w:t>ס</w:t>
      </w:r>
      <w:r w:rsidRPr="00196662">
        <w:rPr>
          <w:rFonts w:cs="David" w:hint="cs"/>
          <w:sz w:val="24"/>
          <w:szCs w:val="24"/>
          <w:rtl/>
        </w:rPr>
        <w:t>ור פרסום של הסתה לגזענות. תופעת הגזענות נוגדת את הערכים שעליה</w:t>
      </w:r>
      <w:r w:rsidR="00EF30BA" w:rsidRPr="00196662">
        <w:rPr>
          <w:rFonts w:cs="David" w:hint="cs"/>
          <w:sz w:val="24"/>
          <w:szCs w:val="24"/>
          <w:rtl/>
        </w:rPr>
        <w:t>ם</w:t>
      </w:r>
      <w:r w:rsidRPr="00196662">
        <w:rPr>
          <w:rFonts w:cs="David" w:hint="cs"/>
          <w:sz w:val="24"/>
          <w:szCs w:val="24"/>
          <w:rtl/>
        </w:rPr>
        <w:t xml:space="preserve"> מושתתת מדינת ישראל. במשך דורות היה העם היהודי קרבן להסתה גזענית ואך טבעי הוא שמדינת ישראל תילחם עד ח</w:t>
      </w:r>
      <w:r w:rsidR="009F2F23" w:rsidRPr="00196662">
        <w:rPr>
          <w:rFonts w:cs="David" w:hint="cs"/>
          <w:sz w:val="24"/>
          <w:szCs w:val="24"/>
          <w:rtl/>
        </w:rPr>
        <w:t>ו</w:t>
      </w:r>
      <w:r w:rsidRPr="00196662">
        <w:rPr>
          <w:rFonts w:cs="David" w:hint="cs"/>
          <w:sz w:val="24"/>
          <w:szCs w:val="24"/>
          <w:rtl/>
        </w:rPr>
        <w:t xml:space="preserve">רמה בתופעה זו [...] בשל החומרה והסכנה של תופעת הגזענות, כפי שנתגלתה באחרונה, מוצע </w:t>
      </w:r>
      <w:r w:rsidRPr="00196662">
        <w:rPr>
          <w:rFonts w:cs="David" w:hint="cs"/>
          <w:sz w:val="24"/>
          <w:szCs w:val="24"/>
          <w:rtl/>
        </w:rPr>
        <w:lastRenderedPageBreak/>
        <w:t>למנוע מרשימת מועמדים, שמטרותיה או מעשיה הם הסתה לגזענות, מלהשתתף בבחירות לכנסת.</w:t>
      </w:r>
    </w:p>
    <w:p w:rsidR="00851F22" w:rsidRDefault="0043501D" w:rsidP="00F119A4">
      <w:pPr>
        <w:spacing w:line="360" w:lineRule="auto"/>
        <w:jc w:val="both"/>
        <w:rPr>
          <w:rFonts w:cs="David"/>
          <w:sz w:val="28"/>
          <w:szCs w:val="28"/>
          <w:rtl/>
        </w:rPr>
      </w:pPr>
      <w:r>
        <w:rPr>
          <w:rFonts w:cs="David" w:hint="cs"/>
          <w:sz w:val="28"/>
          <w:szCs w:val="28"/>
          <w:rtl/>
        </w:rPr>
        <w:t>בדברי ההסבר</w:t>
      </w:r>
      <w:r w:rsidR="00D5045D">
        <w:rPr>
          <w:rFonts w:cs="David" w:hint="cs"/>
          <w:sz w:val="28"/>
          <w:szCs w:val="28"/>
          <w:rtl/>
        </w:rPr>
        <w:t>,</w:t>
      </w:r>
      <w:r>
        <w:rPr>
          <w:rFonts w:cs="David" w:hint="cs"/>
          <w:sz w:val="28"/>
          <w:szCs w:val="28"/>
          <w:rtl/>
        </w:rPr>
        <w:t xml:space="preserve"> שנתל</w:t>
      </w:r>
      <w:r w:rsidR="00520704">
        <w:rPr>
          <w:rFonts w:cs="David" w:hint="cs"/>
          <w:sz w:val="28"/>
          <w:szCs w:val="28"/>
          <w:rtl/>
        </w:rPr>
        <w:t>ו</w:t>
      </w:r>
      <w:r>
        <w:rPr>
          <w:rFonts w:cs="David" w:hint="cs"/>
          <w:sz w:val="28"/>
          <w:szCs w:val="28"/>
          <w:rtl/>
        </w:rPr>
        <w:t>ו להצעת החוק השנייה</w:t>
      </w:r>
      <w:r w:rsidR="00C668CB">
        <w:rPr>
          <w:rFonts w:cs="David" w:hint="cs"/>
          <w:sz w:val="28"/>
          <w:szCs w:val="28"/>
          <w:rtl/>
        </w:rPr>
        <w:t xml:space="preserve"> (תיקון מספר 24)</w:t>
      </w:r>
      <w:r>
        <w:rPr>
          <w:rFonts w:cs="David" w:hint="cs"/>
          <w:sz w:val="28"/>
          <w:szCs w:val="28"/>
          <w:rtl/>
        </w:rPr>
        <w:t>, הוטעם הניגוד שבין גזענות לבין מסורת העם היהודי</w:t>
      </w:r>
      <w:r w:rsidR="00520704">
        <w:rPr>
          <w:rFonts w:cs="David" w:hint="cs"/>
          <w:sz w:val="28"/>
          <w:szCs w:val="28"/>
          <w:rtl/>
        </w:rPr>
        <w:t>, תוך מתן דגש לרעיון כבוד האדם באשר הוא אדם</w:t>
      </w:r>
      <w:r w:rsidR="00196662">
        <w:rPr>
          <w:rFonts w:cs="David" w:hint="cs"/>
          <w:sz w:val="28"/>
          <w:szCs w:val="28"/>
          <w:rtl/>
        </w:rPr>
        <w:t>,</w:t>
      </w:r>
      <w:r w:rsidR="00520704">
        <w:rPr>
          <w:rFonts w:cs="David" w:hint="cs"/>
          <w:sz w:val="28"/>
          <w:szCs w:val="28"/>
          <w:rtl/>
        </w:rPr>
        <w:t xml:space="preserve"> כפי שמובא במדרש ומדוע לא ניתן עוד להסתפק בהוראות החוק</w:t>
      </w:r>
      <w:r w:rsidR="00196662">
        <w:rPr>
          <w:rFonts w:cs="David" w:hint="cs"/>
          <w:sz w:val="28"/>
          <w:szCs w:val="28"/>
          <w:rtl/>
        </w:rPr>
        <w:t>,</w:t>
      </w:r>
      <w:r w:rsidR="00520704">
        <w:rPr>
          <w:rFonts w:cs="David" w:hint="cs"/>
          <w:sz w:val="28"/>
          <w:szCs w:val="28"/>
          <w:rtl/>
        </w:rPr>
        <w:t xml:space="preserve"> המצויות בדין הקיים, למרות שהללו מאפשרות להעניש על פרסום שיש בו הסתה, כפי שגם צוין לעיל.</w:t>
      </w:r>
      <w:r w:rsidR="00266F5A">
        <w:rPr>
          <w:rStyle w:val="a5"/>
          <w:rFonts w:cs="David"/>
          <w:sz w:val="28"/>
          <w:szCs w:val="28"/>
          <w:rtl/>
        </w:rPr>
        <w:footnoteReference w:id="91"/>
      </w:r>
    </w:p>
    <w:p w:rsidR="000E6F67" w:rsidRPr="00196662" w:rsidRDefault="00520704" w:rsidP="00793E4A">
      <w:pPr>
        <w:spacing w:line="360" w:lineRule="auto"/>
        <w:ind w:left="720"/>
        <w:jc w:val="both"/>
        <w:rPr>
          <w:rFonts w:cs="David"/>
          <w:sz w:val="24"/>
          <w:szCs w:val="24"/>
          <w:rtl/>
        </w:rPr>
      </w:pPr>
      <w:r w:rsidRPr="002E681E">
        <w:rPr>
          <w:rFonts w:cs="David" w:hint="cs"/>
          <w:sz w:val="24"/>
          <w:szCs w:val="24"/>
          <w:rtl/>
        </w:rPr>
        <w:t>חוק העונשין,</w:t>
      </w:r>
      <w:r w:rsidR="00095487" w:rsidRPr="002E681E">
        <w:rPr>
          <w:rFonts w:cs="David" w:hint="cs"/>
          <w:sz w:val="24"/>
          <w:szCs w:val="24"/>
          <w:rtl/>
        </w:rPr>
        <w:t xml:space="preserve"> </w:t>
      </w:r>
      <w:r w:rsidRPr="002E681E">
        <w:rPr>
          <w:rFonts w:cs="David" w:hint="cs"/>
          <w:sz w:val="24"/>
          <w:szCs w:val="24"/>
          <w:rtl/>
        </w:rPr>
        <w:t>התשל"ז-1977, אוסר מעשי המרדה ופרסומי המרדה (סעיפים 133 ו-134).</w:t>
      </w:r>
      <w:r w:rsidRPr="00196662">
        <w:rPr>
          <w:rFonts w:cs="David" w:hint="cs"/>
          <w:sz w:val="24"/>
          <w:szCs w:val="24"/>
          <w:rtl/>
        </w:rPr>
        <w:t xml:space="preserve"> המונח 'להמריד' כולל 'לעורר מדנים ואיבה בין חלקים שונים של האוכלוסין' (סעיף 136 (4)) ויש בו כדי להעניש על ביטויים של הסתה לגזענות. כל עוד התופעה של הסתה גזענית </w:t>
      </w:r>
      <w:r w:rsidRPr="002E681E">
        <w:rPr>
          <w:rFonts w:cs="David" w:hint="cs"/>
          <w:sz w:val="24"/>
          <w:szCs w:val="24"/>
          <w:rtl/>
        </w:rPr>
        <w:t>ה</w:t>
      </w:r>
      <w:r w:rsidR="001A40EE" w:rsidRPr="002E681E">
        <w:rPr>
          <w:rFonts w:cs="David" w:hint="cs"/>
          <w:sz w:val="24"/>
          <w:szCs w:val="24"/>
          <w:rtl/>
        </w:rPr>
        <w:t>י</w:t>
      </w:r>
      <w:r w:rsidRPr="002E681E">
        <w:rPr>
          <w:rFonts w:cs="David" w:hint="cs"/>
          <w:sz w:val="24"/>
          <w:szCs w:val="24"/>
          <w:rtl/>
        </w:rPr>
        <w:t>יתה שולית, ניתן היה להסתפק בהוראות האמורות וכן בהוראות האמורות בחוק איסור</w:t>
      </w:r>
      <w:r w:rsidRPr="00196662">
        <w:rPr>
          <w:rFonts w:cs="David" w:hint="cs"/>
          <w:sz w:val="24"/>
          <w:szCs w:val="24"/>
          <w:u w:val="single"/>
          <w:rtl/>
        </w:rPr>
        <w:t xml:space="preserve"> </w:t>
      </w:r>
      <w:r w:rsidRPr="002E681E">
        <w:rPr>
          <w:rFonts w:cs="David" w:hint="cs"/>
          <w:sz w:val="24"/>
          <w:szCs w:val="24"/>
          <w:rtl/>
        </w:rPr>
        <w:t>לשון הרע, התשכ"ה-1965 ובעיקר זו הדנה בלשון הרע על הציבור. ברם, משהפכה ההסתה</w:t>
      </w:r>
      <w:r w:rsidRPr="00196662">
        <w:rPr>
          <w:rFonts w:cs="David" w:hint="cs"/>
          <w:sz w:val="24"/>
          <w:szCs w:val="24"/>
          <w:rtl/>
        </w:rPr>
        <w:t xml:space="preserve"> </w:t>
      </w:r>
      <w:r w:rsidRPr="002E681E">
        <w:rPr>
          <w:rFonts w:cs="David" w:hint="cs"/>
          <w:sz w:val="24"/>
          <w:szCs w:val="24"/>
          <w:rtl/>
        </w:rPr>
        <w:t>הגזענית לתופעה מטרידה, נוצר צורך חינוכי לתקן את חוק העונשין ולכלול בו הוראה</w:t>
      </w:r>
      <w:r w:rsidRPr="00196662">
        <w:rPr>
          <w:rFonts w:cs="David" w:hint="cs"/>
          <w:sz w:val="24"/>
          <w:szCs w:val="24"/>
          <w:rtl/>
        </w:rPr>
        <w:t xml:space="preserve"> האוסרת במפורש פרסום הסתה לגזענות. (ההדגשות במקור).</w:t>
      </w:r>
    </w:p>
    <w:p w:rsidR="000E6F67" w:rsidRDefault="00AE452F" w:rsidP="00315EBB">
      <w:pPr>
        <w:spacing w:line="360" w:lineRule="auto"/>
        <w:jc w:val="both"/>
        <w:rPr>
          <w:rFonts w:cs="David"/>
          <w:sz w:val="28"/>
          <w:szCs w:val="28"/>
          <w:rtl/>
        </w:rPr>
      </w:pPr>
      <w:r>
        <w:rPr>
          <w:rFonts w:cs="David" w:hint="cs"/>
          <w:sz w:val="28"/>
          <w:szCs w:val="28"/>
          <w:rtl/>
        </w:rPr>
        <w:t>כך הוגדר</w:t>
      </w:r>
      <w:r w:rsidR="00315EBB">
        <w:rPr>
          <w:rFonts w:cs="David" w:hint="cs"/>
          <w:sz w:val="28"/>
          <w:szCs w:val="28"/>
          <w:rtl/>
        </w:rPr>
        <w:t xml:space="preserve"> המונח</w:t>
      </w:r>
      <w:r>
        <w:rPr>
          <w:rFonts w:cs="David" w:hint="cs"/>
          <w:sz w:val="28"/>
          <w:szCs w:val="28"/>
          <w:rtl/>
        </w:rPr>
        <w:t xml:space="preserve"> </w:t>
      </w:r>
      <w:r w:rsidR="000E6F67">
        <w:rPr>
          <w:rFonts w:cs="David" w:hint="cs"/>
          <w:sz w:val="28"/>
          <w:szCs w:val="28"/>
          <w:rtl/>
        </w:rPr>
        <w:t>"גזענות" ב</w:t>
      </w:r>
      <w:r w:rsidR="007B766F">
        <w:rPr>
          <w:rFonts w:cs="David" w:hint="cs"/>
          <w:sz w:val="28"/>
          <w:szCs w:val="28"/>
          <w:rtl/>
        </w:rPr>
        <w:t xml:space="preserve">אותה </w:t>
      </w:r>
      <w:r w:rsidR="000E6F67">
        <w:rPr>
          <w:rFonts w:cs="David" w:hint="cs"/>
          <w:sz w:val="28"/>
          <w:szCs w:val="28"/>
          <w:rtl/>
        </w:rPr>
        <w:t>הצעת החוק</w:t>
      </w:r>
      <w:r w:rsidR="007B766F">
        <w:rPr>
          <w:rFonts w:cs="David" w:hint="cs"/>
          <w:sz w:val="28"/>
          <w:szCs w:val="28"/>
          <w:rtl/>
        </w:rPr>
        <w:t>:</w:t>
      </w:r>
    </w:p>
    <w:p w:rsidR="000E6F67" w:rsidRPr="00196662" w:rsidRDefault="000E6F67" w:rsidP="00941A6C">
      <w:pPr>
        <w:spacing w:line="360" w:lineRule="auto"/>
        <w:ind w:left="720"/>
        <w:jc w:val="both"/>
        <w:rPr>
          <w:rFonts w:cs="David"/>
          <w:sz w:val="24"/>
          <w:szCs w:val="24"/>
          <w:rtl/>
        </w:rPr>
      </w:pPr>
      <w:r w:rsidRPr="00196662">
        <w:rPr>
          <w:rFonts w:cs="David" w:hint="cs"/>
          <w:sz w:val="24"/>
          <w:szCs w:val="24"/>
          <w:rtl/>
        </w:rPr>
        <w:t xml:space="preserve">גזענות </w:t>
      </w:r>
      <w:r w:rsidRPr="00196662">
        <w:rPr>
          <w:rFonts w:cs="David"/>
          <w:sz w:val="24"/>
          <w:szCs w:val="24"/>
          <w:rtl/>
        </w:rPr>
        <w:t>–</w:t>
      </w:r>
      <w:r w:rsidRPr="00196662">
        <w:rPr>
          <w:rFonts w:cs="David" w:hint="cs"/>
          <w:sz w:val="24"/>
          <w:szCs w:val="24"/>
          <w:rtl/>
        </w:rPr>
        <w:t xml:space="preserve"> רדיפה, השפלה, ביזוי או איבה כלפי ציבור,</w:t>
      </w:r>
      <w:r w:rsidR="00941A6C">
        <w:rPr>
          <w:rFonts w:cs="David" w:hint="cs"/>
          <w:sz w:val="24"/>
          <w:szCs w:val="24"/>
          <w:rtl/>
        </w:rPr>
        <w:t xml:space="preserve"> </w:t>
      </w:r>
      <w:r w:rsidRPr="00196662">
        <w:rPr>
          <w:rFonts w:cs="David" w:hint="cs"/>
          <w:sz w:val="24"/>
          <w:szCs w:val="24"/>
          <w:rtl/>
        </w:rPr>
        <w:t xml:space="preserve">או גרימת מדנים בין חלקים שונים של האוכלוסייה, וכן מעשה עוינות או אלימות, והכל בשל </w:t>
      </w:r>
      <w:r w:rsidRPr="00196662">
        <w:rPr>
          <w:rFonts w:cs="David" w:hint="cs"/>
          <w:b/>
          <w:bCs/>
          <w:sz w:val="24"/>
          <w:szCs w:val="24"/>
          <w:rtl/>
        </w:rPr>
        <w:t>השתייכות לגזע, ללאום או לדת</w:t>
      </w:r>
      <w:r w:rsidR="009D4EDE" w:rsidRPr="00196662">
        <w:rPr>
          <w:rFonts w:cs="David" w:hint="cs"/>
          <w:sz w:val="24"/>
          <w:szCs w:val="24"/>
          <w:rtl/>
        </w:rPr>
        <w:t>.</w:t>
      </w:r>
    </w:p>
    <w:p w:rsidR="000E6F67" w:rsidRDefault="00315EBB" w:rsidP="00F119A4">
      <w:pPr>
        <w:spacing w:line="360" w:lineRule="auto"/>
        <w:jc w:val="both"/>
        <w:rPr>
          <w:rFonts w:cs="David"/>
          <w:b/>
          <w:bCs/>
          <w:sz w:val="28"/>
          <w:szCs w:val="28"/>
          <w:rtl/>
        </w:rPr>
      </w:pPr>
      <w:r>
        <w:rPr>
          <w:rFonts w:cs="David" w:hint="cs"/>
          <w:sz w:val="28"/>
          <w:szCs w:val="28"/>
          <w:rtl/>
        </w:rPr>
        <w:t xml:space="preserve">בפועל, </w:t>
      </w:r>
      <w:r w:rsidR="000E6F67">
        <w:rPr>
          <w:rFonts w:cs="David" w:hint="cs"/>
          <w:sz w:val="28"/>
          <w:szCs w:val="28"/>
          <w:rtl/>
        </w:rPr>
        <w:t>בחוק העונשין נקבעה הגדרה שונה במקצת ל</w:t>
      </w:r>
      <w:r w:rsidR="00C7080F">
        <w:rPr>
          <w:rFonts w:cs="David" w:hint="cs"/>
          <w:sz w:val="28"/>
          <w:szCs w:val="28"/>
          <w:rtl/>
        </w:rPr>
        <w:t xml:space="preserve">מונח </w:t>
      </w:r>
      <w:r w:rsidR="000E6F67">
        <w:rPr>
          <w:rFonts w:cs="David" w:hint="cs"/>
          <w:sz w:val="28"/>
          <w:szCs w:val="28"/>
          <w:rtl/>
        </w:rPr>
        <w:t xml:space="preserve">"גזענות". השוני מתבטא בסיפא, כך שבמקום מילות ההצעה </w:t>
      </w:r>
      <w:r w:rsidR="000E6F67" w:rsidRPr="009D4EDE">
        <w:rPr>
          <w:rFonts w:cs="David" w:hint="cs"/>
          <w:b/>
          <w:bCs/>
          <w:sz w:val="28"/>
          <w:szCs w:val="28"/>
          <w:rtl/>
        </w:rPr>
        <w:t>"השתייכות לגזע, ללאום או לדת"</w:t>
      </w:r>
      <w:r w:rsidR="000E6F67">
        <w:rPr>
          <w:rFonts w:cs="David" w:hint="cs"/>
          <w:sz w:val="28"/>
          <w:szCs w:val="28"/>
          <w:rtl/>
        </w:rPr>
        <w:t xml:space="preserve"> מסתפק החוק במילים: </w:t>
      </w:r>
      <w:r w:rsidR="000E6F67" w:rsidRPr="002150D2">
        <w:rPr>
          <w:rFonts w:cs="David" w:hint="cs"/>
          <w:b/>
          <w:bCs/>
          <w:sz w:val="28"/>
          <w:szCs w:val="28"/>
          <w:rtl/>
        </w:rPr>
        <w:t>"בשל צבע, או השתייכות לגזע או למוצא לאומי-אתני".</w:t>
      </w:r>
      <w:r w:rsidR="008A5B12">
        <w:rPr>
          <w:rStyle w:val="a5"/>
          <w:rFonts w:cs="David"/>
          <w:b/>
          <w:bCs/>
          <w:sz w:val="28"/>
          <w:szCs w:val="28"/>
          <w:rtl/>
        </w:rPr>
        <w:footnoteReference w:id="92"/>
      </w:r>
    </w:p>
    <w:p w:rsidR="000E6F67" w:rsidRDefault="0077264A" w:rsidP="00F119A4">
      <w:pPr>
        <w:spacing w:line="360" w:lineRule="auto"/>
        <w:jc w:val="both"/>
        <w:rPr>
          <w:rFonts w:cs="David"/>
          <w:sz w:val="28"/>
          <w:szCs w:val="28"/>
          <w:rtl/>
        </w:rPr>
      </w:pPr>
      <w:r>
        <w:rPr>
          <w:rFonts w:cs="David" w:hint="cs"/>
          <w:sz w:val="28"/>
          <w:szCs w:val="28"/>
          <w:rtl/>
        </w:rPr>
        <w:t>כבוד השופט</w:t>
      </w:r>
      <w:r w:rsidR="000E6F67">
        <w:rPr>
          <w:rFonts w:cs="David" w:hint="cs"/>
          <w:sz w:val="28"/>
          <w:szCs w:val="28"/>
          <w:rtl/>
        </w:rPr>
        <w:t xml:space="preserve"> מצא מתייחס לשוני זה וטוען, כי </w:t>
      </w:r>
      <w:r w:rsidR="000E6F67" w:rsidRPr="006A6525">
        <w:rPr>
          <w:rFonts w:cs="David" w:hint="cs"/>
          <w:b/>
          <w:bCs/>
          <w:sz w:val="28"/>
          <w:szCs w:val="28"/>
          <w:rtl/>
        </w:rPr>
        <w:t>השוני אינו רק ניסוחי</w:t>
      </w:r>
      <w:r w:rsidR="000E6F67">
        <w:rPr>
          <w:rFonts w:cs="David" w:hint="cs"/>
          <w:sz w:val="28"/>
          <w:szCs w:val="28"/>
          <w:rtl/>
        </w:rPr>
        <w:t xml:space="preserve"> וכי מההשוואה המילולית עולה כי רדיפתו, השפלתו או ביזויו של אדם, רק בשל השתייכותו לדת מסוימת אינן "גזענות" כהגדרתה בנוסח הכתוב בחוק. יחד עם זאת, נראה לשופט כי ההגדרה, כלשונה, </w:t>
      </w:r>
      <w:r w:rsidR="000E6F67" w:rsidRPr="006A6525">
        <w:rPr>
          <w:rFonts w:cs="David" w:hint="cs"/>
          <w:b/>
          <w:bCs/>
          <w:sz w:val="28"/>
          <w:szCs w:val="28"/>
          <w:rtl/>
        </w:rPr>
        <w:t>רחבה דייה כדי לכלול בחובה מקרים של יחס מפלה מצד יהודים כלפי ערבים ולהפך</w:t>
      </w:r>
      <w:r w:rsidR="000E6F67">
        <w:rPr>
          <w:rFonts w:cs="David" w:hint="cs"/>
          <w:sz w:val="28"/>
          <w:szCs w:val="28"/>
          <w:rtl/>
        </w:rPr>
        <w:t>, שכן למרות שלשני העמים אותו שיוך גזעי, מוצאיהם הלאומים-אתניים שונים.</w:t>
      </w:r>
      <w:r w:rsidR="000E6F67">
        <w:rPr>
          <w:rStyle w:val="a5"/>
          <w:rFonts w:cs="David"/>
          <w:sz w:val="28"/>
          <w:szCs w:val="28"/>
          <w:rtl/>
        </w:rPr>
        <w:footnoteReference w:id="93"/>
      </w:r>
    </w:p>
    <w:p w:rsidR="000E6F67" w:rsidRDefault="000E6F67" w:rsidP="00F119A4">
      <w:pPr>
        <w:spacing w:line="360" w:lineRule="auto"/>
        <w:jc w:val="both"/>
        <w:rPr>
          <w:rFonts w:cs="David"/>
          <w:sz w:val="28"/>
          <w:szCs w:val="28"/>
          <w:rtl/>
        </w:rPr>
      </w:pPr>
      <w:r>
        <w:rPr>
          <w:rFonts w:cs="David" w:hint="cs"/>
          <w:sz w:val="28"/>
          <w:szCs w:val="28"/>
          <w:rtl/>
        </w:rPr>
        <w:t xml:space="preserve">מסכים </w:t>
      </w:r>
      <w:r w:rsidR="0077264A">
        <w:rPr>
          <w:rFonts w:cs="David" w:hint="cs"/>
          <w:sz w:val="28"/>
          <w:szCs w:val="28"/>
          <w:rtl/>
        </w:rPr>
        <w:t>כבוד השופט</w:t>
      </w:r>
      <w:r>
        <w:rPr>
          <w:rFonts w:cs="David" w:hint="cs"/>
          <w:sz w:val="28"/>
          <w:szCs w:val="28"/>
          <w:rtl/>
        </w:rPr>
        <w:t xml:space="preserve"> מצא עם דבריו של הנשיא שמגר ב</w:t>
      </w:r>
      <w:r w:rsidRPr="00A30D73">
        <w:rPr>
          <w:rFonts w:cs="David" w:hint="cs"/>
          <w:b/>
          <w:bCs/>
          <w:sz w:val="28"/>
          <w:szCs w:val="28"/>
          <w:rtl/>
        </w:rPr>
        <w:t>ע"ב ניימן ואח' נ' יו"ר ועדת הבחירות לכנסת השתיים עשרה</w:t>
      </w:r>
      <w:r>
        <w:rPr>
          <w:rStyle w:val="a5"/>
          <w:rFonts w:cs="David"/>
          <w:sz w:val="28"/>
          <w:szCs w:val="28"/>
          <w:rtl/>
        </w:rPr>
        <w:footnoteReference w:id="94"/>
      </w:r>
      <w:r>
        <w:rPr>
          <w:rFonts w:cs="David" w:hint="cs"/>
          <w:sz w:val="28"/>
          <w:szCs w:val="28"/>
          <w:rtl/>
        </w:rPr>
        <w:t xml:space="preserve"> כי "הרדיפה לצורותיה, שטעמיה הם לאומניים, </w:t>
      </w:r>
      <w:r>
        <w:rPr>
          <w:rFonts w:cs="David" w:hint="cs"/>
          <w:sz w:val="28"/>
          <w:szCs w:val="28"/>
          <w:rtl/>
        </w:rPr>
        <w:lastRenderedPageBreak/>
        <w:t xml:space="preserve">כלולה בימינו במסגרת המשמעות המקובלת של התופעה של הגזענות". ובהמשך לכך, קובע </w:t>
      </w:r>
      <w:r w:rsidR="0077264A">
        <w:rPr>
          <w:rFonts w:cs="David" w:hint="cs"/>
          <w:sz w:val="28"/>
          <w:szCs w:val="28"/>
          <w:rtl/>
        </w:rPr>
        <w:t>כבוד השופט</w:t>
      </w:r>
      <w:r>
        <w:rPr>
          <w:rFonts w:cs="David" w:hint="cs"/>
          <w:sz w:val="28"/>
          <w:szCs w:val="28"/>
          <w:rtl/>
        </w:rPr>
        <w:t xml:space="preserve"> מצא</w:t>
      </w:r>
      <w:r w:rsidR="005B0F8A">
        <w:rPr>
          <w:rFonts w:cs="David" w:hint="cs"/>
          <w:sz w:val="28"/>
          <w:szCs w:val="28"/>
          <w:rtl/>
        </w:rPr>
        <w:t>:</w:t>
      </w:r>
    </w:p>
    <w:p w:rsidR="00B5056D" w:rsidRDefault="000E6F67" w:rsidP="00793E4A">
      <w:pPr>
        <w:spacing w:line="360" w:lineRule="auto"/>
        <w:ind w:left="720"/>
        <w:jc w:val="both"/>
        <w:rPr>
          <w:rFonts w:cs="David"/>
          <w:sz w:val="28"/>
          <w:szCs w:val="28"/>
          <w:rtl/>
        </w:rPr>
      </w:pPr>
      <w:r w:rsidRPr="004C0651">
        <w:rPr>
          <w:rFonts w:cs="David" w:hint="cs"/>
          <w:sz w:val="24"/>
          <w:szCs w:val="24"/>
          <w:rtl/>
        </w:rPr>
        <w:t xml:space="preserve">חלילה לנו מלדבוק </w:t>
      </w:r>
      <w:r w:rsidR="00D5045D" w:rsidRPr="004C0651">
        <w:rPr>
          <w:rFonts w:cs="David" w:hint="cs"/>
          <w:sz w:val="24"/>
          <w:szCs w:val="24"/>
          <w:rtl/>
        </w:rPr>
        <w:t>ב</w:t>
      </w:r>
      <w:r w:rsidRPr="004C0651">
        <w:rPr>
          <w:rFonts w:cs="David" w:hint="cs"/>
          <w:sz w:val="24"/>
          <w:szCs w:val="24"/>
          <w:rtl/>
        </w:rPr>
        <w:t xml:space="preserve">הגדרות טכניות, מדעיות או פסוודו-מדעיות בדבר מוצאיו השונים של המין האנושי. "גזענות" שוב אינה רק הדבקות בתורת הגזע הידועה לשמצה. גזענות היא </w:t>
      </w:r>
      <w:r w:rsidRPr="00D952B2">
        <w:rPr>
          <w:rFonts w:cs="David" w:hint="cs"/>
          <w:b/>
          <w:bCs/>
          <w:sz w:val="24"/>
          <w:szCs w:val="24"/>
          <w:rtl/>
        </w:rPr>
        <w:t>כל שנאת חינם של הזר בשל היותו זר, על רקע שונות גזעית או לאומית-אתנית</w:t>
      </w:r>
      <w:r w:rsidRPr="004C0651">
        <w:rPr>
          <w:rFonts w:cs="David" w:hint="cs"/>
          <w:sz w:val="24"/>
          <w:szCs w:val="24"/>
          <w:rtl/>
        </w:rPr>
        <w:t>. שנאה זו מהווה חולי חברתי שימיו כימי העולם [...] ולמושג "גזענות" יש ליתן אותה משמעות שתהלום את תכליתו של החוק.</w:t>
      </w:r>
      <w:r w:rsidRPr="004C0651">
        <w:rPr>
          <w:rStyle w:val="a5"/>
          <w:rFonts w:cs="David"/>
          <w:sz w:val="24"/>
          <w:szCs w:val="24"/>
          <w:rtl/>
        </w:rPr>
        <w:footnoteReference w:id="95"/>
      </w:r>
      <w:r w:rsidR="00D952B2" w:rsidRPr="00D952B2">
        <w:rPr>
          <w:rFonts w:cs="David" w:hint="cs"/>
          <w:sz w:val="24"/>
          <w:szCs w:val="24"/>
          <w:rtl/>
        </w:rPr>
        <w:t xml:space="preserve">(ההדגשה של הח"מ </w:t>
      </w:r>
      <w:r w:rsidR="00D952B2" w:rsidRPr="00D952B2">
        <w:rPr>
          <w:rFonts w:cs="David"/>
          <w:sz w:val="24"/>
          <w:szCs w:val="24"/>
          <w:rtl/>
        </w:rPr>
        <w:t>–</w:t>
      </w:r>
      <w:r w:rsidR="00D952B2" w:rsidRPr="00D952B2">
        <w:rPr>
          <w:rFonts w:cs="David" w:hint="cs"/>
          <w:sz w:val="24"/>
          <w:szCs w:val="24"/>
          <w:rtl/>
        </w:rPr>
        <w:t xml:space="preserve"> ר"מ)</w:t>
      </w:r>
    </w:p>
    <w:p w:rsidR="009519E4" w:rsidRDefault="00350DA6" w:rsidP="005F176A">
      <w:pPr>
        <w:spacing w:line="360" w:lineRule="auto"/>
        <w:jc w:val="both"/>
        <w:rPr>
          <w:rFonts w:cs="David"/>
          <w:sz w:val="28"/>
          <w:szCs w:val="28"/>
          <w:rtl/>
        </w:rPr>
      </w:pPr>
      <w:r>
        <w:rPr>
          <w:rFonts w:cs="David" w:hint="cs"/>
          <w:sz w:val="28"/>
          <w:szCs w:val="28"/>
          <w:rtl/>
        </w:rPr>
        <w:t xml:space="preserve">יש </w:t>
      </w:r>
      <w:r w:rsidR="004C179F">
        <w:rPr>
          <w:rFonts w:cs="David" w:hint="cs"/>
          <w:sz w:val="28"/>
          <w:szCs w:val="28"/>
          <w:rtl/>
        </w:rPr>
        <w:t xml:space="preserve">להדגיש כי </w:t>
      </w:r>
      <w:r w:rsidR="004815EB">
        <w:rPr>
          <w:rFonts w:cs="David" w:hint="cs"/>
          <w:sz w:val="28"/>
          <w:szCs w:val="28"/>
          <w:rtl/>
        </w:rPr>
        <w:t>ב</w:t>
      </w:r>
      <w:r w:rsidR="006A7A91">
        <w:rPr>
          <w:rFonts w:cs="David" w:hint="cs"/>
          <w:sz w:val="28"/>
          <w:szCs w:val="28"/>
          <w:rtl/>
        </w:rPr>
        <w:t xml:space="preserve">הצעת החוק המקורית (תיקון מספר 24) </w:t>
      </w:r>
      <w:r w:rsidR="006A7A91" w:rsidRPr="0004795D">
        <w:rPr>
          <w:rFonts w:cs="David" w:hint="cs"/>
          <w:b/>
          <w:bCs/>
          <w:sz w:val="28"/>
          <w:szCs w:val="28"/>
          <w:rtl/>
        </w:rPr>
        <w:t>לא נדרשה "כוונה" או "מטרה"</w:t>
      </w:r>
      <w:r w:rsidR="006A7A91">
        <w:rPr>
          <w:rFonts w:cs="David" w:hint="cs"/>
          <w:sz w:val="28"/>
          <w:szCs w:val="28"/>
          <w:rtl/>
        </w:rPr>
        <w:t xml:space="preserve"> להסית לגזענות כתנאי הכרחי לקיום כל יסודות העבירה וסעיף 144ב(א) שכותרתו "אסור פרסום הסתה לגזענות" נוסח באופן הבא: </w:t>
      </w:r>
    </w:p>
    <w:p w:rsidR="006A7A91" w:rsidRPr="00394A02" w:rsidRDefault="006A7A91" w:rsidP="00FD0D12">
      <w:pPr>
        <w:spacing w:line="360" w:lineRule="auto"/>
        <w:ind w:left="720"/>
        <w:jc w:val="both"/>
        <w:rPr>
          <w:rFonts w:cs="David"/>
          <w:sz w:val="24"/>
          <w:szCs w:val="24"/>
          <w:rtl/>
        </w:rPr>
      </w:pPr>
      <w:r w:rsidRPr="00394A02">
        <w:rPr>
          <w:rFonts w:cs="David" w:hint="cs"/>
          <w:sz w:val="24"/>
          <w:szCs w:val="24"/>
          <w:rtl/>
        </w:rPr>
        <w:t xml:space="preserve">המפרסם דבר הסתה לגזענות, או המפרסם מתוך כוונה להביא לגזענות, דינו </w:t>
      </w:r>
      <w:r w:rsidRPr="00394A02">
        <w:rPr>
          <w:rFonts w:cs="David"/>
          <w:sz w:val="24"/>
          <w:szCs w:val="24"/>
          <w:rtl/>
        </w:rPr>
        <w:t>–</w:t>
      </w:r>
      <w:r w:rsidRPr="00394A02">
        <w:rPr>
          <w:rFonts w:cs="David" w:hint="cs"/>
          <w:sz w:val="24"/>
          <w:szCs w:val="24"/>
          <w:rtl/>
        </w:rPr>
        <w:t xml:space="preserve"> מאסר שנתי</w:t>
      </w:r>
      <w:r w:rsidR="00536505" w:rsidRPr="00394A02">
        <w:rPr>
          <w:rFonts w:cs="David" w:hint="cs"/>
          <w:sz w:val="24"/>
          <w:szCs w:val="24"/>
          <w:rtl/>
        </w:rPr>
        <w:t>י</w:t>
      </w:r>
      <w:r w:rsidRPr="00394A02">
        <w:rPr>
          <w:rFonts w:cs="David" w:hint="cs"/>
          <w:sz w:val="24"/>
          <w:szCs w:val="24"/>
          <w:rtl/>
        </w:rPr>
        <w:t>ם.</w:t>
      </w:r>
    </w:p>
    <w:p w:rsidR="00536505" w:rsidRDefault="00536505" w:rsidP="00F119A4">
      <w:pPr>
        <w:spacing w:line="360" w:lineRule="auto"/>
        <w:jc w:val="both"/>
        <w:rPr>
          <w:rFonts w:cs="David"/>
          <w:sz w:val="28"/>
          <w:szCs w:val="28"/>
          <w:rtl/>
        </w:rPr>
      </w:pPr>
      <w:r w:rsidRPr="00EF4B4B">
        <w:rPr>
          <w:rFonts w:cs="David" w:hint="cs"/>
          <w:sz w:val="28"/>
          <w:szCs w:val="28"/>
          <w:rtl/>
        </w:rPr>
        <w:t xml:space="preserve">בבג"צ </w:t>
      </w:r>
      <w:r w:rsidRPr="00B84516">
        <w:rPr>
          <w:rFonts w:cs="David" w:hint="cs"/>
          <w:b/>
          <w:bCs/>
          <w:sz w:val="28"/>
          <w:szCs w:val="28"/>
          <w:rtl/>
        </w:rPr>
        <w:t>התנועה לחיזוק הסובלנות בחינוך הדתי ואח' נ' היועץ המשפטי לממשלה</w:t>
      </w:r>
      <w:r w:rsidRPr="00EF4B4B">
        <w:rPr>
          <w:rStyle w:val="a5"/>
          <w:rFonts w:cs="David"/>
          <w:sz w:val="28"/>
          <w:szCs w:val="28"/>
          <w:rtl/>
        </w:rPr>
        <w:footnoteReference w:id="96"/>
      </w:r>
      <w:r w:rsidRPr="00EF4B4B">
        <w:rPr>
          <w:rFonts w:cs="David" w:hint="cs"/>
          <w:b/>
          <w:bCs/>
          <w:sz w:val="28"/>
          <w:szCs w:val="28"/>
          <w:rtl/>
        </w:rPr>
        <w:t xml:space="preserve"> </w:t>
      </w:r>
      <w:r w:rsidRPr="00EF4B4B">
        <w:rPr>
          <w:rFonts w:cs="David" w:hint="cs"/>
          <w:sz w:val="28"/>
          <w:szCs w:val="28"/>
          <w:rtl/>
        </w:rPr>
        <w:t>(להלן</w:t>
      </w:r>
      <w:r w:rsidR="00A70D98">
        <w:rPr>
          <w:rFonts w:cs="David" w:hint="cs"/>
          <w:sz w:val="28"/>
          <w:szCs w:val="28"/>
          <w:rtl/>
        </w:rPr>
        <w:t>:</w:t>
      </w:r>
      <w:r w:rsidRPr="00EF4B4B">
        <w:rPr>
          <w:rFonts w:cs="David" w:hint="cs"/>
          <w:sz w:val="28"/>
          <w:szCs w:val="28"/>
          <w:rtl/>
        </w:rPr>
        <w:t xml:space="preserve"> עניין </w:t>
      </w:r>
      <w:r w:rsidRPr="00EF4B4B">
        <w:rPr>
          <w:rFonts w:cs="David" w:hint="cs"/>
          <w:b/>
          <w:bCs/>
          <w:sz w:val="28"/>
          <w:szCs w:val="28"/>
          <w:rtl/>
        </w:rPr>
        <w:t>'תורת המלך'</w:t>
      </w:r>
      <w:r w:rsidRPr="00EF4B4B">
        <w:rPr>
          <w:rFonts w:cs="David" w:hint="cs"/>
          <w:sz w:val="28"/>
          <w:szCs w:val="28"/>
          <w:rtl/>
        </w:rPr>
        <w:t>)</w:t>
      </w:r>
      <w:r>
        <w:rPr>
          <w:rFonts w:cs="David" w:hint="cs"/>
          <w:sz w:val="28"/>
          <w:szCs w:val="28"/>
          <w:rtl/>
        </w:rPr>
        <w:t xml:space="preserve"> מציין </w:t>
      </w:r>
      <w:r w:rsidR="0077264A">
        <w:rPr>
          <w:rFonts w:cs="David" w:hint="cs"/>
          <w:sz w:val="28"/>
          <w:szCs w:val="28"/>
          <w:rtl/>
        </w:rPr>
        <w:t>כבוד השופט</w:t>
      </w:r>
      <w:r w:rsidR="00977447">
        <w:rPr>
          <w:rFonts w:cs="David" w:hint="cs"/>
          <w:sz w:val="28"/>
          <w:szCs w:val="28"/>
          <w:rtl/>
        </w:rPr>
        <w:t xml:space="preserve"> ג'ובראן </w:t>
      </w:r>
      <w:r>
        <w:rPr>
          <w:rFonts w:cs="David" w:hint="cs"/>
          <w:sz w:val="28"/>
          <w:szCs w:val="28"/>
          <w:rtl/>
        </w:rPr>
        <w:t xml:space="preserve">כי ניתן לראות </w:t>
      </w:r>
      <w:r w:rsidR="00E23963">
        <w:rPr>
          <w:rFonts w:cs="David" w:hint="cs"/>
          <w:sz w:val="28"/>
          <w:szCs w:val="28"/>
          <w:rtl/>
        </w:rPr>
        <w:t>ש</w:t>
      </w:r>
      <w:r>
        <w:rPr>
          <w:rFonts w:cs="David" w:hint="cs"/>
          <w:sz w:val="28"/>
          <w:szCs w:val="28"/>
          <w:rtl/>
        </w:rPr>
        <w:t>הסעיף הציע שתי חלופות להרשעה בעבירה ורק הסיפא דרשה יסוד נפשי של "כוונה"</w:t>
      </w:r>
      <w:r w:rsidR="00B5056D">
        <w:rPr>
          <w:rFonts w:cs="David" w:hint="cs"/>
          <w:sz w:val="28"/>
          <w:szCs w:val="28"/>
          <w:rtl/>
        </w:rPr>
        <w:t>,</w:t>
      </w:r>
      <w:r>
        <w:rPr>
          <w:rFonts w:cs="David" w:hint="cs"/>
          <w:sz w:val="28"/>
          <w:szCs w:val="28"/>
          <w:rtl/>
        </w:rPr>
        <w:t xml:space="preserve"> ואילו הרישא</w:t>
      </w:r>
      <w:r w:rsidR="00B5056D">
        <w:rPr>
          <w:rFonts w:cs="David" w:hint="cs"/>
          <w:sz w:val="28"/>
          <w:szCs w:val="28"/>
          <w:rtl/>
        </w:rPr>
        <w:t xml:space="preserve"> דרשה יסוד נפשי של מודעות בלבד. לטעמו, </w:t>
      </w:r>
      <w:r w:rsidR="000E1D54">
        <w:rPr>
          <w:rFonts w:cs="David" w:hint="cs"/>
          <w:sz w:val="28"/>
          <w:szCs w:val="28"/>
          <w:rtl/>
        </w:rPr>
        <w:t xml:space="preserve">דברי ההסבר </w:t>
      </w:r>
      <w:r w:rsidR="005B0F8A">
        <w:rPr>
          <w:rFonts w:cs="David" w:hint="cs"/>
          <w:sz w:val="28"/>
          <w:szCs w:val="28"/>
          <w:rtl/>
        </w:rPr>
        <w:t xml:space="preserve">שבהצעה </w:t>
      </w:r>
      <w:r w:rsidR="000E1D54">
        <w:rPr>
          <w:rFonts w:cs="David" w:hint="cs"/>
          <w:sz w:val="28"/>
          <w:szCs w:val="28"/>
          <w:rtl/>
        </w:rPr>
        <w:t xml:space="preserve">הדגישו את היתרונות הגלומים בכך שהעבירה </w:t>
      </w:r>
      <w:r w:rsidR="000E1D54" w:rsidRPr="006C0592">
        <w:rPr>
          <w:rFonts w:cs="David" w:hint="cs"/>
          <w:b/>
          <w:bCs/>
          <w:sz w:val="28"/>
          <w:szCs w:val="28"/>
          <w:rtl/>
        </w:rPr>
        <w:t>לא תכלול</w:t>
      </w:r>
      <w:r w:rsidR="000E1D54">
        <w:rPr>
          <w:rFonts w:cs="David" w:hint="cs"/>
          <w:sz w:val="28"/>
          <w:szCs w:val="28"/>
          <w:rtl/>
        </w:rPr>
        <w:t xml:space="preserve"> רכיב של מטרה או כוונה: </w:t>
      </w:r>
      <w:r>
        <w:rPr>
          <w:rStyle w:val="a5"/>
          <w:rFonts w:cs="David"/>
          <w:sz w:val="28"/>
          <w:szCs w:val="28"/>
          <w:rtl/>
        </w:rPr>
        <w:footnoteReference w:id="97"/>
      </w:r>
    </w:p>
    <w:p w:rsidR="006A7A91" w:rsidRPr="00196662" w:rsidRDefault="000E1D54" w:rsidP="00F119A4">
      <w:pPr>
        <w:spacing w:line="360" w:lineRule="auto"/>
        <w:ind w:left="720"/>
        <w:jc w:val="both"/>
        <w:rPr>
          <w:rFonts w:cs="David"/>
          <w:sz w:val="24"/>
          <w:szCs w:val="24"/>
          <w:rtl/>
        </w:rPr>
      </w:pPr>
      <w:r w:rsidRPr="00196662">
        <w:rPr>
          <w:rFonts w:cs="David" w:hint="cs"/>
          <w:sz w:val="24"/>
          <w:szCs w:val="24"/>
          <w:rtl/>
        </w:rPr>
        <w:t>החוק המוצע יתרום גם ליעילות התגובה לגילויים של הסתה לגזענות, משום שלא יהיה עוד צורך להוכיח את כוונת המפרסם כאשר ההסתה מדברת בעד עצמה</w:t>
      </w:r>
      <w:r w:rsidR="00536505" w:rsidRPr="00196662">
        <w:rPr>
          <w:rFonts w:cs="David" w:hint="cs"/>
          <w:sz w:val="24"/>
          <w:szCs w:val="24"/>
          <w:rtl/>
        </w:rPr>
        <w:t>.</w:t>
      </w:r>
    </w:p>
    <w:p w:rsidR="004C0651" w:rsidRDefault="00536505" w:rsidP="00493DE0">
      <w:pPr>
        <w:spacing w:line="360" w:lineRule="auto"/>
        <w:jc w:val="both"/>
        <w:rPr>
          <w:rFonts w:cs="David"/>
          <w:sz w:val="28"/>
          <w:szCs w:val="28"/>
          <w:rtl/>
        </w:rPr>
      </w:pPr>
      <w:r>
        <w:rPr>
          <w:rFonts w:cs="David" w:hint="cs"/>
          <w:sz w:val="28"/>
          <w:szCs w:val="28"/>
          <w:rtl/>
        </w:rPr>
        <w:t>הבדל נוסף</w:t>
      </w:r>
      <w:r w:rsidR="004B5562">
        <w:rPr>
          <w:rFonts w:cs="David" w:hint="cs"/>
          <w:sz w:val="28"/>
          <w:szCs w:val="28"/>
          <w:rtl/>
        </w:rPr>
        <w:t>,</w:t>
      </w:r>
      <w:r>
        <w:rPr>
          <w:rFonts w:cs="David" w:hint="cs"/>
          <w:sz w:val="28"/>
          <w:szCs w:val="28"/>
          <w:rtl/>
        </w:rPr>
        <w:t xml:space="preserve"> בין הצעת החוק המקורית לנוסחו הסופי</w:t>
      </w:r>
      <w:r w:rsidR="001840C3">
        <w:rPr>
          <w:rFonts w:cs="David" w:hint="cs"/>
          <w:sz w:val="28"/>
          <w:szCs w:val="28"/>
          <w:rtl/>
        </w:rPr>
        <w:t>, כפי שה</w:t>
      </w:r>
      <w:r w:rsidR="009519E4">
        <w:rPr>
          <w:rFonts w:cs="David" w:hint="cs"/>
          <w:sz w:val="28"/>
          <w:szCs w:val="28"/>
          <w:rtl/>
        </w:rPr>
        <w:t xml:space="preserve">צביע עליו </w:t>
      </w:r>
      <w:r w:rsidR="0077264A">
        <w:rPr>
          <w:rFonts w:cs="David" w:hint="cs"/>
          <w:sz w:val="28"/>
          <w:szCs w:val="28"/>
          <w:rtl/>
        </w:rPr>
        <w:t>כבוד השופט</w:t>
      </w:r>
      <w:r w:rsidR="009519E4">
        <w:rPr>
          <w:rFonts w:cs="David" w:hint="cs"/>
          <w:sz w:val="28"/>
          <w:szCs w:val="28"/>
          <w:rtl/>
        </w:rPr>
        <w:t xml:space="preserve"> ג'ובראן, </w:t>
      </w:r>
      <w:r>
        <w:rPr>
          <w:rFonts w:cs="David" w:hint="cs"/>
          <w:sz w:val="28"/>
          <w:szCs w:val="28"/>
          <w:rtl/>
        </w:rPr>
        <w:t xml:space="preserve">הוא שבהצעה המקורית לא הייתה </w:t>
      </w:r>
      <w:r w:rsidR="009519E4">
        <w:rPr>
          <w:rFonts w:cs="David" w:hint="cs"/>
          <w:sz w:val="28"/>
          <w:szCs w:val="28"/>
          <w:rtl/>
        </w:rPr>
        <w:t xml:space="preserve">כל הגנה הנוגעת לפרסום בהקשר דתי, אלא </w:t>
      </w:r>
      <w:r>
        <w:rPr>
          <w:rFonts w:cs="David" w:hint="cs"/>
          <w:sz w:val="28"/>
          <w:szCs w:val="28"/>
          <w:rtl/>
        </w:rPr>
        <w:t>רק הגנה לגבי פרסום דין וחשבון הוגן.</w:t>
      </w:r>
      <w:r w:rsidR="009519E4">
        <w:rPr>
          <w:rStyle w:val="a5"/>
          <w:rFonts w:cs="David"/>
          <w:sz w:val="28"/>
          <w:szCs w:val="28"/>
          <w:rtl/>
        </w:rPr>
        <w:footnoteReference w:id="98"/>
      </w:r>
      <w:r w:rsidR="00327410">
        <w:rPr>
          <w:rFonts w:cs="David" w:hint="cs"/>
          <w:sz w:val="28"/>
          <w:szCs w:val="28"/>
          <w:rtl/>
        </w:rPr>
        <w:t xml:space="preserve"> </w:t>
      </w:r>
      <w:r w:rsidR="009519E4">
        <w:rPr>
          <w:rFonts w:cs="David" w:hint="cs"/>
          <w:sz w:val="28"/>
          <w:szCs w:val="28"/>
          <w:rtl/>
        </w:rPr>
        <w:t xml:space="preserve">לדבריו, </w:t>
      </w:r>
      <w:r w:rsidR="00C2554A">
        <w:rPr>
          <w:rFonts w:cs="David" w:hint="cs"/>
          <w:sz w:val="28"/>
          <w:szCs w:val="28"/>
          <w:rtl/>
        </w:rPr>
        <w:t xml:space="preserve">ביום שבו הייתה </w:t>
      </w:r>
      <w:r w:rsidR="00C737C3">
        <w:rPr>
          <w:rFonts w:cs="David" w:hint="cs"/>
          <w:sz w:val="28"/>
          <w:szCs w:val="28"/>
          <w:rtl/>
        </w:rPr>
        <w:t xml:space="preserve">אמורה </w:t>
      </w:r>
      <w:r w:rsidR="00C2554A">
        <w:rPr>
          <w:rFonts w:cs="David" w:hint="cs"/>
          <w:sz w:val="28"/>
          <w:szCs w:val="28"/>
          <w:rtl/>
        </w:rPr>
        <w:t>הכנסת לאשר את הצעת החוק (תיקון מספר 24) בקריאה שנייה ושלישית הודיע יו"ר ועדת חוק, חוקה ומשפט כי ההצבעה ת</w:t>
      </w:r>
      <w:r w:rsidR="000A55D0">
        <w:rPr>
          <w:rFonts w:cs="David" w:hint="cs"/>
          <w:sz w:val="28"/>
          <w:szCs w:val="28"/>
          <w:rtl/>
        </w:rPr>
        <w:t>י</w:t>
      </w:r>
      <w:r w:rsidR="00C2554A">
        <w:rPr>
          <w:rFonts w:cs="David" w:hint="cs"/>
          <w:sz w:val="28"/>
          <w:szCs w:val="28"/>
          <w:rtl/>
        </w:rPr>
        <w:t>דחה עקב שינויים שביקשה הממשלה להכניס</w:t>
      </w:r>
      <w:r w:rsidR="000A55D0">
        <w:rPr>
          <w:rFonts w:cs="David" w:hint="cs"/>
          <w:sz w:val="28"/>
          <w:szCs w:val="28"/>
          <w:rtl/>
        </w:rPr>
        <w:t xml:space="preserve"> בו</w:t>
      </w:r>
      <w:r w:rsidR="00C2554A">
        <w:rPr>
          <w:rFonts w:cs="David" w:hint="cs"/>
          <w:sz w:val="28"/>
          <w:szCs w:val="28"/>
          <w:rtl/>
        </w:rPr>
        <w:t xml:space="preserve">. </w:t>
      </w:r>
      <w:r w:rsidR="0077264A">
        <w:rPr>
          <w:rFonts w:cs="David" w:hint="cs"/>
          <w:sz w:val="28"/>
          <w:szCs w:val="28"/>
          <w:rtl/>
        </w:rPr>
        <w:t>כבוד השופט</w:t>
      </w:r>
      <w:r w:rsidR="00C2554A">
        <w:rPr>
          <w:rFonts w:cs="David" w:hint="cs"/>
          <w:sz w:val="28"/>
          <w:szCs w:val="28"/>
          <w:rtl/>
        </w:rPr>
        <w:t xml:space="preserve"> מתאר את החשש שפשט בקרב הממשלה שמא ציטוט דברי דת </w:t>
      </w:r>
      <w:r w:rsidR="007D01DC">
        <w:rPr>
          <w:rFonts w:cs="David" w:hint="cs"/>
          <w:sz w:val="28"/>
          <w:szCs w:val="28"/>
          <w:rtl/>
        </w:rPr>
        <w:t>מהמקורות ה</w:t>
      </w:r>
      <w:r w:rsidR="00C2554A">
        <w:rPr>
          <w:rFonts w:cs="David" w:hint="cs"/>
          <w:sz w:val="28"/>
          <w:szCs w:val="28"/>
          <w:rtl/>
        </w:rPr>
        <w:t>יהודיים, שעלולים להיחשב גזעניים, ייכנסו למסגרת החוק</w:t>
      </w:r>
      <w:r w:rsidR="007D01DC">
        <w:rPr>
          <w:rFonts w:cs="David" w:hint="cs"/>
          <w:sz w:val="28"/>
          <w:szCs w:val="28"/>
          <w:rtl/>
        </w:rPr>
        <w:t>.</w:t>
      </w:r>
      <w:r w:rsidR="007D01DC">
        <w:rPr>
          <w:rFonts w:cs="David" w:hint="cs"/>
          <w:b/>
          <w:bCs/>
          <w:sz w:val="28"/>
          <w:szCs w:val="28"/>
          <w:rtl/>
        </w:rPr>
        <w:t xml:space="preserve"> </w:t>
      </w:r>
      <w:r w:rsidR="00C2554A" w:rsidRPr="005F176A">
        <w:rPr>
          <w:rFonts w:cs="David" w:hint="cs"/>
          <w:b/>
          <w:bCs/>
          <w:sz w:val="28"/>
          <w:szCs w:val="28"/>
          <w:rtl/>
        </w:rPr>
        <w:t xml:space="preserve">לכן, </w:t>
      </w:r>
      <w:r w:rsidR="007D01DC">
        <w:rPr>
          <w:rFonts w:cs="David" w:hint="cs"/>
          <w:b/>
          <w:bCs/>
          <w:sz w:val="28"/>
          <w:szCs w:val="28"/>
          <w:rtl/>
        </w:rPr>
        <w:t xml:space="preserve">וכדי להפיג חשש זה </w:t>
      </w:r>
      <w:r w:rsidR="00C2554A" w:rsidRPr="005F176A">
        <w:rPr>
          <w:rFonts w:cs="David" w:hint="cs"/>
          <w:b/>
          <w:bCs/>
          <w:sz w:val="28"/>
          <w:szCs w:val="28"/>
          <w:rtl/>
        </w:rPr>
        <w:t>הוסיפה הממשלה את דרישת המטרה</w:t>
      </w:r>
      <w:r w:rsidR="00C2554A">
        <w:rPr>
          <w:rFonts w:cs="David" w:hint="cs"/>
          <w:sz w:val="28"/>
          <w:szCs w:val="28"/>
          <w:rtl/>
        </w:rPr>
        <w:t>, אשר תבטיח</w:t>
      </w:r>
      <w:r w:rsidR="00493DE0">
        <w:rPr>
          <w:rFonts w:cs="David" w:hint="cs"/>
          <w:sz w:val="28"/>
          <w:szCs w:val="28"/>
          <w:rtl/>
        </w:rPr>
        <w:t xml:space="preserve"> אי-הפללה במקרים שכאלו. לפיכך, </w:t>
      </w:r>
      <w:r w:rsidR="00C2554A">
        <w:rPr>
          <w:rFonts w:cs="David" w:hint="cs"/>
          <w:sz w:val="28"/>
          <w:szCs w:val="28"/>
          <w:rtl/>
        </w:rPr>
        <w:t>ס</w:t>
      </w:r>
      <w:r w:rsidR="00493DE0">
        <w:rPr>
          <w:rFonts w:cs="David" w:hint="cs"/>
          <w:sz w:val="28"/>
          <w:szCs w:val="28"/>
          <w:rtl/>
        </w:rPr>
        <w:t>י</w:t>
      </w:r>
      <w:r w:rsidR="00C2554A">
        <w:rPr>
          <w:rFonts w:cs="David" w:hint="cs"/>
          <w:sz w:val="28"/>
          <w:szCs w:val="28"/>
          <w:rtl/>
        </w:rPr>
        <w:t xml:space="preserve">כם </w:t>
      </w:r>
      <w:r w:rsidR="0077264A">
        <w:rPr>
          <w:rFonts w:cs="David" w:hint="cs"/>
          <w:sz w:val="28"/>
          <w:szCs w:val="28"/>
          <w:rtl/>
        </w:rPr>
        <w:t>כבוד השופט</w:t>
      </w:r>
      <w:r w:rsidR="00493DE0">
        <w:rPr>
          <w:rFonts w:cs="David" w:hint="cs"/>
          <w:sz w:val="28"/>
          <w:szCs w:val="28"/>
          <w:rtl/>
        </w:rPr>
        <w:t>:</w:t>
      </w:r>
      <w:r w:rsidR="00C2554A">
        <w:rPr>
          <w:rFonts w:cs="David" w:hint="cs"/>
          <w:sz w:val="28"/>
          <w:szCs w:val="28"/>
          <w:rtl/>
        </w:rPr>
        <w:t xml:space="preserve"> התכלית המקורית בהוספת רכיב </w:t>
      </w:r>
      <w:r w:rsidR="00C2554A">
        <w:rPr>
          <w:rFonts w:cs="David" w:hint="cs"/>
          <w:sz w:val="28"/>
          <w:szCs w:val="28"/>
          <w:rtl/>
        </w:rPr>
        <w:lastRenderedPageBreak/>
        <w:t>המטרה נועדה להגן על "אדם שמתפלל בתום לב", כלומר, להגן על חופש הדת ולא על חופש הביטוי.</w:t>
      </w:r>
      <w:r w:rsidR="00370688">
        <w:rPr>
          <w:rStyle w:val="a5"/>
          <w:rFonts w:cs="David"/>
          <w:sz w:val="28"/>
          <w:szCs w:val="28"/>
          <w:rtl/>
        </w:rPr>
        <w:footnoteReference w:id="99"/>
      </w:r>
    </w:p>
    <w:p w:rsidR="00414337" w:rsidRDefault="00E23963" w:rsidP="008A429E">
      <w:pPr>
        <w:spacing w:line="360" w:lineRule="auto"/>
        <w:jc w:val="both"/>
        <w:rPr>
          <w:rFonts w:cs="David"/>
          <w:sz w:val="28"/>
          <w:szCs w:val="28"/>
          <w:rtl/>
        </w:rPr>
      </w:pPr>
      <w:r>
        <w:rPr>
          <w:rFonts w:cs="David" w:hint="cs"/>
          <w:sz w:val="28"/>
          <w:szCs w:val="28"/>
          <w:rtl/>
        </w:rPr>
        <w:t xml:space="preserve">בסיכומו של דבר, </w:t>
      </w:r>
      <w:r w:rsidR="00414337">
        <w:rPr>
          <w:rFonts w:cs="David" w:hint="cs"/>
          <w:sz w:val="28"/>
          <w:szCs w:val="28"/>
          <w:rtl/>
        </w:rPr>
        <w:t xml:space="preserve">עוד באותה השנה תוקן חוק יסוד: הכנסת וגם חוק הבחירות לכנסת [נוסח משולב] </w:t>
      </w:r>
      <w:r w:rsidR="00414337" w:rsidRPr="00E23963">
        <w:rPr>
          <w:rFonts w:cs="David" w:hint="cs"/>
          <w:b/>
          <w:bCs/>
          <w:sz w:val="28"/>
          <w:szCs w:val="28"/>
          <w:rtl/>
        </w:rPr>
        <w:t>ובשנת תשמ"ו-1986</w:t>
      </w:r>
      <w:r w:rsidR="00414337">
        <w:rPr>
          <w:rFonts w:cs="David" w:hint="cs"/>
          <w:sz w:val="28"/>
          <w:szCs w:val="28"/>
          <w:rtl/>
        </w:rPr>
        <w:t xml:space="preserve"> הושלם מהלך חקיקתי בתחום דיני העונשין ונחקק תיקון </w:t>
      </w:r>
      <w:r w:rsidR="004A3F41">
        <w:rPr>
          <w:rFonts w:cs="David" w:hint="cs"/>
          <w:sz w:val="28"/>
          <w:szCs w:val="28"/>
          <w:rtl/>
        </w:rPr>
        <w:t xml:space="preserve">בחוק העונשין </w:t>
      </w:r>
      <w:r w:rsidR="004A3F41" w:rsidRPr="006D09D8">
        <w:rPr>
          <w:rFonts w:cs="David" w:hint="cs"/>
          <w:sz w:val="28"/>
          <w:szCs w:val="28"/>
          <w:rtl/>
        </w:rPr>
        <w:t xml:space="preserve">(תיקון </w:t>
      </w:r>
      <w:r w:rsidR="00414337" w:rsidRPr="006D09D8">
        <w:rPr>
          <w:rFonts w:cs="David" w:hint="cs"/>
          <w:sz w:val="28"/>
          <w:szCs w:val="28"/>
          <w:rtl/>
        </w:rPr>
        <w:t>מספר 20</w:t>
      </w:r>
      <w:r w:rsidR="004A3F41" w:rsidRPr="006D09D8">
        <w:rPr>
          <w:rFonts w:cs="David" w:hint="cs"/>
          <w:sz w:val="28"/>
          <w:szCs w:val="28"/>
          <w:rtl/>
        </w:rPr>
        <w:t>)</w:t>
      </w:r>
      <w:r w:rsidR="00414337" w:rsidRPr="006D09D8">
        <w:rPr>
          <w:rFonts w:cs="David" w:hint="cs"/>
          <w:sz w:val="28"/>
          <w:szCs w:val="28"/>
          <w:rtl/>
        </w:rPr>
        <w:t>,</w:t>
      </w:r>
      <w:r w:rsidR="00414337">
        <w:rPr>
          <w:rFonts w:cs="David" w:hint="cs"/>
          <w:sz w:val="28"/>
          <w:szCs w:val="28"/>
          <w:rtl/>
        </w:rPr>
        <w:t xml:space="preserve"> </w:t>
      </w:r>
      <w:r w:rsidR="00D2194F">
        <w:rPr>
          <w:rFonts w:cs="David" w:hint="cs"/>
          <w:sz w:val="28"/>
          <w:szCs w:val="28"/>
          <w:rtl/>
        </w:rPr>
        <w:t xml:space="preserve">ולפרק ח' לחוק נוסף </w:t>
      </w:r>
      <w:r w:rsidR="00D2194F" w:rsidRPr="008D47C7">
        <w:rPr>
          <w:rFonts w:cs="David" w:hint="cs"/>
          <w:b/>
          <w:bCs/>
          <w:sz w:val="28"/>
          <w:szCs w:val="28"/>
          <w:rtl/>
        </w:rPr>
        <w:t>סימן א1</w:t>
      </w:r>
      <w:r w:rsidR="00D2194F">
        <w:rPr>
          <w:rFonts w:cs="David" w:hint="cs"/>
          <w:sz w:val="28"/>
          <w:szCs w:val="28"/>
          <w:rtl/>
        </w:rPr>
        <w:t>, שנשא את הכותרת "הסתה לגזענות"</w:t>
      </w:r>
      <w:r w:rsidR="009F2F23">
        <w:rPr>
          <w:rFonts w:cs="David" w:hint="cs"/>
          <w:sz w:val="28"/>
          <w:szCs w:val="28"/>
          <w:rtl/>
        </w:rPr>
        <w:t xml:space="preserve"> ומנה חמישה סעיפים (144א-144ה) </w:t>
      </w:r>
      <w:r w:rsidR="00414337">
        <w:rPr>
          <w:rFonts w:cs="David" w:hint="cs"/>
          <w:sz w:val="28"/>
          <w:szCs w:val="28"/>
          <w:rtl/>
        </w:rPr>
        <w:t>נוספו שתי העבירות החדשות: איסור פרסום</w:t>
      </w:r>
      <w:r w:rsidR="004A3F41">
        <w:rPr>
          <w:rFonts w:cs="David" w:hint="cs"/>
          <w:sz w:val="28"/>
          <w:szCs w:val="28"/>
          <w:rtl/>
        </w:rPr>
        <w:t xml:space="preserve"> הסתה לגזענות</w:t>
      </w:r>
      <w:r w:rsidR="00C668CB">
        <w:rPr>
          <w:rFonts w:cs="David" w:hint="cs"/>
          <w:sz w:val="28"/>
          <w:szCs w:val="28"/>
          <w:rtl/>
        </w:rPr>
        <w:t xml:space="preserve"> </w:t>
      </w:r>
      <w:r w:rsidR="004A3F41">
        <w:rPr>
          <w:rFonts w:cs="David" w:hint="cs"/>
          <w:sz w:val="28"/>
          <w:szCs w:val="28"/>
          <w:rtl/>
        </w:rPr>
        <w:t xml:space="preserve">ואיסור החזקה של פרסום </w:t>
      </w:r>
      <w:r w:rsidR="00414337">
        <w:rPr>
          <w:rFonts w:cs="David" w:hint="cs"/>
          <w:sz w:val="28"/>
          <w:szCs w:val="28"/>
          <w:rtl/>
        </w:rPr>
        <w:t>גזעני, שנועד לאפשר אכיפה עונשית של איסור ההסתה לגזענות.</w:t>
      </w:r>
      <w:r w:rsidR="008A429E">
        <w:rPr>
          <w:rFonts w:cs="David" w:hint="cs"/>
          <w:sz w:val="28"/>
          <w:szCs w:val="28"/>
          <w:rtl/>
        </w:rPr>
        <w:t xml:space="preserve"> </w:t>
      </w:r>
      <w:r w:rsidR="00414337">
        <w:rPr>
          <w:rFonts w:cs="David" w:hint="cs"/>
          <w:sz w:val="28"/>
          <w:szCs w:val="28"/>
          <w:rtl/>
        </w:rPr>
        <w:t>מהלכים אלו לא היו דבר של מה בכך, בעיקר בשל הפגיעה בזכויות יסוד הנגזרות מחופש הביטוי</w:t>
      </w:r>
      <w:r w:rsidR="00D2194F">
        <w:rPr>
          <w:rFonts w:cs="David" w:hint="cs"/>
          <w:sz w:val="28"/>
          <w:szCs w:val="28"/>
          <w:rtl/>
        </w:rPr>
        <w:t xml:space="preserve"> </w:t>
      </w:r>
      <w:r w:rsidR="00AA3962">
        <w:rPr>
          <w:rFonts w:cs="David" w:hint="cs"/>
          <w:sz w:val="28"/>
          <w:szCs w:val="28"/>
          <w:rtl/>
        </w:rPr>
        <w:t>(</w:t>
      </w:r>
      <w:r w:rsidR="00D2194F">
        <w:rPr>
          <w:rFonts w:cs="David" w:hint="cs"/>
          <w:sz w:val="28"/>
          <w:szCs w:val="28"/>
          <w:rtl/>
        </w:rPr>
        <w:t xml:space="preserve">על כך </w:t>
      </w:r>
      <w:r w:rsidR="00414337">
        <w:rPr>
          <w:rFonts w:cs="David" w:hint="cs"/>
          <w:sz w:val="28"/>
          <w:szCs w:val="28"/>
          <w:rtl/>
        </w:rPr>
        <w:t>תדון העבודה באופן נרחב בהמשך</w:t>
      </w:r>
      <w:r w:rsidR="00AA3962">
        <w:rPr>
          <w:rFonts w:cs="David" w:hint="cs"/>
          <w:sz w:val="28"/>
          <w:szCs w:val="28"/>
          <w:rtl/>
        </w:rPr>
        <w:t>)</w:t>
      </w:r>
      <w:r w:rsidR="00414337">
        <w:rPr>
          <w:rFonts w:cs="David" w:hint="cs"/>
          <w:sz w:val="28"/>
          <w:szCs w:val="28"/>
          <w:rtl/>
        </w:rPr>
        <w:t>.</w:t>
      </w:r>
    </w:p>
    <w:p w:rsidR="006624E4" w:rsidRDefault="00D2194F" w:rsidP="00F119A4">
      <w:pPr>
        <w:spacing w:line="360" w:lineRule="auto"/>
        <w:jc w:val="both"/>
        <w:rPr>
          <w:rFonts w:cs="David"/>
          <w:color w:val="FF0000"/>
          <w:sz w:val="28"/>
          <w:szCs w:val="28"/>
          <w:rtl/>
        </w:rPr>
      </w:pPr>
      <w:r w:rsidRPr="004F7A68">
        <w:rPr>
          <w:rFonts w:cs="David" w:hint="cs"/>
          <w:b/>
          <w:bCs/>
          <w:sz w:val="28"/>
          <w:szCs w:val="28"/>
          <w:rtl/>
        </w:rPr>
        <w:t>בשנת תשנ"ד-1994</w:t>
      </w:r>
      <w:r>
        <w:rPr>
          <w:rFonts w:cs="David" w:hint="cs"/>
          <w:sz w:val="28"/>
          <w:szCs w:val="28"/>
          <w:rtl/>
        </w:rPr>
        <w:t>, משנוכח המחוקק כי מלאכתו לוקה בחסר</w:t>
      </w:r>
      <w:r w:rsidR="00B97631">
        <w:rPr>
          <w:rFonts w:cs="David" w:hint="cs"/>
          <w:sz w:val="28"/>
          <w:szCs w:val="28"/>
          <w:rtl/>
        </w:rPr>
        <w:t>,</w:t>
      </w:r>
      <w:r>
        <w:rPr>
          <w:rFonts w:cs="David" w:hint="cs"/>
          <w:sz w:val="28"/>
          <w:szCs w:val="28"/>
          <w:rtl/>
        </w:rPr>
        <w:t xml:space="preserve"> תוקן סימן א1 בחוק העונשין </w:t>
      </w:r>
      <w:r w:rsidRPr="00AD0E1B">
        <w:rPr>
          <w:rFonts w:cs="David" w:hint="cs"/>
          <w:b/>
          <w:bCs/>
          <w:sz w:val="28"/>
          <w:szCs w:val="28"/>
          <w:rtl/>
        </w:rPr>
        <w:t>(תיקון מספר 40)</w:t>
      </w:r>
      <w:r w:rsidR="006624E4">
        <w:rPr>
          <w:rFonts w:cs="David" w:hint="cs"/>
          <w:sz w:val="28"/>
          <w:szCs w:val="28"/>
          <w:rtl/>
        </w:rPr>
        <w:t xml:space="preserve"> והוסף לחוק סעיף 144</w:t>
      </w:r>
      <w:r>
        <w:rPr>
          <w:rFonts w:cs="David" w:hint="cs"/>
          <w:sz w:val="28"/>
          <w:szCs w:val="28"/>
          <w:rtl/>
        </w:rPr>
        <w:t>ד1, אשר הג</w:t>
      </w:r>
      <w:r w:rsidR="00014ECD">
        <w:rPr>
          <w:rFonts w:cs="David" w:hint="cs"/>
          <w:sz w:val="28"/>
          <w:szCs w:val="28"/>
          <w:rtl/>
        </w:rPr>
        <w:t xml:space="preserve">דיר עבירה שלישית: "מעשה גזענות", שקבע עונש חמור יותר למי שעבר איזו משורת העבירות הקיימות ואשר עשה זאת "מתוך מניע של גזענות". כמו כן, </w:t>
      </w:r>
      <w:r>
        <w:rPr>
          <w:rFonts w:cs="David" w:hint="cs"/>
          <w:sz w:val="28"/>
          <w:szCs w:val="28"/>
          <w:rtl/>
        </w:rPr>
        <w:t>הוחלפה כותרת הסימן מ"הסתה לגזענות" ל"גזענות" וגם הוכנס תיקון לא מהותי בסעיף 144ה לחוק.</w:t>
      </w:r>
    </w:p>
    <w:p w:rsidR="00793E4A" w:rsidRPr="00D24489" w:rsidRDefault="006624E4" w:rsidP="004C2FD8">
      <w:pPr>
        <w:spacing w:line="360" w:lineRule="auto"/>
        <w:jc w:val="both"/>
        <w:rPr>
          <w:rFonts w:cs="David"/>
          <w:sz w:val="28"/>
          <w:szCs w:val="28"/>
          <w:rtl/>
        </w:rPr>
      </w:pPr>
      <w:r w:rsidRPr="00D24489">
        <w:rPr>
          <w:rFonts w:cs="David" w:hint="cs"/>
          <w:b/>
          <w:bCs/>
          <w:sz w:val="28"/>
          <w:szCs w:val="28"/>
          <w:rtl/>
        </w:rPr>
        <w:t>בשנת תשס"ה-2004</w:t>
      </w:r>
      <w:r w:rsidRPr="00D24489">
        <w:rPr>
          <w:rFonts w:cs="David" w:hint="cs"/>
          <w:sz w:val="28"/>
          <w:szCs w:val="28"/>
          <w:rtl/>
        </w:rPr>
        <w:t xml:space="preserve"> בוטל סעיף 144ד1 ותחתיו חוקק סעיף 144ו, שכותרתו "עבירות ממניע גזענות או עוינות כלפי ציבור </w:t>
      </w:r>
      <w:r w:rsidRPr="00D24489">
        <w:rPr>
          <w:rFonts w:cs="David"/>
          <w:sz w:val="28"/>
          <w:szCs w:val="28"/>
          <w:rtl/>
        </w:rPr>
        <w:t>–</w:t>
      </w:r>
      <w:r w:rsidRPr="00D24489">
        <w:rPr>
          <w:rFonts w:cs="David" w:hint="cs"/>
          <w:sz w:val="28"/>
          <w:szCs w:val="28"/>
          <w:rtl/>
        </w:rPr>
        <w:t xml:space="preserve"> נסיבה מחמירה" (תיקון מספר 82), אשר הותיר את הרציונאל של עונש חמור יותר כתוצאה ממ</w:t>
      </w:r>
      <w:r w:rsidR="00D24489" w:rsidRPr="00D24489">
        <w:rPr>
          <w:rFonts w:cs="David" w:hint="cs"/>
          <w:sz w:val="28"/>
          <w:szCs w:val="28"/>
          <w:rtl/>
        </w:rPr>
        <w:t>נ</w:t>
      </w:r>
      <w:r w:rsidRPr="00D24489">
        <w:rPr>
          <w:rFonts w:cs="David" w:hint="cs"/>
          <w:sz w:val="28"/>
          <w:szCs w:val="28"/>
          <w:rtl/>
        </w:rPr>
        <w:t>יע של גזענות, אך איחד זאת עם עבירות נוספות של עוינות כלפי ציבור.</w:t>
      </w:r>
    </w:p>
    <w:p w:rsidR="006D09D8" w:rsidRPr="006444BB" w:rsidRDefault="006D09D8" w:rsidP="00D74444">
      <w:pPr>
        <w:spacing w:line="360" w:lineRule="auto"/>
        <w:jc w:val="both"/>
        <w:rPr>
          <w:rFonts w:cs="David"/>
          <w:sz w:val="28"/>
          <w:szCs w:val="28"/>
          <w:rtl/>
        </w:rPr>
      </w:pPr>
      <w:r w:rsidRPr="006444BB">
        <w:rPr>
          <w:rFonts w:cs="David" w:hint="cs"/>
          <w:b/>
          <w:bCs/>
          <w:sz w:val="28"/>
          <w:szCs w:val="28"/>
          <w:rtl/>
        </w:rPr>
        <w:t>נכון להיום (201</w:t>
      </w:r>
      <w:r w:rsidR="00D74444">
        <w:rPr>
          <w:rFonts w:cs="David" w:hint="cs"/>
          <w:b/>
          <w:bCs/>
          <w:sz w:val="28"/>
          <w:szCs w:val="28"/>
          <w:rtl/>
        </w:rPr>
        <w:t>7</w:t>
      </w:r>
      <w:r w:rsidRPr="006444BB">
        <w:rPr>
          <w:rFonts w:cs="David" w:hint="cs"/>
          <w:b/>
          <w:bCs/>
          <w:sz w:val="28"/>
          <w:szCs w:val="28"/>
          <w:rtl/>
        </w:rPr>
        <w:t>)</w:t>
      </w:r>
      <w:r w:rsidRPr="006444BB">
        <w:rPr>
          <w:rFonts w:cs="David" w:hint="cs"/>
          <w:sz w:val="28"/>
          <w:szCs w:val="28"/>
          <w:rtl/>
        </w:rPr>
        <w:t>, סעיפי עבירת ההסתה לגזענות הינם:</w:t>
      </w:r>
      <w:r w:rsidR="00624DE6">
        <w:rPr>
          <w:rStyle w:val="a5"/>
          <w:rFonts w:cs="David"/>
          <w:sz w:val="28"/>
          <w:szCs w:val="28"/>
          <w:rtl/>
        </w:rPr>
        <w:footnoteReference w:id="100"/>
      </w:r>
    </w:p>
    <w:p w:rsidR="006D09D8" w:rsidRPr="006444BB" w:rsidRDefault="006D09D8" w:rsidP="00F119A4">
      <w:pPr>
        <w:spacing w:line="360" w:lineRule="auto"/>
        <w:jc w:val="both"/>
        <w:rPr>
          <w:rFonts w:cs="David"/>
          <w:sz w:val="28"/>
          <w:szCs w:val="28"/>
          <w:rtl/>
        </w:rPr>
      </w:pPr>
      <w:r w:rsidRPr="006444BB">
        <w:rPr>
          <w:rFonts w:cs="David" w:hint="cs"/>
          <w:sz w:val="28"/>
          <w:szCs w:val="28"/>
          <w:rtl/>
        </w:rPr>
        <w:t xml:space="preserve">סעיף </w:t>
      </w:r>
      <w:r w:rsidR="006444BB" w:rsidRPr="006444BB">
        <w:rPr>
          <w:rFonts w:cs="David" w:hint="cs"/>
          <w:sz w:val="28"/>
          <w:szCs w:val="28"/>
          <w:rtl/>
        </w:rPr>
        <w:t>144</w:t>
      </w:r>
      <w:r w:rsidRPr="006444BB">
        <w:rPr>
          <w:rFonts w:cs="David" w:hint="cs"/>
          <w:sz w:val="28"/>
          <w:szCs w:val="28"/>
          <w:rtl/>
        </w:rPr>
        <w:t xml:space="preserve">א </w:t>
      </w:r>
      <w:r w:rsidR="00624DE6">
        <w:rPr>
          <w:rFonts w:cs="David" w:hint="cs"/>
          <w:sz w:val="28"/>
          <w:szCs w:val="28"/>
          <w:rtl/>
        </w:rPr>
        <w:t>-</w:t>
      </w:r>
      <w:r w:rsidRPr="006444BB">
        <w:rPr>
          <w:rFonts w:cs="David" w:hint="cs"/>
          <w:sz w:val="28"/>
          <w:szCs w:val="28"/>
          <w:rtl/>
        </w:rPr>
        <w:t xml:space="preserve"> </w:t>
      </w:r>
      <w:r w:rsidR="006444BB" w:rsidRPr="006444BB">
        <w:rPr>
          <w:rFonts w:cs="David" w:hint="cs"/>
          <w:sz w:val="28"/>
          <w:szCs w:val="28"/>
          <w:rtl/>
        </w:rPr>
        <w:t xml:space="preserve">בסימן זה - </w:t>
      </w:r>
    </w:p>
    <w:p w:rsidR="006D09D8" w:rsidRPr="00493CA2" w:rsidRDefault="006D09D8" w:rsidP="00F119A4">
      <w:pPr>
        <w:spacing w:line="360" w:lineRule="auto"/>
        <w:ind w:left="720"/>
        <w:jc w:val="both"/>
        <w:rPr>
          <w:rFonts w:cs="David"/>
          <w:sz w:val="24"/>
          <w:szCs w:val="24"/>
          <w:rtl/>
        </w:rPr>
      </w:pPr>
      <w:r w:rsidRPr="00493CA2">
        <w:rPr>
          <w:rFonts w:cs="David" w:hint="cs"/>
          <w:sz w:val="24"/>
          <w:szCs w:val="24"/>
          <w:rtl/>
        </w:rPr>
        <w:t xml:space="preserve">"גזענות" </w:t>
      </w:r>
      <w:r w:rsidRPr="00493CA2">
        <w:rPr>
          <w:rFonts w:cs="David"/>
          <w:sz w:val="24"/>
          <w:szCs w:val="24"/>
          <w:rtl/>
        </w:rPr>
        <w:t>–</w:t>
      </w:r>
      <w:r w:rsidRPr="00493CA2">
        <w:rPr>
          <w:rFonts w:cs="David" w:hint="cs"/>
          <w:sz w:val="24"/>
          <w:szCs w:val="24"/>
          <w:rtl/>
        </w:rPr>
        <w:t xml:space="preserve"> רדיפה, השפלה, ביזוי, גילוי איבה, עו</w:t>
      </w:r>
      <w:r w:rsidR="00891248" w:rsidRPr="00493CA2">
        <w:rPr>
          <w:rFonts w:cs="David" w:hint="cs"/>
          <w:sz w:val="24"/>
          <w:szCs w:val="24"/>
          <w:rtl/>
        </w:rPr>
        <w:t>י</w:t>
      </w:r>
      <w:r w:rsidRPr="00493CA2">
        <w:rPr>
          <w:rFonts w:cs="David" w:hint="cs"/>
          <w:sz w:val="24"/>
          <w:szCs w:val="24"/>
          <w:rtl/>
        </w:rPr>
        <w:t>נות או אלימות, או גרימת מדנים כלפי ציבור או חלקים של האוכלוסייה, והכל בשל צבע או השתייכות לגזע או למוצא אתני.</w:t>
      </w:r>
    </w:p>
    <w:p w:rsidR="006D09D8" w:rsidRDefault="006D09D8" w:rsidP="00F119A4">
      <w:pPr>
        <w:spacing w:line="360" w:lineRule="auto"/>
        <w:jc w:val="both"/>
        <w:rPr>
          <w:rFonts w:cs="David"/>
          <w:sz w:val="28"/>
          <w:szCs w:val="28"/>
          <w:rtl/>
        </w:rPr>
      </w:pPr>
      <w:r>
        <w:rPr>
          <w:rFonts w:cs="David" w:hint="cs"/>
          <w:sz w:val="28"/>
          <w:szCs w:val="28"/>
          <w:rtl/>
        </w:rPr>
        <w:t xml:space="preserve">סעיף </w:t>
      </w:r>
      <w:r w:rsidR="006444BB">
        <w:rPr>
          <w:rFonts w:cs="David" w:hint="cs"/>
          <w:sz w:val="28"/>
          <w:szCs w:val="28"/>
          <w:rtl/>
        </w:rPr>
        <w:t>144</w:t>
      </w:r>
      <w:r>
        <w:rPr>
          <w:rFonts w:cs="David" w:hint="cs"/>
          <w:sz w:val="28"/>
          <w:szCs w:val="28"/>
          <w:rtl/>
        </w:rPr>
        <w:t xml:space="preserve">ב </w:t>
      </w:r>
      <w:r w:rsidR="00624DE6">
        <w:rPr>
          <w:rFonts w:cs="David" w:hint="cs"/>
          <w:sz w:val="28"/>
          <w:szCs w:val="28"/>
          <w:rtl/>
        </w:rPr>
        <w:t>-</w:t>
      </w:r>
      <w:r>
        <w:rPr>
          <w:rFonts w:cs="David" w:hint="cs"/>
          <w:sz w:val="28"/>
          <w:szCs w:val="28"/>
          <w:rtl/>
        </w:rPr>
        <w:t xml:space="preserve"> </w:t>
      </w:r>
    </w:p>
    <w:p w:rsidR="006D09D8" w:rsidRPr="00493CA2" w:rsidRDefault="006D09D8" w:rsidP="00F119A4">
      <w:pPr>
        <w:pStyle w:val="a6"/>
        <w:numPr>
          <w:ilvl w:val="0"/>
          <w:numId w:val="8"/>
        </w:numPr>
        <w:spacing w:line="360" w:lineRule="auto"/>
        <w:jc w:val="both"/>
        <w:rPr>
          <w:rFonts w:cs="David"/>
          <w:sz w:val="24"/>
          <w:szCs w:val="24"/>
        </w:rPr>
      </w:pPr>
      <w:r w:rsidRPr="00493CA2">
        <w:rPr>
          <w:rFonts w:cs="David" w:hint="cs"/>
          <w:sz w:val="24"/>
          <w:szCs w:val="24"/>
          <w:rtl/>
        </w:rPr>
        <w:t xml:space="preserve">המפרסם דבר מתוך מטרה להסית לגזענות, דינו </w:t>
      </w:r>
      <w:r w:rsidRPr="00493CA2">
        <w:rPr>
          <w:rFonts w:cs="David"/>
          <w:sz w:val="24"/>
          <w:szCs w:val="24"/>
          <w:rtl/>
        </w:rPr>
        <w:t>–</w:t>
      </w:r>
      <w:r w:rsidRPr="00493CA2">
        <w:rPr>
          <w:rFonts w:cs="David" w:hint="cs"/>
          <w:sz w:val="24"/>
          <w:szCs w:val="24"/>
          <w:rtl/>
        </w:rPr>
        <w:t xml:space="preserve"> מאסר חמש שנים.</w:t>
      </w:r>
    </w:p>
    <w:p w:rsidR="003C422B" w:rsidRPr="00493CA2" w:rsidRDefault="006D09D8" w:rsidP="003C422B">
      <w:pPr>
        <w:pStyle w:val="a6"/>
        <w:numPr>
          <w:ilvl w:val="0"/>
          <w:numId w:val="8"/>
        </w:numPr>
        <w:spacing w:line="360" w:lineRule="auto"/>
        <w:jc w:val="both"/>
        <w:rPr>
          <w:rFonts w:cs="David"/>
          <w:sz w:val="24"/>
          <w:szCs w:val="24"/>
        </w:rPr>
      </w:pPr>
      <w:r w:rsidRPr="00493CA2">
        <w:rPr>
          <w:rFonts w:cs="David" w:hint="cs"/>
          <w:sz w:val="24"/>
          <w:szCs w:val="24"/>
          <w:rtl/>
        </w:rPr>
        <w:t>לעניין סעיף זה, אין נפקא מינה אם הפרסום הביא לגזענות או לא ואם היה בו אמת או לא.</w:t>
      </w:r>
    </w:p>
    <w:p w:rsidR="00F5259A" w:rsidRDefault="00F5259A" w:rsidP="00F119A4">
      <w:pPr>
        <w:spacing w:line="360" w:lineRule="auto"/>
        <w:jc w:val="both"/>
        <w:rPr>
          <w:rFonts w:cs="David"/>
          <w:sz w:val="28"/>
          <w:szCs w:val="28"/>
          <w:rtl/>
        </w:rPr>
      </w:pPr>
    </w:p>
    <w:p w:rsidR="006D09D8" w:rsidRDefault="006D09D8" w:rsidP="00F119A4">
      <w:pPr>
        <w:spacing w:line="360" w:lineRule="auto"/>
        <w:jc w:val="both"/>
        <w:rPr>
          <w:rFonts w:cs="David"/>
          <w:sz w:val="28"/>
          <w:szCs w:val="28"/>
          <w:rtl/>
        </w:rPr>
      </w:pPr>
      <w:r>
        <w:rPr>
          <w:rFonts w:cs="David" w:hint="cs"/>
          <w:sz w:val="28"/>
          <w:szCs w:val="28"/>
          <w:rtl/>
        </w:rPr>
        <w:lastRenderedPageBreak/>
        <w:t xml:space="preserve">סעיף </w:t>
      </w:r>
      <w:r w:rsidR="006444BB">
        <w:rPr>
          <w:rFonts w:cs="David" w:hint="cs"/>
          <w:sz w:val="28"/>
          <w:szCs w:val="28"/>
          <w:rtl/>
        </w:rPr>
        <w:t>144</w:t>
      </w:r>
      <w:r>
        <w:rPr>
          <w:rFonts w:cs="David" w:hint="cs"/>
          <w:sz w:val="28"/>
          <w:szCs w:val="28"/>
          <w:rtl/>
        </w:rPr>
        <w:t xml:space="preserve">ג </w:t>
      </w:r>
      <w:r w:rsidR="00624DE6">
        <w:rPr>
          <w:rFonts w:cs="David" w:hint="cs"/>
          <w:sz w:val="28"/>
          <w:szCs w:val="28"/>
          <w:rtl/>
        </w:rPr>
        <w:t>-</w:t>
      </w:r>
    </w:p>
    <w:p w:rsidR="006D09D8" w:rsidRPr="00493CA2" w:rsidRDefault="006444BB" w:rsidP="00F119A4">
      <w:pPr>
        <w:pStyle w:val="a6"/>
        <w:numPr>
          <w:ilvl w:val="0"/>
          <w:numId w:val="9"/>
        </w:numPr>
        <w:spacing w:line="360" w:lineRule="auto"/>
        <w:jc w:val="both"/>
        <w:rPr>
          <w:rFonts w:cs="David"/>
          <w:sz w:val="24"/>
          <w:szCs w:val="24"/>
        </w:rPr>
      </w:pPr>
      <w:r w:rsidRPr="00493CA2">
        <w:rPr>
          <w:rFonts w:cs="David"/>
          <w:sz w:val="24"/>
          <w:szCs w:val="24"/>
          <w:rtl/>
        </w:rPr>
        <w:t xml:space="preserve">פרסום דין וחשבון נכון והוגן על מעשה כאמור </w:t>
      </w:r>
      <w:hyperlink r:id="rId19" w:anchor=".D7.A1.D7.A2.D7.99.D7.A3_144.D7.91" w:history="1">
        <w:r w:rsidRPr="00493CA2">
          <w:rPr>
            <w:rFonts w:cs="David"/>
            <w:sz w:val="24"/>
            <w:szCs w:val="24"/>
            <w:rtl/>
          </w:rPr>
          <w:t>בסעיף</w:t>
        </w:r>
        <w:r w:rsidR="00763CD6" w:rsidRPr="00493CA2">
          <w:rPr>
            <w:rFonts w:cs="David" w:hint="cs"/>
            <w:sz w:val="24"/>
            <w:szCs w:val="24"/>
            <w:rtl/>
          </w:rPr>
          <w:t xml:space="preserve"> 1</w:t>
        </w:r>
        <w:r w:rsidRPr="00493CA2">
          <w:rPr>
            <w:rFonts w:cs="David"/>
            <w:sz w:val="24"/>
            <w:szCs w:val="24"/>
            <w:rtl/>
          </w:rPr>
          <w:t>44ב</w:t>
        </w:r>
      </w:hyperlink>
      <w:r w:rsidR="00763CD6" w:rsidRPr="00493CA2">
        <w:rPr>
          <w:rFonts w:cs="David"/>
          <w:sz w:val="24"/>
          <w:szCs w:val="24"/>
        </w:rPr>
        <w:t xml:space="preserve"> ,</w:t>
      </w:r>
      <w:r w:rsidRPr="00493CA2">
        <w:rPr>
          <w:rFonts w:cs="David"/>
          <w:sz w:val="24"/>
          <w:szCs w:val="24"/>
          <w:rtl/>
        </w:rPr>
        <w:t xml:space="preserve">לא יראוהו כעבירה על </w:t>
      </w:r>
      <w:hyperlink r:id="rId20" w:anchor=".D7.A1.D7.A2.D7.99.D7.A3_144.D7.91" w:history="1">
        <w:r w:rsidRPr="00493CA2">
          <w:rPr>
            <w:rFonts w:cs="David"/>
            <w:sz w:val="24"/>
            <w:szCs w:val="24"/>
            <w:rtl/>
          </w:rPr>
          <w:t>אותו סעיף</w:t>
        </w:r>
      </w:hyperlink>
      <w:r w:rsidRPr="00493CA2">
        <w:rPr>
          <w:rFonts w:cs="David"/>
          <w:sz w:val="24"/>
          <w:szCs w:val="24"/>
        </w:rPr>
        <w:t xml:space="preserve">, </w:t>
      </w:r>
      <w:r w:rsidRPr="00493CA2">
        <w:rPr>
          <w:rFonts w:cs="David"/>
          <w:sz w:val="24"/>
          <w:szCs w:val="24"/>
          <w:rtl/>
        </w:rPr>
        <w:t>ובלבד שלא נעשה מתוך מטרה להביא לגזענות</w:t>
      </w:r>
      <w:r w:rsidRPr="00493CA2">
        <w:rPr>
          <w:rFonts w:cs="David"/>
          <w:sz w:val="24"/>
          <w:szCs w:val="24"/>
        </w:rPr>
        <w:t>.</w:t>
      </w:r>
    </w:p>
    <w:p w:rsidR="006444BB" w:rsidRPr="00493CA2" w:rsidRDefault="006444BB" w:rsidP="00F119A4">
      <w:pPr>
        <w:pStyle w:val="a6"/>
        <w:numPr>
          <w:ilvl w:val="0"/>
          <w:numId w:val="9"/>
        </w:numPr>
        <w:spacing w:line="360" w:lineRule="auto"/>
        <w:jc w:val="both"/>
        <w:rPr>
          <w:rFonts w:cs="David"/>
          <w:sz w:val="24"/>
          <w:szCs w:val="24"/>
        </w:rPr>
      </w:pPr>
      <w:r w:rsidRPr="00493CA2">
        <w:rPr>
          <w:rFonts w:cs="David"/>
          <w:sz w:val="24"/>
          <w:szCs w:val="24"/>
          <w:rtl/>
        </w:rPr>
        <w:t xml:space="preserve">פרסום ציטוט מתוך כתבי דת וספרי תפילה, או שמירה על פולחן של דת, לא יראו אותם כעבירה לפי </w:t>
      </w:r>
      <w:hyperlink r:id="rId21" w:anchor=".D7.A1.D7.A2.D7.99.D7.A3_144.D7.91" w:history="1">
        <w:r w:rsidRPr="00493CA2">
          <w:rPr>
            <w:rFonts w:cs="David"/>
            <w:sz w:val="24"/>
            <w:szCs w:val="24"/>
            <w:rtl/>
          </w:rPr>
          <w:t>סעיף 144ב</w:t>
        </w:r>
      </w:hyperlink>
      <w:r w:rsidRPr="00493CA2">
        <w:rPr>
          <w:rFonts w:cs="David"/>
          <w:sz w:val="24"/>
          <w:szCs w:val="24"/>
        </w:rPr>
        <w:t xml:space="preserve">, </w:t>
      </w:r>
      <w:r w:rsidRPr="00493CA2">
        <w:rPr>
          <w:rFonts w:cs="David"/>
          <w:sz w:val="24"/>
          <w:szCs w:val="24"/>
          <w:rtl/>
        </w:rPr>
        <w:t>ובלבד שלא נעשה מתוך מטרה להסית לגזענות</w:t>
      </w:r>
      <w:r w:rsidRPr="00493CA2">
        <w:rPr>
          <w:rFonts w:cs="David"/>
          <w:sz w:val="24"/>
          <w:szCs w:val="24"/>
        </w:rPr>
        <w:t>.</w:t>
      </w:r>
    </w:p>
    <w:p w:rsidR="006444BB" w:rsidRDefault="006444BB" w:rsidP="00F119A4">
      <w:pPr>
        <w:spacing w:line="360" w:lineRule="auto"/>
        <w:jc w:val="both"/>
        <w:rPr>
          <w:rFonts w:cs="David"/>
          <w:sz w:val="28"/>
          <w:szCs w:val="28"/>
          <w:rtl/>
        </w:rPr>
      </w:pPr>
      <w:r>
        <w:rPr>
          <w:rFonts w:cs="David" w:hint="cs"/>
          <w:sz w:val="28"/>
          <w:szCs w:val="28"/>
          <w:rtl/>
        </w:rPr>
        <w:t xml:space="preserve">סעיף 144ד </w:t>
      </w:r>
      <w:r w:rsidR="00624DE6">
        <w:rPr>
          <w:rFonts w:cs="David" w:hint="cs"/>
          <w:sz w:val="28"/>
          <w:szCs w:val="28"/>
          <w:rtl/>
        </w:rPr>
        <w:t>-</w:t>
      </w:r>
      <w:r>
        <w:rPr>
          <w:rFonts w:cs="David" w:hint="cs"/>
          <w:sz w:val="28"/>
          <w:szCs w:val="28"/>
          <w:rtl/>
        </w:rPr>
        <w:t xml:space="preserve"> </w:t>
      </w:r>
    </w:p>
    <w:p w:rsidR="004B1A80" w:rsidRPr="00493CA2" w:rsidRDefault="006444BB" w:rsidP="004B1A80">
      <w:pPr>
        <w:spacing w:line="360" w:lineRule="auto"/>
        <w:ind w:left="720"/>
        <w:jc w:val="both"/>
        <w:rPr>
          <w:rFonts w:cs="David"/>
          <w:color w:val="FF0000"/>
          <w:sz w:val="24"/>
          <w:szCs w:val="24"/>
          <w:rtl/>
        </w:rPr>
      </w:pPr>
      <w:r w:rsidRPr="00493CA2">
        <w:rPr>
          <w:rFonts w:cs="David"/>
          <w:sz w:val="24"/>
          <w:szCs w:val="24"/>
          <w:rtl/>
        </w:rPr>
        <w:t xml:space="preserve">המחזיק לשם הפצה פרסום האסור לפי </w:t>
      </w:r>
      <w:hyperlink r:id="rId22" w:anchor=".D7.A1.D7.A2.D7.99.D7.A3_144.D7.91" w:history="1">
        <w:r w:rsidRPr="00493CA2">
          <w:rPr>
            <w:rFonts w:cs="David"/>
            <w:sz w:val="24"/>
            <w:szCs w:val="24"/>
            <w:rtl/>
          </w:rPr>
          <w:t>סעיף 144ב</w:t>
        </w:r>
      </w:hyperlink>
      <w:r w:rsidRPr="00493CA2">
        <w:rPr>
          <w:rFonts w:cs="David"/>
          <w:sz w:val="24"/>
          <w:szCs w:val="24"/>
        </w:rPr>
        <w:t xml:space="preserve"> </w:t>
      </w:r>
      <w:r w:rsidRPr="00493CA2">
        <w:rPr>
          <w:rFonts w:cs="David"/>
          <w:sz w:val="24"/>
          <w:szCs w:val="24"/>
          <w:rtl/>
        </w:rPr>
        <w:t xml:space="preserve">כדי להביא לגזענות, דינו </w:t>
      </w:r>
      <w:r w:rsidR="00624DE6" w:rsidRPr="00493CA2">
        <w:rPr>
          <w:rFonts w:cs="David" w:hint="cs"/>
          <w:sz w:val="24"/>
          <w:szCs w:val="24"/>
          <w:rtl/>
        </w:rPr>
        <w:t>-</w:t>
      </w:r>
      <w:r w:rsidRPr="00493CA2">
        <w:rPr>
          <w:rFonts w:cs="David"/>
          <w:sz w:val="24"/>
          <w:szCs w:val="24"/>
          <w:rtl/>
        </w:rPr>
        <w:t xml:space="preserve"> מאסר שנה, והפרסום יחולט</w:t>
      </w:r>
      <w:r w:rsidRPr="00493CA2">
        <w:rPr>
          <w:rFonts w:cs="David"/>
          <w:sz w:val="24"/>
          <w:szCs w:val="24"/>
        </w:rPr>
        <w:t>.</w:t>
      </w:r>
    </w:p>
    <w:p w:rsidR="0044366B" w:rsidRDefault="004B1A80" w:rsidP="00650DEF">
      <w:pPr>
        <w:spacing w:line="360" w:lineRule="auto"/>
        <w:jc w:val="both"/>
        <w:rPr>
          <w:rFonts w:cs="David"/>
          <w:b/>
          <w:bCs/>
          <w:sz w:val="28"/>
          <w:szCs w:val="28"/>
          <w:rtl/>
        </w:rPr>
      </w:pPr>
      <w:r w:rsidRPr="00CB77AB">
        <w:rPr>
          <w:rFonts w:cs="David" w:hint="cs"/>
          <w:sz w:val="28"/>
          <w:szCs w:val="28"/>
          <w:rtl/>
        </w:rPr>
        <w:t>ניתן לראות</w:t>
      </w:r>
      <w:r w:rsidR="00650DEF">
        <w:rPr>
          <w:rFonts w:cs="David" w:hint="cs"/>
          <w:sz w:val="28"/>
          <w:szCs w:val="28"/>
          <w:rtl/>
        </w:rPr>
        <w:t>,</w:t>
      </w:r>
      <w:r w:rsidRPr="00CB77AB">
        <w:rPr>
          <w:rFonts w:cs="David" w:hint="cs"/>
          <w:sz w:val="28"/>
          <w:szCs w:val="28"/>
          <w:rtl/>
        </w:rPr>
        <w:t xml:space="preserve"> אם כן, כיצד לאחר כשלושים שנים מקום המדינה ועם התפשטות תופעת הגזענות החליטה הכנסת להילחם בתופעה, בשל הניגוד בין התופעה ובין הערכים עליהם מושתתת מדינת ישראל והמסורת היהודית. כך, לאחר מספר הצעות </w:t>
      </w:r>
      <w:r>
        <w:rPr>
          <w:rFonts w:cs="David" w:hint="cs"/>
          <w:sz w:val="28"/>
          <w:szCs w:val="28"/>
          <w:rtl/>
        </w:rPr>
        <w:t xml:space="preserve">חוק </w:t>
      </w:r>
      <w:r w:rsidRPr="00CB77AB">
        <w:rPr>
          <w:rFonts w:cs="David" w:hint="cs"/>
          <w:sz w:val="28"/>
          <w:szCs w:val="28"/>
          <w:rtl/>
        </w:rPr>
        <w:t>נחקק סימן א1 לחוק העונשין, הוגדר המונח 'גזענות' באופן שכולל יחס מפלה מצד יהודים כלפי ערבים ולהפך, נקבעו היסוד העובדתי והנפשי הנדרשים, לאחר לא מעט דילמות ומתחים מול זכות חופש הביטוי</w:t>
      </w:r>
      <w:r w:rsidR="00D43181">
        <w:rPr>
          <w:rFonts w:cs="David" w:hint="cs"/>
          <w:sz w:val="28"/>
          <w:szCs w:val="28"/>
          <w:rtl/>
        </w:rPr>
        <w:t>.</w:t>
      </w:r>
      <w:r w:rsidRPr="00CB77AB">
        <w:rPr>
          <w:rFonts w:cs="David" w:hint="cs"/>
          <w:sz w:val="28"/>
          <w:szCs w:val="28"/>
          <w:rtl/>
        </w:rPr>
        <w:t xml:space="preserve"> כן</w:t>
      </w:r>
      <w:r w:rsidR="00D43181">
        <w:rPr>
          <w:rFonts w:cs="David" w:hint="cs"/>
          <w:sz w:val="28"/>
          <w:szCs w:val="28"/>
          <w:rtl/>
        </w:rPr>
        <w:t>,</w:t>
      </w:r>
      <w:r w:rsidRPr="00CB77AB">
        <w:rPr>
          <w:rFonts w:cs="David" w:hint="cs"/>
          <w:sz w:val="28"/>
          <w:szCs w:val="28"/>
          <w:rtl/>
        </w:rPr>
        <w:t xml:space="preserve"> נקבעו הגנות למפרסם פרסומים</w:t>
      </w:r>
      <w:r>
        <w:rPr>
          <w:rFonts w:cs="David" w:hint="cs"/>
          <w:sz w:val="28"/>
          <w:szCs w:val="28"/>
          <w:rtl/>
        </w:rPr>
        <w:t>,</w:t>
      </w:r>
      <w:r w:rsidRPr="00CB77AB">
        <w:rPr>
          <w:rFonts w:cs="David" w:hint="cs"/>
          <w:sz w:val="28"/>
          <w:szCs w:val="28"/>
          <w:rtl/>
        </w:rPr>
        <w:t xml:space="preserve"> </w:t>
      </w:r>
      <w:r w:rsidR="0017768F">
        <w:rPr>
          <w:rFonts w:cs="David" w:hint="cs"/>
          <w:sz w:val="28"/>
          <w:szCs w:val="28"/>
          <w:rtl/>
        </w:rPr>
        <w:t>זאת מתוך התחשבות בחששם של אנשי דת</w:t>
      </w:r>
      <w:r w:rsidR="00D6459E">
        <w:rPr>
          <w:rFonts w:cs="David" w:hint="cs"/>
          <w:sz w:val="28"/>
          <w:szCs w:val="28"/>
          <w:rtl/>
        </w:rPr>
        <w:t>,</w:t>
      </w:r>
      <w:r w:rsidR="0017768F">
        <w:rPr>
          <w:rFonts w:cs="David" w:hint="cs"/>
          <w:sz w:val="28"/>
          <w:szCs w:val="28"/>
          <w:rtl/>
        </w:rPr>
        <w:t xml:space="preserve"> שמא דברי דת יחשבו לדברי הסתה.</w:t>
      </w:r>
      <w:r w:rsidR="00B41BEA">
        <w:rPr>
          <w:rFonts w:cs="David" w:hint="cs"/>
          <w:sz w:val="28"/>
          <w:szCs w:val="28"/>
          <w:rtl/>
        </w:rPr>
        <w:t xml:space="preserve"> </w:t>
      </w:r>
    </w:p>
    <w:p w:rsidR="00D96A29" w:rsidRPr="00D96A29" w:rsidRDefault="00512C97" w:rsidP="00512C97">
      <w:pPr>
        <w:spacing w:line="360" w:lineRule="auto"/>
        <w:jc w:val="both"/>
        <w:rPr>
          <w:rFonts w:cs="David"/>
          <w:b/>
          <w:bCs/>
          <w:sz w:val="28"/>
          <w:szCs w:val="28"/>
          <w:rtl/>
        </w:rPr>
      </w:pPr>
      <w:r>
        <w:rPr>
          <w:rFonts w:cs="David" w:hint="cs"/>
          <w:b/>
          <w:bCs/>
          <w:sz w:val="28"/>
          <w:szCs w:val="28"/>
          <w:rtl/>
        </w:rPr>
        <w:t>ג.2</w:t>
      </w:r>
      <w:r w:rsidR="009D708E">
        <w:rPr>
          <w:rFonts w:cs="David" w:hint="cs"/>
          <w:b/>
          <w:bCs/>
          <w:sz w:val="28"/>
          <w:szCs w:val="28"/>
          <w:rtl/>
        </w:rPr>
        <w:t xml:space="preserve"> </w:t>
      </w:r>
      <w:r w:rsidR="00D96A29" w:rsidRPr="00D96A29">
        <w:rPr>
          <w:rFonts w:cs="David" w:hint="cs"/>
          <w:b/>
          <w:bCs/>
          <w:sz w:val="28"/>
          <w:szCs w:val="28"/>
          <w:rtl/>
        </w:rPr>
        <w:t>עבירת ההסתה לאלימות</w:t>
      </w:r>
    </w:p>
    <w:p w:rsidR="00D263FB" w:rsidRDefault="00A1767C" w:rsidP="00F119A4">
      <w:pPr>
        <w:spacing w:line="360" w:lineRule="auto"/>
        <w:jc w:val="both"/>
        <w:rPr>
          <w:rFonts w:cs="David"/>
          <w:sz w:val="28"/>
          <w:szCs w:val="28"/>
          <w:rtl/>
        </w:rPr>
      </w:pPr>
      <w:r>
        <w:rPr>
          <w:rFonts w:cs="David" w:hint="cs"/>
          <w:sz w:val="28"/>
          <w:szCs w:val="28"/>
          <w:rtl/>
        </w:rPr>
        <w:t xml:space="preserve">הנוסח הנוכחי של החוק בעבירה הנוגעת להסתה לאלימות, </w:t>
      </w:r>
      <w:r w:rsidR="00952A30">
        <w:rPr>
          <w:rFonts w:cs="David" w:hint="cs"/>
          <w:sz w:val="28"/>
          <w:szCs w:val="28"/>
          <w:rtl/>
        </w:rPr>
        <w:t xml:space="preserve">מקורו בתיקון </w:t>
      </w:r>
      <w:r w:rsidR="00952A30" w:rsidRPr="00316F3F">
        <w:rPr>
          <w:rFonts w:cs="David" w:hint="cs"/>
          <w:b/>
          <w:bCs/>
          <w:sz w:val="28"/>
          <w:szCs w:val="28"/>
          <w:rtl/>
        </w:rPr>
        <w:t>מתשס"</w:t>
      </w:r>
      <w:r w:rsidR="00D263FB" w:rsidRPr="00316F3F">
        <w:rPr>
          <w:rFonts w:cs="David" w:hint="cs"/>
          <w:b/>
          <w:bCs/>
          <w:sz w:val="28"/>
          <w:szCs w:val="28"/>
          <w:rtl/>
        </w:rPr>
        <w:t xml:space="preserve">ב-2002 </w:t>
      </w:r>
      <w:r w:rsidR="00D263FB">
        <w:rPr>
          <w:rFonts w:cs="David" w:hint="cs"/>
          <w:sz w:val="28"/>
          <w:szCs w:val="28"/>
          <w:rtl/>
        </w:rPr>
        <w:t>ולשונו כך</w:t>
      </w:r>
      <w:r w:rsidR="003F4F85">
        <w:rPr>
          <w:rFonts w:cs="David" w:hint="cs"/>
          <w:sz w:val="28"/>
          <w:szCs w:val="28"/>
          <w:rtl/>
        </w:rPr>
        <w:t>:</w:t>
      </w:r>
      <w:r w:rsidR="00D42527">
        <w:rPr>
          <w:rStyle w:val="a5"/>
          <w:rFonts w:cs="David"/>
          <w:sz w:val="28"/>
          <w:szCs w:val="28"/>
          <w:rtl/>
        </w:rPr>
        <w:footnoteReference w:id="101"/>
      </w:r>
    </w:p>
    <w:p w:rsidR="00D263FB" w:rsidRDefault="00D263FB" w:rsidP="00F119A4">
      <w:pPr>
        <w:spacing w:line="360" w:lineRule="auto"/>
        <w:ind w:left="720"/>
        <w:jc w:val="both"/>
        <w:rPr>
          <w:rFonts w:cs="David"/>
          <w:sz w:val="28"/>
          <w:szCs w:val="28"/>
          <w:rtl/>
        </w:rPr>
      </w:pPr>
      <w:r>
        <w:rPr>
          <w:rFonts w:cs="David" w:hint="cs"/>
          <w:sz w:val="28"/>
          <w:szCs w:val="28"/>
          <w:rtl/>
        </w:rPr>
        <w:t>סעיף 144ד2</w:t>
      </w:r>
    </w:p>
    <w:p w:rsidR="004B2F53" w:rsidRPr="006B60F5" w:rsidRDefault="00D263FB" w:rsidP="00F119A4">
      <w:pPr>
        <w:pStyle w:val="a6"/>
        <w:numPr>
          <w:ilvl w:val="0"/>
          <w:numId w:val="10"/>
        </w:numPr>
        <w:spacing w:line="360" w:lineRule="auto"/>
        <w:jc w:val="both"/>
        <w:rPr>
          <w:rFonts w:cs="David"/>
          <w:sz w:val="24"/>
          <w:szCs w:val="24"/>
        </w:rPr>
      </w:pPr>
      <w:r w:rsidRPr="006B60F5">
        <w:rPr>
          <w:rFonts w:cs="David" w:hint="cs"/>
          <w:sz w:val="24"/>
          <w:szCs w:val="24"/>
          <w:rtl/>
        </w:rPr>
        <w:t xml:space="preserve">המפרסם קריאה לעשיית מעשה אלימות, או דברי שבח, אהדה או עידוד למעשה אלימות, תמיכה בו או הזדהות עמו (בסעיף זה-פרסום מסית) ועל פי תוכנו של הפרסום המסית והנסיבות שבהן פורסם, יש </w:t>
      </w:r>
      <w:r w:rsidRPr="006B60F5">
        <w:rPr>
          <w:rFonts w:cs="David" w:hint="cs"/>
          <w:b/>
          <w:bCs/>
          <w:sz w:val="24"/>
          <w:szCs w:val="24"/>
          <w:rtl/>
        </w:rPr>
        <w:t>אפשרות ממשית</w:t>
      </w:r>
      <w:r w:rsidRPr="006B60F5">
        <w:rPr>
          <w:rFonts w:cs="David" w:hint="cs"/>
          <w:sz w:val="24"/>
          <w:szCs w:val="24"/>
          <w:rtl/>
        </w:rPr>
        <w:t xml:space="preserve"> שיביא לעשיית מעשה אלימות, דינו </w:t>
      </w:r>
      <w:r w:rsidRPr="006B60F5">
        <w:rPr>
          <w:rFonts w:cs="David"/>
          <w:sz w:val="24"/>
          <w:szCs w:val="24"/>
          <w:rtl/>
        </w:rPr>
        <w:t>–</w:t>
      </w:r>
      <w:r w:rsidRPr="006B60F5">
        <w:rPr>
          <w:rFonts w:cs="David" w:hint="cs"/>
          <w:sz w:val="24"/>
          <w:szCs w:val="24"/>
          <w:rtl/>
        </w:rPr>
        <w:t xml:space="preserve"> חמש שנים.</w:t>
      </w:r>
      <w:r w:rsidR="00EF5470" w:rsidRPr="00EF5470">
        <w:rPr>
          <w:rFonts w:cs="David" w:hint="cs"/>
          <w:sz w:val="24"/>
          <w:szCs w:val="24"/>
          <w:rtl/>
        </w:rPr>
        <w:t xml:space="preserve"> </w:t>
      </w:r>
      <w:r w:rsidR="00EF5470" w:rsidRPr="00D952B2">
        <w:rPr>
          <w:rFonts w:cs="David" w:hint="cs"/>
          <w:sz w:val="24"/>
          <w:szCs w:val="24"/>
          <w:rtl/>
        </w:rPr>
        <w:t xml:space="preserve">(ההדגשה של הח"מ </w:t>
      </w:r>
      <w:r w:rsidR="00EF5470" w:rsidRPr="00D952B2">
        <w:rPr>
          <w:rFonts w:cs="David"/>
          <w:sz w:val="24"/>
          <w:szCs w:val="24"/>
          <w:rtl/>
        </w:rPr>
        <w:t>–</w:t>
      </w:r>
      <w:r w:rsidR="00EF5470" w:rsidRPr="00D952B2">
        <w:rPr>
          <w:rFonts w:cs="David" w:hint="cs"/>
          <w:sz w:val="24"/>
          <w:szCs w:val="24"/>
          <w:rtl/>
        </w:rPr>
        <w:t xml:space="preserve"> ר"מ)</w:t>
      </w:r>
    </w:p>
    <w:p w:rsidR="004B2F53" w:rsidRPr="006B60F5" w:rsidRDefault="00D263FB" w:rsidP="00F119A4">
      <w:pPr>
        <w:pStyle w:val="a6"/>
        <w:numPr>
          <w:ilvl w:val="0"/>
          <w:numId w:val="10"/>
        </w:numPr>
        <w:spacing w:line="360" w:lineRule="auto"/>
        <w:jc w:val="both"/>
        <w:rPr>
          <w:rFonts w:cs="David"/>
          <w:sz w:val="24"/>
          <w:szCs w:val="24"/>
        </w:rPr>
      </w:pPr>
      <w:r w:rsidRPr="006B60F5">
        <w:rPr>
          <w:rFonts w:cs="David" w:hint="cs"/>
          <w:sz w:val="24"/>
          <w:szCs w:val="24"/>
          <w:rtl/>
        </w:rPr>
        <w:t xml:space="preserve">בסעיף זה, "מעשה אלימות" </w:t>
      </w:r>
      <w:r w:rsidRPr="006B60F5">
        <w:rPr>
          <w:rFonts w:cs="David"/>
          <w:sz w:val="24"/>
          <w:szCs w:val="24"/>
          <w:rtl/>
        </w:rPr>
        <w:t>–</w:t>
      </w:r>
      <w:r w:rsidRPr="006B60F5">
        <w:rPr>
          <w:rFonts w:cs="David" w:hint="cs"/>
          <w:sz w:val="24"/>
          <w:szCs w:val="24"/>
          <w:rtl/>
        </w:rPr>
        <w:t xml:space="preserve"> עבירה הפוגעת בגופו של אדם או המעמידה אותו בסכנת מוות או בסכנת חבלה חמורה.</w:t>
      </w:r>
    </w:p>
    <w:p w:rsidR="004B2F53" w:rsidRPr="006B60F5" w:rsidRDefault="004B2F53" w:rsidP="00F119A4">
      <w:pPr>
        <w:pStyle w:val="a6"/>
        <w:numPr>
          <w:ilvl w:val="0"/>
          <w:numId w:val="10"/>
        </w:numPr>
        <w:spacing w:line="360" w:lineRule="auto"/>
        <w:jc w:val="both"/>
        <w:rPr>
          <w:rFonts w:cs="David"/>
          <w:sz w:val="24"/>
          <w:szCs w:val="24"/>
          <w:rtl/>
        </w:rPr>
      </w:pPr>
      <w:r w:rsidRPr="006B60F5">
        <w:rPr>
          <w:rFonts w:cs="David" w:hint="cs"/>
          <w:sz w:val="24"/>
          <w:szCs w:val="24"/>
          <w:rtl/>
        </w:rPr>
        <w:t>פרסום דין וחשבון נכון והוגן על פרסום האסור על פי הוראות סעיפים קטנים (א) ו-(ב), אינו עבירה לפי סעיף זה</w:t>
      </w:r>
      <w:r w:rsidRPr="006B60F5">
        <w:rPr>
          <w:rFonts w:cs="David" w:hint="cs"/>
          <w:sz w:val="24"/>
          <w:szCs w:val="24"/>
        </w:rPr>
        <w:t>.</w:t>
      </w:r>
    </w:p>
    <w:p w:rsidR="00D96A29" w:rsidRDefault="00952A30" w:rsidP="00F119A4">
      <w:pPr>
        <w:spacing w:line="360" w:lineRule="auto"/>
        <w:jc w:val="both"/>
        <w:rPr>
          <w:rFonts w:cs="David"/>
          <w:sz w:val="28"/>
          <w:szCs w:val="28"/>
          <w:rtl/>
        </w:rPr>
      </w:pPr>
      <w:r>
        <w:rPr>
          <w:rFonts w:cs="David" w:hint="cs"/>
          <w:sz w:val="28"/>
          <w:szCs w:val="28"/>
          <w:rtl/>
        </w:rPr>
        <w:lastRenderedPageBreak/>
        <w:t>הצעת החוק, שגובשה בעקבות פסיקתו של בית המשפט העליון ב</w:t>
      </w:r>
      <w:r w:rsidR="00D615E7" w:rsidRPr="00280047">
        <w:rPr>
          <w:rFonts w:cs="David" w:hint="cs"/>
          <w:b/>
          <w:bCs/>
          <w:sz w:val="28"/>
          <w:szCs w:val="28"/>
          <w:rtl/>
        </w:rPr>
        <w:t xml:space="preserve">דנ"פ </w:t>
      </w:r>
      <w:r w:rsidR="00D615E7" w:rsidRPr="00630F26">
        <w:rPr>
          <w:rFonts w:cs="David" w:hint="cs"/>
          <w:b/>
          <w:bCs/>
          <w:sz w:val="28"/>
          <w:szCs w:val="28"/>
          <w:rtl/>
        </w:rPr>
        <w:t>ג'בארין נ' מדינת ישראל</w:t>
      </w:r>
      <w:r w:rsidR="00D615E7" w:rsidRPr="00EF4B4B">
        <w:rPr>
          <w:rFonts w:cs="David" w:hint="cs"/>
          <w:sz w:val="28"/>
          <w:szCs w:val="28"/>
          <w:rtl/>
        </w:rPr>
        <w:t xml:space="preserve"> (להלן: </w:t>
      </w:r>
      <w:r w:rsidR="00D615E7" w:rsidRPr="00EF4B4B">
        <w:rPr>
          <w:rFonts w:cs="David" w:hint="cs"/>
          <w:b/>
          <w:bCs/>
          <w:sz w:val="28"/>
          <w:szCs w:val="28"/>
          <w:rtl/>
        </w:rPr>
        <w:t>עניין ג'בארין</w:t>
      </w:r>
      <w:r w:rsidR="00D615E7" w:rsidRPr="00EF4B4B">
        <w:rPr>
          <w:rFonts w:cs="David" w:hint="cs"/>
          <w:sz w:val="28"/>
          <w:szCs w:val="28"/>
          <w:rtl/>
        </w:rPr>
        <w:t>)</w:t>
      </w:r>
      <w:r w:rsidR="00CC053F">
        <w:rPr>
          <w:rFonts w:cs="David" w:hint="cs"/>
          <w:sz w:val="28"/>
          <w:szCs w:val="28"/>
          <w:rtl/>
        </w:rPr>
        <w:t>,</w:t>
      </w:r>
      <w:r w:rsidR="00D615E7">
        <w:rPr>
          <w:rStyle w:val="a5"/>
          <w:rFonts w:cs="David"/>
          <w:sz w:val="28"/>
          <w:szCs w:val="28"/>
          <w:rtl/>
        </w:rPr>
        <w:footnoteReference w:id="102"/>
      </w:r>
      <w:r>
        <w:rPr>
          <w:rFonts w:cs="David" w:hint="cs"/>
          <w:sz w:val="28"/>
          <w:szCs w:val="28"/>
          <w:rtl/>
        </w:rPr>
        <w:t xml:space="preserve"> עברה מספר גלגולים ו</w:t>
      </w:r>
      <w:r w:rsidR="00D615E7">
        <w:rPr>
          <w:rFonts w:cs="David" w:hint="cs"/>
          <w:sz w:val="28"/>
          <w:szCs w:val="28"/>
          <w:rtl/>
        </w:rPr>
        <w:t>במהלך שלבי החקיקה בו</w:t>
      </w:r>
      <w:r w:rsidR="00B81334">
        <w:rPr>
          <w:rFonts w:cs="David" w:hint="cs"/>
          <w:sz w:val="28"/>
          <w:szCs w:val="28"/>
          <w:rtl/>
        </w:rPr>
        <w:t>ו</w:t>
      </w:r>
      <w:r w:rsidR="00D615E7">
        <w:rPr>
          <w:rFonts w:cs="David" w:hint="cs"/>
          <w:sz w:val="28"/>
          <w:szCs w:val="28"/>
          <w:rtl/>
        </w:rPr>
        <w:t xml:space="preserve">עדת חוק, חוקה ומשפט חל ויכוח באשר למבחן ההסתברותי הראוי בעבירה, בין </w:t>
      </w:r>
      <w:r w:rsidR="008A429E">
        <w:rPr>
          <w:rFonts w:cs="David" w:hint="cs"/>
          <w:sz w:val="28"/>
          <w:szCs w:val="28"/>
          <w:rtl/>
        </w:rPr>
        <w:t>'</w:t>
      </w:r>
      <w:r w:rsidR="00D615E7">
        <w:rPr>
          <w:rFonts w:cs="David" w:hint="cs"/>
          <w:sz w:val="28"/>
          <w:szCs w:val="28"/>
          <w:rtl/>
        </w:rPr>
        <w:t>מבחן ה</w:t>
      </w:r>
      <w:r w:rsidR="00F00763">
        <w:rPr>
          <w:rFonts w:cs="David" w:hint="cs"/>
          <w:sz w:val="28"/>
          <w:szCs w:val="28"/>
          <w:rtl/>
        </w:rPr>
        <w:t>ו</w:t>
      </w:r>
      <w:r w:rsidR="00D615E7">
        <w:rPr>
          <w:rFonts w:cs="David" w:hint="cs"/>
          <w:sz w:val="28"/>
          <w:szCs w:val="28"/>
          <w:rtl/>
        </w:rPr>
        <w:t xml:space="preserve">ודאות הקרובה' ובין </w:t>
      </w:r>
      <w:r w:rsidR="00B142BC">
        <w:rPr>
          <w:rFonts w:cs="David" w:hint="cs"/>
          <w:sz w:val="28"/>
          <w:szCs w:val="28"/>
          <w:rtl/>
        </w:rPr>
        <w:t>"</w:t>
      </w:r>
      <w:r w:rsidR="00D615E7">
        <w:rPr>
          <w:rFonts w:cs="David" w:hint="cs"/>
          <w:sz w:val="28"/>
          <w:szCs w:val="28"/>
          <w:rtl/>
        </w:rPr>
        <w:t>אפשרות סבירה</w:t>
      </w:r>
      <w:r w:rsidR="00B142BC">
        <w:rPr>
          <w:rFonts w:cs="David" w:hint="cs"/>
          <w:sz w:val="28"/>
          <w:szCs w:val="28"/>
          <w:rtl/>
        </w:rPr>
        <w:t>, שיביא לעשיית מעשה אלימות או טרור"</w:t>
      </w:r>
      <w:r w:rsidR="00D615E7">
        <w:rPr>
          <w:rFonts w:cs="David" w:hint="cs"/>
          <w:sz w:val="28"/>
          <w:szCs w:val="28"/>
          <w:rtl/>
        </w:rPr>
        <w:t xml:space="preserve">. ואולם, הנוסח שהתקבל לבסוף הוא הנוסח הקיים כיום </w:t>
      </w:r>
      <w:r w:rsidR="00B142BC">
        <w:rPr>
          <w:rFonts w:cs="David" w:hint="cs"/>
          <w:sz w:val="28"/>
          <w:szCs w:val="28"/>
          <w:rtl/>
        </w:rPr>
        <w:t>-</w:t>
      </w:r>
      <w:r w:rsidR="00D615E7">
        <w:rPr>
          <w:rFonts w:cs="David" w:hint="cs"/>
          <w:sz w:val="28"/>
          <w:szCs w:val="28"/>
          <w:rtl/>
        </w:rPr>
        <w:t xml:space="preserve"> "אפשרות ממשית"</w:t>
      </w:r>
      <w:r w:rsidR="00BD391E">
        <w:rPr>
          <w:rFonts w:cs="David" w:hint="cs"/>
          <w:sz w:val="28"/>
          <w:szCs w:val="28"/>
          <w:rtl/>
        </w:rPr>
        <w:t>, שהינו</w:t>
      </w:r>
      <w:r w:rsidR="00D615E7">
        <w:rPr>
          <w:rFonts w:cs="David" w:hint="cs"/>
          <w:sz w:val="28"/>
          <w:szCs w:val="28"/>
          <w:rtl/>
        </w:rPr>
        <w:t xml:space="preserve"> </w:t>
      </w:r>
      <w:r w:rsidR="00141116">
        <w:rPr>
          <w:rFonts w:cs="David" w:hint="cs"/>
          <w:sz w:val="28"/>
          <w:szCs w:val="28"/>
          <w:rtl/>
        </w:rPr>
        <w:t xml:space="preserve">מעין </w:t>
      </w:r>
      <w:r w:rsidR="00141116" w:rsidRPr="00754D26">
        <w:rPr>
          <w:rFonts w:cs="David" w:hint="cs"/>
          <w:b/>
          <w:bCs/>
          <w:sz w:val="28"/>
          <w:szCs w:val="28"/>
          <w:rtl/>
        </w:rPr>
        <w:t xml:space="preserve">סוג של </w:t>
      </w:r>
      <w:r w:rsidR="00D615E7" w:rsidRPr="00754D26">
        <w:rPr>
          <w:rFonts w:cs="David" w:hint="cs"/>
          <w:b/>
          <w:bCs/>
          <w:sz w:val="28"/>
          <w:szCs w:val="28"/>
          <w:rtl/>
        </w:rPr>
        <w:t>פשרה</w:t>
      </w:r>
      <w:r w:rsidR="00D615E7">
        <w:rPr>
          <w:rFonts w:cs="David" w:hint="cs"/>
          <w:sz w:val="28"/>
          <w:szCs w:val="28"/>
          <w:rtl/>
        </w:rPr>
        <w:t xml:space="preserve"> ב</w:t>
      </w:r>
      <w:r w:rsidR="00FC696A">
        <w:rPr>
          <w:rFonts w:cs="David" w:hint="cs"/>
          <w:sz w:val="28"/>
          <w:szCs w:val="28"/>
          <w:rtl/>
        </w:rPr>
        <w:t>ין שתי הגישות שהובאו לעיל.</w:t>
      </w:r>
    </w:p>
    <w:p w:rsidR="00626BF8" w:rsidRDefault="00626BF8" w:rsidP="000F3150">
      <w:pPr>
        <w:spacing w:line="360" w:lineRule="auto"/>
        <w:jc w:val="both"/>
        <w:rPr>
          <w:rFonts w:cs="David"/>
          <w:sz w:val="28"/>
          <w:szCs w:val="28"/>
          <w:rtl/>
        </w:rPr>
      </w:pPr>
      <w:r>
        <w:rPr>
          <w:rFonts w:cs="David" w:hint="cs"/>
          <w:sz w:val="28"/>
          <w:szCs w:val="28"/>
          <w:rtl/>
        </w:rPr>
        <w:t xml:space="preserve">בחוקקה </w:t>
      </w:r>
      <w:r w:rsidR="000F3150">
        <w:rPr>
          <w:rFonts w:cs="David" w:hint="cs"/>
          <w:sz w:val="28"/>
          <w:szCs w:val="28"/>
          <w:rtl/>
        </w:rPr>
        <w:t xml:space="preserve">את </w:t>
      </w:r>
      <w:r w:rsidR="00BD391E">
        <w:rPr>
          <w:rFonts w:cs="David" w:hint="cs"/>
          <w:sz w:val="28"/>
          <w:szCs w:val="28"/>
          <w:rtl/>
        </w:rPr>
        <w:t>תיקון מספר 66</w:t>
      </w:r>
      <w:r>
        <w:rPr>
          <w:rFonts w:cs="David" w:hint="cs"/>
          <w:sz w:val="28"/>
          <w:szCs w:val="28"/>
          <w:rtl/>
        </w:rPr>
        <w:t>, ביטלה הכנסת את סעיף 4 (א) לפקודת מניעת טרור</w:t>
      </w:r>
      <w:r w:rsidR="00630F26">
        <w:rPr>
          <w:rStyle w:val="a5"/>
          <w:rFonts w:cs="David"/>
          <w:sz w:val="28"/>
          <w:szCs w:val="28"/>
          <w:rtl/>
        </w:rPr>
        <w:footnoteReference w:id="103"/>
      </w:r>
      <w:r>
        <w:rPr>
          <w:rFonts w:cs="David" w:hint="cs"/>
          <w:sz w:val="28"/>
          <w:szCs w:val="28"/>
          <w:rtl/>
        </w:rPr>
        <w:t>, ו</w:t>
      </w:r>
      <w:r w:rsidR="00B81334">
        <w:rPr>
          <w:rFonts w:cs="David" w:hint="cs"/>
          <w:sz w:val="28"/>
          <w:szCs w:val="28"/>
          <w:rtl/>
        </w:rPr>
        <w:t xml:space="preserve">זאת </w:t>
      </w:r>
      <w:r w:rsidR="00A20A51">
        <w:rPr>
          <w:rFonts w:cs="David" w:hint="cs"/>
          <w:sz w:val="28"/>
          <w:szCs w:val="28"/>
          <w:rtl/>
        </w:rPr>
        <w:t>כ</w:t>
      </w:r>
      <w:r>
        <w:rPr>
          <w:rFonts w:cs="David" w:hint="cs"/>
          <w:sz w:val="28"/>
          <w:szCs w:val="28"/>
          <w:rtl/>
        </w:rPr>
        <w:t xml:space="preserve">תולדה של </w:t>
      </w:r>
      <w:r w:rsidR="00A20A51">
        <w:rPr>
          <w:rFonts w:cs="David" w:hint="cs"/>
          <w:sz w:val="28"/>
          <w:szCs w:val="28"/>
          <w:rtl/>
        </w:rPr>
        <w:t>ה</w:t>
      </w:r>
      <w:r>
        <w:rPr>
          <w:rFonts w:cs="David" w:hint="cs"/>
          <w:sz w:val="28"/>
          <w:szCs w:val="28"/>
          <w:rtl/>
        </w:rPr>
        <w:t>הכרה בשינויים שחלו במאפייני האלימות והטרור הגלובאלי, לפיהם ארגוני הטרור אינם פועלים עוד רק כגופים עם מדרג ברור שמעביר הנחיות ממפקדים לפקודים, אלא לעיתים מבוצעים מעשי טרור על ידי חוליות או בודדים, שאין בהכרח קשר ארגוני סדור בינ</w:t>
      </w:r>
      <w:r w:rsidR="00420F7A">
        <w:rPr>
          <w:rFonts w:cs="David" w:hint="cs"/>
          <w:sz w:val="28"/>
          <w:szCs w:val="28"/>
          <w:rtl/>
        </w:rPr>
        <w:t>י</w:t>
      </w:r>
      <w:r>
        <w:rPr>
          <w:rFonts w:cs="David" w:hint="cs"/>
          <w:sz w:val="28"/>
          <w:szCs w:val="28"/>
          <w:rtl/>
        </w:rPr>
        <w:t>הם ובין מפקדי הארגון, אלא פועלים רק בהשראתו של ה</w:t>
      </w:r>
      <w:r w:rsidR="00420F7A">
        <w:rPr>
          <w:rFonts w:cs="David" w:hint="cs"/>
          <w:sz w:val="28"/>
          <w:szCs w:val="28"/>
          <w:rtl/>
        </w:rPr>
        <w:t>א</w:t>
      </w:r>
      <w:r>
        <w:rPr>
          <w:rFonts w:cs="David" w:hint="cs"/>
          <w:sz w:val="28"/>
          <w:szCs w:val="28"/>
          <w:rtl/>
        </w:rPr>
        <w:t>רגון או של המנהי</w:t>
      </w:r>
      <w:r w:rsidR="00420F7A">
        <w:rPr>
          <w:rFonts w:cs="David" w:hint="cs"/>
          <w:sz w:val="28"/>
          <w:szCs w:val="28"/>
          <w:rtl/>
        </w:rPr>
        <w:t>ג.</w:t>
      </w:r>
      <w:r w:rsidR="0039455A">
        <w:rPr>
          <w:rStyle w:val="a5"/>
          <w:rFonts w:cs="David"/>
          <w:sz w:val="28"/>
          <w:szCs w:val="28"/>
          <w:rtl/>
        </w:rPr>
        <w:footnoteReference w:id="104"/>
      </w:r>
    </w:p>
    <w:p w:rsidR="003F4F85" w:rsidRDefault="00AF0221" w:rsidP="000F3150">
      <w:pPr>
        <w:spacing w:line="360" w:lineRule="auto"/>
        <w:jc w:val="both"/>
        <w:rPr>
          <w:rFonts w:cs="David"/>
          <w:sz w:val="28"/>
          <w:szCs w:val="28"/>
          <w:rtl/>
        </w:rPr>
      </w:pPr>
      <w:r w:rsidRPr="00316F3F">
        <w:rPr>
          <w:rFonts w:cs="David" w:hint="cs"/>
          <w:b/>
          <w:bCs/>
          <w:sz w:val="28"/>
          <w:szCs w:val="28"/>
          <w:rtl/>
        </w:rPr>
        <w:t>מאז 2002 ועד היום (201</w:t>
      </w:r>
      <w:r w:rsidR="000F3150">
        <w:rPr>
          <w:rFonts w:cs="David" w:hint="cs"/>
          <w:b/>
          <w:bCs/>
          <w:sz w:val="28"/>
          <w:szCs w:val="28"/>
          <w:rtl/>
        </w:rPr>
        <w:t>7</w:t>
      </w:r>
      <w:r w:rsidRPr="00316F3F">
        <w:rPr>
          <w:rFonts w:cs="David" w:hint="cs"/>
          <w:b/>
          <w:bCs/>
          <w:sz w:val="28"/>
          <w:szCs w:val="28"/>
          <w:rtl/>
        </w:rPr>
        <w:t>)</w:t>
      </w:r>
      <w:r>
        <w:rPr>
          <w:rFonts w:cs="David" w:hint="cs"/>
          <w:sz w:val="28"/>
          <w:szCs w:val="28"/>
          <w:rtl/>
        </w:rPr>
        <w:t xml:space="preserve"> נותר הסעיף ללא שינוי</w:t>
      </w:r>
      <w:r w:rsidR="00DA1263">
        <w:rPr>
          <w:rFonts w:cs="David" w:hint="cs"/>
          <w:sz w:val="28"/>
          <w:szCs w:val="28"/>
          <w:rtl/>
        </w:rPr>
        <w:t>,</w:t>
      </w:r>
      <w:r>
        <w:rPr>
          <w:rFonts w:cs="David" w:hint="cs"/>
          <w:sz w:val="28"/>
          <w:szCs w:val="28"/>
          <w:rtl/>
        </w:rPr>
        <w:t xml:space="preserve"> </w:t>
      </w:r>
      <w:r w:rsidR="00DA1263">
        <w:rPr>
          <w:rFonts w:cs="David" w:hint="cs"/>
          <w:sz w:val="28"/>
          <w:szCs w:val="28"/>
          <w:rtl/>
        </w:rPr>
        <w:t>ולמעשה השינוי היחיד</w:t>
      </w:r>
      <w:r w:rsidR="008E48DE">
        <w:rPr>
          <w:rFonts w:cs="David" w:hint="cs"/>
          <w:sz w:val="28"/>
          <w:szCs w:val="28"/>
          <w:rtl/>
        </w:rPr>
        <w:t>י</w:t>
      </w:r>
      <w:r w:rsidR="00DA1263">
        <w:rPr>
          <w:rFonts w:cs="David" w:hint="cs"/>
          <w:sz w:val="28"/>
          <w:szCs w:val="28"/>
          <w:rtl/>
        </w:rPr>
        <w:t xml:space="preserve"> שבוצע הינו בכותרתו "הסתה לאלימות או לטרור"</w:t>
      </w:r>
      <w:r w:rsidR="00F00763">
        <w:rPr>
          <w:rFonts w:cs="David" w:hint="cs"/>
          <w:sz w:val="28"/>
          <w:szCs w:val="28"/>
          <w:rtl/>
        </w:rPr>
        <w:t>.</w:t>
      </w:r>
      <w:r w:rsidR="00DA1263">
        <w:rPr>
          <w:rFonts w:cs="David" w:hint="cs"/>
          <w:sz w:val="28"/>
          <w:szCs w:val="28"/>
          <w:rtl/>
        </w:rPr>
        <w:t xml:space="preserve"> זאת</w:t>
      </w:r>
      <w:r w:rsidR="00F00763">
        <w:rPr>
          <w:rFonts w:cs="David" w:hint="cs"/>
          <w:sz w:val="28"/>
          <w:szCs w:val="28"/>
          <w:rtl/>
        </w:rPr>
        <w:t>,</w:t>
      </w:r>
      <w:r w:rsidR="00DA1263">
        <w:rPr>
          <w:rFonts w:cs="David" w:hint="cs"/>
          <w:sz w:val="28"/>
          <w:szCs w:val="28"/>
          <w:rtl/>
        </w:rPr>
        <w:t xml:space="preserve"> בעקבות חקיקתו של חוק הטרור החדש</w:t>
      </w:r>
      <w:r w:rsidR="00E75F3F">
        <w:rPr>
          <w:rStyle w:val="a5"/>
          <w:rFonts w:cs="David"/>
          <w:sz w:val="28"/>
          <w:szCs w:val="28"/>
          <w:rtl/>
        </w:rPr>
        <w:footnoteReference w:id="105"/>
      </w:r>
      <w:r w:rsidR="00DA1263">
        <w:rPr>
          <w:rFonts w:cs="David" w:hint="cs"/>
          <w:sz w:val="28"/>
          <w:szCs w:val="28"/>
          <w:rtl/>
        </w:rPr>
        <w:t xml:space="preserve"> והוצאת</w:t>
      </w:r>
      <w:r w:rsidR="008E48DE">
        <w:rPr>
          <w:rFonts w:cs="David" w:hint="cs"/>
          <w:sz w:val="28"/>
          <w:szCs w:val="28"/>
          <w:rtl/>
        </w:rPr>
        <w:t xml:space="preserve"> החלק הדן בטרור בחוק ייחודי לו. לפי</w:t>
      </w:r>
      <w:r w:rsidR="00DA1263">
        <w:rPr>
          <w:rFonts w:cs="David" w:hint="cs"/>
          <w:sz w:val="28"/>
          <w:szCs w:val="28"/>
          <w:rtl/>
        </w:rPr>
        <w:t>כך</w:t>
      </w:r>
      <w:r w:rsidR="008E48DE">
        <w:rPr>
          <w:rFonts w:cs="David" w:hint="cs"/>
          <w:sz w:val="28"/>
          <w:szCs w:val="28"/>
          <w:rtl/>
        </w:rPr>
        <w:t xml:space="preserve">, </w:t>
      </w:r>
      <w:r w:rsidR="00DA1263">
        <w:rPr>
          <w:rFonts w:cs="David" w:hint="cs"/>
          <w:sz w:val="28"/>
          <w:szCs w:val="28"/>
          <w:rtl/>
        </w:rPr>
        <w:t xml:space="preserve"> הכותרת שנותרה </w:t>
      </w:r>
      <w:r w:rsidR="008E48DE">
        <w:rPr>
          <w:rFonts w:cs="David" w:hint="cs"/>
          <w:sz w:val="28"/>
          <w:szCs w:val="28"/>
          <w:rtl/>
        </w:rPr>
        <w:t xml:space="preserve">לסעיף </w:t>
      </w:r>
      <w:r w:rsidR="00DA1263">
        <w:rPr>
          <w:rFonts w:cs="David" w:hint="cs"/>
          <w:sz w:val="28"/>
          <w:szCs w:val="28"/>
          <w:rtl/>
        </w:rPr>
        <w:t xml:space="preserve">הינה </w:t>
      </w:r>
      <w:r w:rsidR="00AD38C7">
        <w:rPr>
          <w:rFonts w:cs="David" w:hint="cs"/>
          <w:sz w:val="28"/>
          <w:szCs w:val="28"/>
          <w:rtl/>
        </w:rPr>
        <w:t>"הסתה לאלימות"</w:t>
      </w:r>
      <w:r w:rsidR="00E75F3F">
        <w:rPr>
          <w:rFonts w:cs="David" w:hint="cs"/>
          <w:sz w:val="28"/>
          <w:szCs w:val="28"/>
          <w:rtl/>
        </w:rPr>
        <w:t xml:space="preserve"> בלבד (תיקון מספר 123).</w:t>
      </w:r>
    </w:p>
    <w:p w:rsidR="00E96F00" w:rsidRDefault="00121859" w:rsidP="00121859">
      <w:pPr>
        <w:spacing w:line="360" w:lineRule="auto"/>
        <w:jc w:val="both"/>
        <w:rPr>
          <w:rFonts w:cs="David"/>
          <w:sz w:val="28"/>
          <w:szCs w:val="28"/>
          <w:rtl/>
        </w:rPr>
      </w:pPr>
      <w:r>
        <w:rPr>
          <w:rFonts w:cs="David" w:hint="cs"/>
          <w:sz w:val="28"/>
          <w:szCs w:val="28"/>
          <w:rtl/>
        </w:rPr>
        <w:t xml:space="preserve">הסעיף </w:t>
      </w:r>
      <w:r w:rsidR="00CD2731">
        <w:rPr>
          <w:rFonts w:cs="David" w:hint="cs"/>
          <w:sz w:val="28"/>
          <w:szCs w:val="28"/>
          <w:rtl/>
        </w:rPr>
        <w:t xml:space="preserve"> </w:t>
      </w:r>
      <w:r w:rsidR="002D42DB">
        <w:rPr>
          <w:rFonts w:cs="David" w:hint="cs"/>
          <w:sz w:val="28"/>
          <w:szCs w:val="28"/>
          <w:rtl/>
        </w:rPr>
        <w:t xml:space="preserve">חוקק כדי לתת </w:t>
      </w:r>
      <w:r w:rsidR="00CD2731">
        <w:rPr>
          <w:rFonts w:cs="David" w:hint="cs"/>
          <w:sz w:val="28"/>
          <w:szCs w:val="28"/>
          <w:rtl/>
        </w:rPr>
        <w:t>מענה לגל ה</w:t>
      </w:r>
      <w:r w:rsidR="002D42DB">
        <w:rPr>
          <w:rFonts w:cs="David" w:hint="cs"/>
          <w:sz w:val="28"/>
          <w:szCs w:val="28"/>
          <w:rtl/>
        </w:rPr>
        <w:t>הסתה ל</w:t>
      </w:r>
      <w:r w:rsidR="00CD2731">
        <w:rPr>
          <w:rFonts w:cs="David" w:hint="cs"/>
          <w:sz w:val="28"/>
          <w:szCs w:val="28"/>
          <w:rtl/>
        </w:rPr>
        <w:t>אלימות ששטף את המדינה בתחילת שנות האינתיפאדה השנייה ובא למלא חלל, שנוצר בעקבות השינויים במאפייני האלימות והטרור, שלא ניתן לו מענה בסעיף הרלוונטי בפקודה למניעת טרור</w:t>
      </w:r>
      <w:r w:rsidR="00280047">
        <w:rPr>
          <w:rFonts w:cs="David" w:hint="cs"/>
          <w:sz w:val="28"/>
          <w:szCs w:val="28"/>
          <w:rtl/>
        </w:rPr>
        <w:t>,</w:t>
      </w:r>
      <w:r w:rsidR="00CD2731">
        <w:rPr>
          <w:rFonts w:cs="David" w:hint="cs"/>
          <w:sz w:val="28"/>
          <w:szCs w:val="28"/>
          <w:rtl/>
        </w:rPr>
        <w:t xml:space="preserve"> </w:t>
      </w:r>
      <w:r w:rsidR="00280047">
        <w:rPr>
          <w:rFonts w:cs="David" w:hint="cs"/>
          <w:sz w:val="28"/>
          <w:szCs w:val="28"/>
          <w:rtl/>
        </w:rPr>
        <w:t xml:space="preserve">אשר </w:t>
      </w:r>
      <w:r w:rsidR="00CD2731">
        <w:rPr>
          <w:rFonts w:cs="David" w:hint="cs"/>
          <w:sz w:val="28"/>
          <w:szCs w:val="28"/>
          <w:rtl/>
        </w:rPr>
        <w:t xml:space="preserve">היה בתוקף </w:t>
      </w:r>
      <w:r w:rsidR="002D42DB">
        <w:rPr>
          <w:rFonts w:cs="David" w:hint="cs"/>
          <w:sz w:val="28"/>
          <w:szCs w:val="28"/>
          <w:rtl/>
        </w:rPr>
        <w:t xml:space="preserve">עד </w:t>
      </w:r>
      <w:r w:rsidR="00CD2731">
        <w:rPr>
          <w:rFonts w:cs="David" w:hint="cs"/>
          <w:sz w:val="28"/>
          <w:szCs w:val="28"/>
          <w:rtl/>
        </w:rPr>
        <w:t>לחקיקת סעיף עבירת ההסתה לאלימות</w:t>
      </w:r>
      <w:r w:rsidR="006B2170">
        <w:rPr>
          <w:rFonts w:cs="David" w:hint="cs"/>
          <w:sz w:val="28"/>
          <w:szCs w:val="28"/>
          <w:rtl/>
        </w:rPr>
        <w:t xml:space="preserve"> בתצורתו הנוכחית</w:t>
      </w:r>
      <w:r w:rsidR="00CD2731">
        <w:rPr>
          <w:rFonts w:cs="David" w:hint="cs"/>
          <w:sz w:val="28"/>
          <w:szCs w:val="28"/>
          <w:rtl/>
        </w:rPr>
        <w:t>.</w:t>
      </w:r>
    </w:p>
    <w:p w:rsidR="00FE2E1C" w:rsidRDefault="00512C97" w:rsidP="00F119A4">
      <w:pPr>
        <w:spacing w:line="360" w:lineRule="auto"/>
        <w:jc w:val="both"/>
        <w:rPr>
          <w:rFonts w:cs="David"/>
          <w:b/>
          <w:bCs/>
          <w:sz w:val="32"/>
          <w:szCs w:val="32"/>
          <w:rtl/>
        </w:rPr>
      </w:pPr>
      <w:r>
        <w:rPr>
          <w:rFonts w:cs="David" w:hint="cs"/>
          <w:b/>
          <w:bCs/>
          <w:sz w:val="32"/>
          <w:szCs w:val="32"/>
          <w:rtl/>
        </w:rPr>
        <w:t>ד</w:t>
      </w:r>
      <w:r w:rsidR="00FE2E1C">
        <w:rPr>
          <w:rFonts w:cs="David" w:hint="cs"/>
          <w:b/>
          <w:bCs/>
          <w:sz w:val="32"/>
          <w:szCs w:val="32"/>
          <w:rtl/>
        </w:rPr>
        <w:t xml:space="preserve">. </w:t>
      </w:r>
      <w:r w:rsidR="008D47C7">
        <w:rPr>
          <w:rFonts w:cs="David" w:hint="cs"/>
          <w:b/>
          <w:bCs/>
          <w:sz w:val="32"/>
          <w:szCs w:val="32"/>
          <w:rtl/>
        </w:rPr>
        <w:t xml:space="preserve">יסודות </w:t>
      </w:r>
      <w:r w:rsidR="00FE2E1C" w:rsidRPr="00821E1D">
        <w:rPr>
          <w:rFonts w:cs="David" w:hint="cs"/>
          <w:b/>
          <w:bCs/>
          <w:sz w:val="32"/>
          <w:szCs w:val="32"/>
          <w:rtl/>
        </w:rPr>
        <w:t xml:space="preserve">עבירות </w:t>
      </w:r>
      <w:r w:rsidR="00FE2E1C">
        <w:rPr>
          <w:rFonts w:cs="David" w:hint="cs"/>
          <w:b/>
          <w:bCs/>
          <w:sz w:val="32"/>
          <w:szCs w:val="32"/>
          <w:rtl/>
        </w:rPr>
        <w:t>ה</w:t>
      </w:r>
      <w:r w:rsidR="00FE2E1C" w:rsidRPr="00821E1D">
        <w:rPr>
          <w:rFonts w:cs="David" w:hint="cs"/>
          <w:b/>
          <w:bCs/>
          <w:sz w:val="32"/>
          <w:szCs w:val="32"/>
          <w:rtl/>
        </w:rPr>
        <w:t>הסתה לגזענות ולאלימות</w:t>
      </w:r>
    </w:p>
    <w:p w:rsidR="00DF5E68" w:rsidRPr="00D13137" w:rsidRDefault="00DF5E68" w:rsidP="006B60F5">
      <w:pPr>
        <w:spacing w:line="360" w:lineRule="auto"/>
        <w:jc w:val="both"/>
        <w:rPr>
          <w:rFonts w:cs="David"/>
          <w:sz w:val="28"/>
          <w:szCs w:val="28"/>
          <w:rtl/>
        </w:rPr>
      </w:pPr>
      <w:r>
        <w:rPr>
          <w:rFonts w:cs="David" w:hint="cs"/>
          <w:sz w:val="28"/>
          <w:szCs w:val="28"/>
          <w:rtl/>
        </w:rPr>
        <w:t xml:space="preserve">לאחר שנבחנה התפתחות החקיקה, יבחן </w:t>
      </w:r>
      <w:r w:rsidR="00F93A7F">
        <w:rPr>
          <w:rFonts w:cs="David" w:hint="cs"/>
          <w:sz w:val="28"/>
          <w:szCs w:val="28"/>
          <w:rtl/>
        </w:rPr>
        <w:t>ה</w:t>
      </w:r>
      <w:r w:rsidR="000E6B7F">
        <w:rPr>
          <w:rFonts w:cs="David" w:hint="cs"/>
          <w:sz w:val="28"/>
          <w:szCs w:val="28"/>
          <w:rtl/>
        </w:rPr>
        <w:t>סעיף</w:t>
      </w:r>
      <w:r>
        <w:rPr>
          <w:rFonts w:cs="David" w:hint="cs"/>
          <w:sz w:val="28"/>
          <w:szCs w:val="28"/>
          <w:rtl/>
        </w:rPr>
        <w:t xml:space="preserve"> </w:t>
      </w:r>
      <w:r w:rsidR="00F93A7F">
        <w:rPr>
          <w:rFonts w:cs="David" w:hint="cs"/>
          <w:sz w:val="28"/>
          <w:szCs w:val="28"/>
          <w:rtl/>
        </w:rPr>
        <w:t>הבא</w:t>
      </w:r>
      <w:r>
        <w:rPr>
          <w:rFonts w:cs="David" w:hint="cs"/>
          <w:sz w:val="28"/>
          <w:szCs w:val="28"/>
          <w:rtl/>
        </w:rPr>
        <w:t xml:space="preserve"> את </w:t>
      </w:r>
      <w:r w:rsidR="00CC5825">
        <w:rPr>
          <w:rFonts w:cs="David" w:hint="cs"/>
          <w:sz w:val="28"/>
          <w:szCs w:val="28"/>
          <w:rtl/>
        </w:rPr>
        <w:t>הפרשנות שניתנה בפסיקה ובספרות המשפטית ל</w:t>
      </w:r>
      <w:r>
        <w:rPr>
          <w:rFonts w:cs="David" w:hint="cs"/>
          <w:sz w:val="28"/>
          <w:szCs w:val="28"/>
          <w:rtl/>
        </w:rPr>
        <w:t>יסודו</w:t>
      </w:r>
      <w:r w:rsidR="00CC5825">
        <w:rPr>
          <w:rFonts w:cs="David" w:hint="cs"/>
          <w:sz w:val="28"/>
          <w:szCs w:val="28"/>
          <w:rtl/>
        </w:rPr>
        <w:t xml:space="preserve">ת עבירות ההסתה לגזענות ולאלימות, </w:t>
      </w:r>
      <w:r w:rsidR="00CC5825" w:rsidRPr="00D13137">
        <w:rPr>
          <w:rFonts w:cs="David" w:hint="cs"/>
          <w:sz w:val="28"/>
          <w:szCs w:val="28"/>
          <w:rtl/>
        </w:rPr>
        <w:t xml:space="preserve">כדי לשקף את המורכבות הרבה </w:t>
      </w:r>
      <w:r w:rsidR="00D727AF" w:rsidRPr="00D13137">
        <w:rPr>
          <w:rFonts w:cs="David" w:hint="cs"/>
          <w:sz w:val="28"/>
          <w:szCs w:val="28"/>
          <w:rtl/>
        </w:rPr>
        <w:t>והרף הגבוה</w:t>
      </w:r>
      <w:r w:rsidR="00F93A7F" w:rsidRPr="00D13137">
        <w:rPr>
          <w:rFonts w:cs="David" w:hint="cs"/>
          <w:sz w:val="28"/>
          <w:szCs w:val="28"/>
          <w:rtl/>
        </w:rPr>
        <w:t xml:space="preserve"> הנדרש</w:t>
      </w:r>
      <w:r w:rsidR="00D727AF" w:rsidRPr="00D13137">
        <w:rPr>
          <w:rFonts w:cs="David" w:hint="cs"/>
          <w:sz w:val="28"/>
          <w:szCs w:val="28"/>
          <w:rtl/>
        </w:rPr>
        <w:t xml:space="preserve"> ל</w:t>
      </w:r>
      <w:r w:rsidR="00AC7547" w:rsidRPr="00D13137">
        <w:rPr>
          <w:rFonts w:cs="David" w:hint="cs"/>
          <w:sz w:val="28"/>
          <w:szCs w:val="28"/>
          <w:rtl/>
        </w:rPr>
        <w:t>הכנסת מקרים ה</w:t>
      </w:r>
      <w:r w:rsidR="00F93A7F" w:rsidRPr="00D13137">
        <w:rPr>
          <w:rFonts w:cs="David" w:hint="cs"/>
          <w:sz w:val="28"/>
          <w:szCs w:val="28"/>
          <w:rtl/>
        </w:rPr>
        <w:t xml:space="preserve">נחשדים </w:t>
      </w:r>
      <w:r w:rsidR="00AC7547" w:rsidRPr="00D13137">
        <w:rPr>
          <w:rFonts w:cs="David" w:hint="cs"/>
          <w:sz w:val="28"/>
          <w:szCs w:val="28"/>
          <w:rtl/>
        </w:rPr>
        <w:t>כמקרי הסתה לגזענות ולאלימות</w:t>
      </w:r>
      <w:r w:rsidR="00F618F7" w:rsidRPr="00D13137">
        <w:rPr>
          <w:rFonts w:cs="David" w:hint="cs"/>
          <w:sz w:val="28"/>
          <w:szCs w:val="28"/>
          <w:rtl/>
        </w:rPr>
        <w:t>,</w:t>
      </w:r>
      <w:r w:rsidR="00AC7547" w:rsidRPr="00D13137">
        <w:rPr>
          <w:rFonts w:cs="David" w:hint="cs"/>
          <w:sz w:val="28"/>
          <w:szCs w:val="28"/>
          <w:rtl/>
        </w:rPr>
        <w:t xml:space="preserve"> לתוך מסגרת החוק ולעמידה ביסוד העובדתי והנפשי בכל אחת מהעבירות הללו.</w:t>
      </w:r>
    </w:p>
    <w:p w:rsidR="008878B6" w:rsidRDefault="00A25504" w:rsidP="0012706D">
      <w:pPr>
        <w:spacing w:line="360" w:lineRule="auto"/>
        <w:jc w:val="both"/>
        <w:rPr>
          <w:rFonts w:cs="David"/>
          <w:sz w:val="28"/>
          <w:szCs w:val="28"/>
          <w:rtl/>
        </w:rPr>
      </w:pPr>
      <w:r w:rsidRPr="00EF4B4B">
        <w:rPr>
          <w:rFonts w:cs="David" w:hint="cs"/>
          <w:sz w:val="28"/>
          <w:szCs w:val="28"/>
          <w:rtl/>
        </w:rPr>
        <w:lastRenderedPageBreak/>
        <w:t xml:space="preserve">דיון ראשון מקיף ביסודות העבירה של הסתה לגזענות נערך </w:t>
      </w:r>
      <w:r w:rsidRPr="0012706D">
        <w:rPr>
          <w:rFonts w:cs="David" w:hint="cs"/>
          <w:sz w:val="28"/>
          <w:szCs w:val="28"/>
          <w:rtl/>
        </w:rPr>
        <w:t>בעניין</w:t>
      </w:r>
      <w:r w:rsidRPr="00EF4B4B">
        <w:rPr>
          <w:rFonts w:cs="David" w:hint="cs"/>
          <w:b/>
          <w:bCs/>
          <w:sz w:val="28"/>
          <w:szCs w:val="28"/>
          <w:rtl/>
        </w:rPr>
        <w:t xml:space="preserve"> אלבה</w:t>
      </w:r>
      <w:r w:rsidRPr="00EF4B4B">
        <w:rPr>
          <w:rFonts w:cs="David" w:hint="cs"/>
          <w:sz w:val="28"/>
          <w:szCs w:val="28"/>
          <w:rtl/>
        </w:rPr>
        <w:t>. זהו פסק הדין המנחה והחשוב ביותר לעניין עבירת ההסתה לגזענות.</w:t>
      </w:r>
      <w:r>
        <w:rPr>
          <w:rFonts w:cs="David" w:hint="cs"/>
          <w:sz w:val="28"/>
          <w:szCs w:val="28"/>
          <w:rtl/>
        </w:rPr>
        <w:t xml:space="preserve"> </w:t>
      </w:r>
      <w:r w:rsidR="008D47C7" w:rsidRPr="002033F8">
        <w:rPr>
          <w:rFonts w:cs="David" w:hint="cs"/>
          <w:sz w:val="28"/>
          <w:szCs w:val="28"/>
          <w:rtl/>
        </w:rPr>
        <w:t xml:space="preserve">בפסק </w:t>
      </w:r>
      <w:r w:rsidR="009B548C">
        <w:rPr>
          <w:rFonts w:cs="David" w:hint="cs"/>
          <w:sz w:val="28"/>
          <w:szCs w:val="28"/>
          <w:rtl/>
        </w:rPr>
        <w:t>ה</w:t>
      </w:r>
      <w:r w:rsidR="008D47C7" w:rsidRPr="002033F8">
        <w:rPr>
          <w:rFonts w:cs="David" w:hint="cs"/>
          <w:sz w:val="28"/>
          <w:szCs w:val="28"/>
          <w:rtl/>
        </w:rPr>
        <w:t>די</w:t>
      </w:r>
      <w:r w:rsidR="009B548C">
        <w:rPr>
          <w:rFonts w:cs="David" w:hint="cs"/>
          <w:sz w:val="28"/>
          <w:szCs w:val="28"/>
          <w:rtl/>
        </w:rPr>
        <w:t>ן</w:t>
      </w:r>
      <w:r w:rsidR="008D47C7" w:rsidRPr="002033F8">
        <w:rPr>
          <w:rFonts w:cs="David" w:hint="cs"/>
          <w:sz w:val="28"/>
          <w:szCs w:val="28"/>
          <w:rtl/>
        </w:rPr>
        <w:t xml:space="preserve"> </w:t>
      </w:r>
      <w:r w:rsidR="009B548C">
        <w:rPr>
          <w:rFonts w:cs="David" w:hint="cs"/>
          <w:sz w:val="28"/>
          <w:szCs w:val="28"/>
          <w:rtl/>
        </w:rPr>
        <w:t xml:space="preserve">טען </w:t>
      </w:r>
      <w:r w:rsidR="0077264A">
        <w:rPr>
          <w:rFonts w:cs="David" w:hint="cs"/>
          <w:sz w:val="28"/>
          <w:szCs w:val="28"/>
          <w:rtl/>
        </w:rPr>
        <w:t>כבוד השופט</w:t>
      </w:r>
      <w:r w:rsidR="009B548C">
        <w:rPr>
          <w:rFonts w:cs="David" w:hint="cs"/>
          <w:sz w:val="28"/>
          <w:szCs w:val="28"/>
          <w:rtl/>
        </w:rPr>
        <w:t xml:space="preserve"> מצא</w:t>
      </w:r>
      <w:r w:rsidR="008D47C7" w:rsidRPr="002033F8">
        <w:rPr>
          <w:rFonts w:cs="David" w:hint="cs"/>
          <w:sz w:val="28"/>
          <w:szCs w:val="28"/>
          <w:rtl/>
        </w:rPr>
        <w:t xml:space="preserve">, כי </w:t>
      </w:r>
      <w:r w:rsidR="00C6135D" w:rsidRPr="002033F8">
        <w:rPr>
          <w:rFonts w:cs="David" w:hint="cs"/>
          <w:sz w:val="28"/>
          <w:szCs w:val="28"/>
          <w:rtl/>
        </w:rPr>
        <w:t>העיון בכלל הוראותיו של סימן א'1, שהוסף כאמור בתשמ"ו-1986</w:t>
      </w:r>
      <w:r w:rsidR="009C2FB7" w:rsidRPr="002033F8">
        <w:rPr>
          <w:rFonts w:cs="David" w:hint="cs"/>
          <w:sz w:val="28"/>
          <w:szCs w:val="28"/>
          <w:rtl/>
        </w:rPr>
        <w:t xml:space="preserve"> ושבגדרו נתחדש האיסור הפלילי על פרסום הסתה לגזענות, מעיד כי בקביעת מסגרת האיסורים הפליליים על ביטויי גזענות </w:t>
      </w:r>
      <w:r w:rsidR="009C2FB7" w:rsidRPr="002033F8">
        <w:rPr>
          <w:rFonts w:cs="David" w:hint="cs"/>
          <w:b/>
          <w:bCs/>
          <w:sz w:val="28"/>
          <w:szCs w:val="28"/>
          <w:rtl/>
        </w:rPr>
        <w:t>נקט המחוקק אמת מידה מצמצמת</w:t>
      </w:r>
      <w:r w:rsidR="009C2FB7" w:rsidRPr="002033F8">
        <w:rPr>
          <w:rFonts w:cs="David" w:hint="cs"/>
          <w:sz w:val="28"/>
          <w:szCs w:val="28"/>
          <w:rtl/>
        </w:rPr>
        <w:t xml:space="preserve">. </w:t>
      </w:r>
    </w:p>
    <w:p w:rsidR="00BD617E" w:rsidRPr="002033F8" w:rsidRDefault="009C2FB7" w:rsidP="0012706D">
      <w:pPr>
        <w:spacing w:line="360" w:lineRule="auto"/>
        <w:jc w:val="both"/>
        <w:rPr>
          <w:rFonts w:cs="David"/>
          <w:sz w:val="28"/>
          <w:szCs w:val="28"/>
          <w:rtl/>
        </w:rPr>
      </w:pPr>
      <w:r w:rsidRPr="002033F8">
        <w:rPr>
          <w:rFonts w:cs="David" w:hint="cs"/>
          <w:sz w:val="28"/>
          <w:szCs w:val="28"/>
          <w:rtl/>
        </w:rPr>
        <w:t xml:space="preserve">מוסיף </w:t>
      </w:r>
      <w:r w:rsidR="0077264A">
        <w:rPr>
          <w:rFonts w:cs="David" w:hint="cs"/>
          <w:sz w:val="28"/>
          <w:szCs w:val="28"/>
          <w:rtl/>
        </w:rPr>
        <w:t>כבוד השופט</w:t>
      </w:r>
      <w:r w:rsidRPr="002033F8">
        <w:rPr>
          <w:rFonts w:cs="David" w:hint="cs"/>
          <w:sz w:val="28"/>
          <w:szCs w:val="28"/>
          <w:rtl/>
        </w:rPr>
        <w:t xml:space="preserve"> ומציין, כי אמנם מדינת ישראל הצטרפה לאמנה הבינלאומית משנת 1965 (שהוזכרה לעיל), אך המחוקק </w:t>
      </w:r>
      <w:r w:rsidR="003A55B8" w:rsidRPr="002033F8">
        <w:rPr>
          <w:rFonts w:cs="David" w:hint="cs"/>
          <w:sz w:val="28"/>
          <w:szCs w:val="28"/>
          <w:rtl/>
        </w:rPr>
        <w:t xml:space="preserve">בחר </w:t>
      </w:r>
      <w:r w:rsidRPr="002033F8">
        <w:rPr>
          <w:rFonts w:cs="David" w:hint="cs"/>
          <w:sz w:val="28"/>
          <w:szCs w:val="28"/>
          <w:rtl/>
        </w:rPr>
        <w:t xml:space="preserve">להסתפק בחקיקה עונשית </w:t>
      </w:r>
      <w:r w:rsidRPr="00292310">
        <w:rPr>
          <w:rFonts w:cs="David" w:hint="cs"/>
          <w:b/>
          <w:bCs/>
          <w:sz w:val="28"/>
          <w:szCs w:val="28"/>
          <w:rtl/>
        </w:rPr>
        <w:t>שהיקפה מוגבל</w:t>
      </w:r>
      <w:r w:rsidRPr="002033F8">
        <w:rPr>
          <w:rFonts w:cs="David" w:hint="cs"/>
          <w:sz w:val="28"/>
          <w:szCs w:val="28"/>
          <w:rtl/>
        </w:rPr>
        <w:t xml:space="preserve"> וכך, נמנע המחוקק, למשל, מלקבוע כי גזענות תהווה כש</w:t>
      </w:r>
      <w:r w:rsidR="00DF6CFE" w:rsidRPr="002033F8">
        <w:rPr>
          <w:rFonts w:cs="David" w:hint="cs"/>
          <w:sz w:val="28"/>
          <w:szCs w:val="28"/>
          <w:rtl/>
        </w:rPr>
        <w:t>ל</w:t>
      </w:r>
      <w:r w:rsidRPr="002033F8">
        <w:rPr>
          <w:rFonts w:cs="David" w:hint="cs"/>
          <w:sz w:val="28"/>
          <w:szCs w:val="28"/>
          <w:rtl/>
        </w:rPr>
        <w:t>עצ</w:t>
      </w:r>
      <w:r w:rsidR="00DF6CFE" w:rsidRPr="002033F8">
        <w:rPr>
          <w:rFonts w:cs="David" w:hint="cs"/>
          <w:sz w:val="28"/>
          <w:szCs w:val="28"/>
          <w:rtl/>
        </w:rPr>
        <w:t>מ</w:t>
      </w:r>
      <w:r w:rsidRPr="002033F8">
        <w:rPr>
          <w:rFonts w:cs="David" w:hint="cs"/>
          <w:sz w:val="28"/>
          <w:szCs w:val="28"/>
          <w:rtl/>
        </w:rPr>
        <w:t>ה עבירה פלילית</w:t>
      </w:r>
      <w:r w:rsidR="00AC55CC" w:rsidRPr="002033F8">
        <w:rPr>
          <w:rFonts w:cs="David" w:hint="cs"/>
          <w:sz w:val="28"/>
          <w:szCs w:val="28"/>
          <w:rtl/>
        </w:rPr>
        <w:t xml:space="preserve"> ו</w:t>
      </w:r>
      <w:r w:rsidR="00DF6CFE" w:rsidRPr="002033F8">
        <w:rPr>
          <w:rFonts w:cs="David" w:hint="cs"/>
          <w:sz w:val="28"/>
          <w:szCs w:val="28"/>
          <w:rtl/>
        </w:rPr>
        <w:t>הסתפק בהטלת איסור פלילי על פרסום הסתה לגזענות ועל החזקת פרסום גזעני.</w:t>
      </w:r>
      <w:r w:rsidR="009E54B1" w:rsidRPr="002033F8">
        <w:rPr>
          <w:rStyle w:val="a5"/>
          <w:rFonts w:cs="David"/>
          <w:sz w:val="28"/>
          <w:szCs w:val="28"/>
          <w:rtl/>
        </w:rPr>
        <w:footnoteReference w:id="106"/>
      </w:r>
      <w:r w:rsidR="00AC55CC" w:rsidRPr="002033F8">
        <w:rPr>
          <w:rFonts w:cs="David" w:hint="cs"/>
          <w:sz w:val="28"/>
          <w:szCs w:val="28"/>
          <w:rtl/>
        </w:rPr>
        <w:t xml:space="preserve"> </w:t>
      </w:r>
    </w:p>
    <w:p w:rsidR="000772D1" w:rsidRDefault="00AC55CC" w:rsidP="009B548C">
      <w:pPr>
        <w:spacing w:line="360" w:lineRule="auto"/>
        <w:jc w:val="both"/>
        <w:rPr>
          <w:rFonts w:cs="David"/>
          <w:sz w:val="28"/>
          <w:szCs w:val="28"/>
          <w:rtl/>
        </w:rPr>
      </w:pPr>
      <w:r w:rsidRPr="002033F8">
        <w:rPr>
          <w:rFonts w:cs="David" w:hint="cs"/>
          <w:sz w:val="28"/>
          <w:szCs w:val="28"/>
          <w:rtl/>
        </w:rPr>
        <w:t xml:space="preserve">גם מאוחר יותר, כאשר בשנת תשנ"ד-1994 הוסיף המחוקק את האיסור הפלילי </w:t>
      </w:r>
      <w:r w:rsidR="00BD617E" w:rsidRPr="002033F8">
        <w:rPr>
          <w:rFonts w:cs="David" w:hint="cs"/>
          <w:sz w:val="28"/>
          <w:szCs w:val="28"/>
          <w:rtl/>
        </w:rPr>
        <w:t xml:space="preserve">שבסעיף 144ד1, </w:t>
      </w:r>
      <w:r w:rsidRPr="002033F8">
        <w:rPr>
          <w:rFonts w:cs="David" w:hint="cs"/>
          <w:sz w:val="28"/>
          <w:szCs w:val="28"/>
          <w:rtl/>
        </w:rPr>
        <w:t xml:space="preserve">על </w:t>
      </w:r>
      <w:r w:rsidR="00BD617E" w:rsidRPr="002033F8">
        <w:rPr>
          <w:rFonts w:cs="David" w:hint="cs"/>
          <w:sz w:val="28"/>
          <w:szCs w:val="28"/>
          <w:rtl/>
        </w:rPr>
        <w:t>"</w:t>
      </w:r>
      <w:r w:rsidRPr="002033F8">
        <w:rPr>
          <w:rFonts w:cs="David" w:hint="cs"/>
          <w:sz w:val="28"/>
          <w:szCs w:val="28"/>
          <w:rtl/>
        </w:rPr>
        <w:t>מעשה גזענות</w:t>
      </w:r>
      <w:r w:rsidR="00BD617E" w:rsidRPr="002033F8">
        <w:rPr>
          <w:rFonts w:cs="David" w:hint="cs"/>
          <w:sz w:val="28"/>
          <w:szCs w:val="28"/>
          <w:rtl/>
        </w:rPr>
        <w:t>"</w:t>
      </w:r>
      <w:r w:rsidRPr="002033F8">
        <w:rPr>
          <w:rFonts w:cs="David" w:hint="cs"/>
          <w:sz w:val="28"/>
          <w:szCs w:val="28"/>
          <w:rtl/>
        </w:rPr>
        <w:t xml:space="preserve"> (תיקון מספר 40)</w:t>
      </w:r>
      <w:r w:rsidR="00BD617E" w:rsidRPr="002033F8">
        <w:rPr>
          <w:rFonts w:cs="David" w:hint="cs"/>
          <w:sz w:val="28"/>
          <w:szCs w:val="28"/>
          <w:rtl/>
        </w:rPr>
        <w:t>, אשר בוטל בשנת תשס"ה-2004 ותחתיו חוקק סעיף 144ו</w:t>
      </w:r>
      <w:r w:rsidR="00B85B78" w:rsidRPr="002033F8">
        <w:rPr>
          <w:rFonts w:cs="David" w:hint="cs"/>
          <w:sz w:val="28"/>
          <w:szCs w:val="28"/>
          <w:rtl/>
        </w:rPr>
        <w:t xml:space="preserve">, </w:t>
      </w:r>
      <w:r w:rsidRPr="002033F8">
        <w:rPr>
          <w:rFonts w:cs="David" w:hint="cs"/>
          <w:sz w:val="28"/>
          <w:szCs w:val="28"/>
          <w:rtl/>
        </w:rPr>
        <w:t xml:space="preserve">הסתכם פועלו </w:t>
      </w:r>
      <w:r w:rsidR="008878B6">
        <w:rPr>
          <w:rFonts w:cs="David" w:hint="cs"/>
          <w:sz w:val="28"/>
          <w:szCs w:val="28"/>
          <w:rtl/>
        </w:rPr>
        <w:t xml:space="preserve">רק </w:t>
      </w:r>
      <w:r w:rsidRPr="002033F8">
        <w:rPr>
          <w:rFonts w:cs="David" w:hint="cs"/>
          <w:sz w:val="28"/>
          <w:szCs w:val="28"/>
          <w:rtl/>
        </w:rPr>
        <w:t xml:space="preserve">בהחמרת הענישה למי שעבר עבירה "מתוך מניע של </w:t>
      </w:r>
      <w:r w:rsidR="00B85B78" w:rsidRPr="002033F8">
        <w:rPr>
          <w:rFonts w:cs="David" w:hint="cs"/>
          <w:sz w:val="28"/>
          <w:szCs w:val="28"/>
          <w:rtl/>
        </w:rPr>
        <w:t>גזענות".</w:t>
      </w:r>
      <w:r w:rsidR="00B85B78">
        <w:rPr>
          <w:rFonts w:cs="David" w:hint="cs"/>
          <w:sz w:val="28"/>
          <w:szCs w:val="28"/>
          <w:rtl/>
        </w:rPr>
        <w:t xml:space="preserve"> </w:t>
      </w:r>
    </w:p>
    <w:p w:rsidR="00A17E6E" w:rsidRDefault="006E2118" w:rsidP="002A3C74">
      <w:pPr>
        <w:spacing w:line="360" w:lineRule="auto"/>
        <w:jc w:val="both"/>
        <w:rPr>
          <w:rFonts w:cs="David"/>
          <w:b/>
          <w:bCs/>
          <w:sz w:val="28"/>
          <w:szCs w:val="28"/>
          <w:rtl/>
        </w:rPr>
      </w:pPr>
      <w:r w:rsidRPr="00292310">
        <w:rPr>
          <w:rFonts w:cs="David" w:hint="cs"/>
          <w:b/>
          <w:bCs/>
          <w:sz w:val="28"/>
          <w:szCs w:val="28"/>
          <w:rtl/>
        </w:rPr>
        <w:t xml:space="preserve">גישתו </w:t>
      </w:r>
      <w:r w:rsidR="008878B6" w:rsidRPr="00292310">
        <w:rPr>
          <w:rFonts w:cs="David" w:hint="cs"/>
          <w:b/>
          <w:bCs/>
          <w:sz w:val="28"/>
          <w:szCs w:val="28"/>
          <w:rtl/>
        </w:rPr>
        <w:t>המצמצמת</w:t>
      </w:r>
      <w:r>
        <w:rPr>
          <w:rFonts w:cs="David" w:hint="cs"/>
          <w:sz w:val="28"/>
          <w:szCs w:val="28"/>
          <w:rtl/>
        </w:rPr>
        <w:t xml:space="preserve"> של המחוקק באה לידי ביטוי גם </w:t>
      </w:r>
      <w:r w:rsidR="00A00494" w:rsidRPr="00A00494">
        <w:rPr>
          <w:rFonts w:cs="David" w:hint="cs"/>
          <w:sz w:val="28"/>
          <w:szCs w:val="28"/>
          <w:rtl/>
        </w:rPr>
        <w:t>בתיקון מתשס"</w:t>
      </w:r>
      <w:r w:rsidR="00A00494">
        <w:rPr>
          <w:rFonts w:cs="David" w:hint="cs"/>
          <w:sz w:val="28"/>
          <w:szCs w:val="28"/>
          <w:rtl/>
        </w:rPr>
        <w:t>ב-2002, עת הוסף סעיף "ההסתה לאלימות או לטרור"</w:t>
      </w:r>
      <w:r w:rsidR="00FA4EAB">
        <w:rPr>
          <w:rFonts w:cs="David" w:hint="cs"/>
          <w:sz w:val="28"/>
          <w:szCs w:val="28"/>
          <w:rtl/>
        </w:rPr>
        <w:t xml:space="preserve">, אז, כאמור, נקט המחוקק בדרך של פשרה בקביעתו מהו המבחן ההסתברותי הראוי </w:t>
      </w:r>
      <w:r w:rsidR="00A064C5">
        <w:rPr>
          <w:rFonts w:cs="David" w:hint="cs"/>
          <w:sz w:val="28"/>
          <w:szCs w:val="28"/>
          <w:rtl/>
        </w:rPr>
        <w:t>בסוגיה זו</w:t>
      </w:r>
      <w:r w:rsidR="00793286">
        <w:rPr>
          <w:rFonts w:cs="David" w:hint="cs"/>
          <w:sz w:val="28"/>
          <w:szCs w:val="28"/>
          <w:rtl/>
        </w:rPr>
        <w:t>,</w:t>
      </w:r>
      <w:r w:rsidR="00A064C5">
        <w:rPr>
          <w:rFonts w:cs="David" w:hint="cs"/>
          <w:sz w:val="28"/>
          <w:szCs w:val="28"/>
          <w:rtl/>
        </w:rPr>
        <w:t xml:space="preserve"> והעדיף שלא לבחור במבחן המרחיב של "אפשרות סבירה".</w:t>
      </w:r>
    </w:p>
    <w:p w:rsidR="00FE2E1C" w:rsidRPr="008B237B" w:rsidRDefault="00512C97" w:rsidP="00F119A4">
      <w:pPr>
        <w:spacing w:line="360" w:lineRule="auto"/>
        <w:jc w:val="both"/>
        <w:rPr>
          <w:rFonts w:cs="David"/>
          <w:b/>
          <w:bCs/>
          <w:sz w:val="28"/>
          <w:szCs w:val="28"/>
          <w:rtl/>
        </w:rPr>
      </w:pPr>
      <w:r>
        <w:rPr>
          <w:rFonts w:cs="David" w:hint="cs"/>
          <w:b/>
          <w:bCs/>
          <w:sz w:val="28"/>
          <w:szCs w:val="28"/>
          <w:rtl/>
        </w:rPr>
        <w:t>ד</w:t>
      </w:r>
      <w:r w:rsidR="00FE2E1C">
        <w:rPr>
          <w:rFonts w:cs="David" w:hint="cs"/>
          <w:b/>
          <w:bCs/>
          <w:sz w:val="28"/>
          <w:szCs w:val="28"/>
          <w:rtl/>
        </w:rPr>
        <w:t xml:space="preserve">.1 </w:t>
      </w:r>
      <w:r w:rsidR="00FE2E1C" w:rsidRPr="008B237B">
        <w:rPr>
          <w:rFonts w:cs="David" w:hint="cs"/>
          <w:b/>
          <w:bCs/>
          <w:sz w:val="28"/>
          <w:szCs w:val="28"/>
          <w:rtl/>
        </w:rPr>
        <w:t>יסודות עבירת ההסתה לגזענות</w:t>
      </w:r>
    </w:p>
    <w:p w:rsidR="008E2AAC" w:rsidRDefault="003828E2" w:rsidP="00A17E6E">
      <w:pPr>
        <w:spacing w:line="360" w:lineRule="auto"/>
        <w:jc w:val="both"/>
        <w:rPr>
          <w:rFonts w:cs="David"/>
          <w:sz w:val="28"/>
          <w:szCs w:val="28"/>
          <w:rtl/>
        </w:rPr>
      </w:pPr>
      <w:r>
        <w:rPr>
          <w:rFonts w:cs="David" w:hint="cs"/>
          <w:sz w:val="28"/>
          <w:szCs w:val="28"/>
          <w:rtl/>
        </w:rPr>
        <w:t xml:space="preserve">כמצוין לעיל, </w:t>
      </w:r>
      <w:r w:rsidR="00FE2E1C" w:rsidRPr="00EF4B4B">
        <w:rPr>
          <w:rFonts w:cs="David" w:hint="cs"/>
          <w:sz w:val="28"/>
          <w:szCs w:val="28"/>
          <w:rtl/>
        </w:rPr>
        <w:t xml:space="preserve">עבירת ההסתה לגזענות מעוגנת </w:t>
      </w:r>
      <w:r w:rsidR="009B3F4C">
        <w:rPr>
          <w:rFonts w:cs="David" w:hint="cs"/>
          <w:sz w:val="28"/>
          <w:szCs w:val="28"/>
          <w:rtl/>
        </w:rPr>
        <w:t xml:space="preserve">כיום </w:t>
      </w:r>
      <w:r w:rsidR="00FE2E1C" w:rsidRPr="00EF4B4B">
        <w:rPr>
          <w:rFonts w:cs="David" w:hint="cs"/>
          <w:sz w:val="28"/>
          <w:szCs w:val="28"/>
          <w:rtl/>
        </w:rPr>
        <w:t>בסעיף 144ב לחוק העונשין</w:t>
      </w:r>
      <w:r w:rsidR="00B41F93">
        <w:rPr>
          <w:rFonts w:cs="David" w:hint="cs"/>
          <w:sz w:val="28"/>
          <w:szCs w:val="28"/>
          <w:rtl/>
        </w:rPr>
        <w:t>.</w:t>
      </w:r>
      <w:r w:rsidR="00FE2E1C">
        <w:rPr>
          <w:rStyle w:val="a5"/>
          <w:rFonts w:cs="David"/>
          <w:sz w:val="28"/>
          <w:szCs w:val="28"/>
          <w:rtl/>
        </w:rPr>
        <w:footnoteReference w:id="107"/>
      </w:r>
    </w:p>
    <w:p w:rsidR="00FE2E1C" w:rsidRPr="00EF4B4B" w:rsidRDefault="005C7E48" w:rsidP="008E2AAC">
      <w:pPr>
        <w:spacing w:line="360" w:lineRule="auto"/>
        <w:jc w:val="both"/>
        <w:rPr>
          <w:rFonts w:cs="David"/>
          <w:sz w:val="28"/>
          <w:szCs w:val="28"/>
          <w:rtl/>
        </w:rPr>
      </w:pPr>
      <w:r>
        <w:rPr>
          <w:rFonts w:cs="David" w:hint="cs"/>
          <w:sz w:val="28"/>
          <w:szCs w:val="28"/>
          <w:rtl/>
        </w:rPr>
        <w:t xml:space="preserve">בפסק הדין בעניין </w:t>
      </w:r>
      <w:r w:rsidRPr="0012706D">
        <w:rPr>
          <w:rFonts w:cs="David" w:hint="cs"/>
          <w:b/>
          <w:bCs/>
          <w:sz w:val="28"/>
          <w:szCs w:val="28"/>
          <w:rtl/>
        </w:rPr>
        <w:t>אלבה</w:t>
      </w:r>
      <w:r>
        <w:rPr>
          <w:rFonts w:cs="David" w:hint="cs"/>
          <w:sz w:val="28"/>
          <w:szCs w:val="28"/>
          <w:rtl/>
        </w:rPr>
        <w:t xml:space="preserve">, אשר </w:t>
      </w:r>
      <w:r w:rsidR="00FE2E1C" w:rsidRPr="00EF4B4B">
        <w:rPr>
          <w:rFonts w:cs="David" w:hint="cs"/>
          <w:sz w:val="28"/>
          <w:szCs w:val="28"/>
          <w:rtl/>
        </w:rPr>
        <w:t xml:space="preserve">נדון בהרכב של שבעה שופטים </w:t>
      </w:r>
      <w:r>
        <w:rPr>
          <w:rFonts w:cs="David" w:hint="cs"/>
          <w:sz w:val="28"/>
          <w:szCs w:val="28"/>
          <w:rtl/>
        </w:rPr>
        <w:t>נחלקו בינ</w:t>
      </w:r>
      <w:r w:rsidR="00613957">
        <w:rPr>
          <w:rFonts w:cs="David" w:hint="cs"/>
          <w:sz w:val="28"/>
          <w:szCs w:val="28"/>
          <w:rtl/>
        </w:rPr>
        <w:t>י</w:t>
      </w:r>
      <w:r>
        <w:rPr>
          <w:rFonts w:cs="David" w:hint="cs"/>
          <w:sz w:val="28"/>
          <w:szCs w:val="28"/>
          <w:rtl/>
        </w:rPr>
        <w:t xml:space="preserve">הם שופטי הרוב </w:t>
      </w:r>
      <w:r w:rsidR="00FE2E1C" w:rsidRPr="00EF4B4B">
        <w:rPr>
          <w:rFonts w:cs="David" w:hint="cs"/>
          <w:sz w:val="28"/>
          <w:szCs w:val="28"/>
          <w:rtl/>
        </w:rPr>
        <w:t>(חמישה) במספר נושאים:</w:t>
      </w:r>
      <w:r w:rsidR="00FE2E1C" w:rsidRPr="00EF4B4B">
        <w:rPr>
          <w:rStyle w:val="a5"/>
          <w:rFonts w:cs="David"/>
          <w:sz w:val="28"/>
          <w:szCs w:val="28"/>
          <w:rtl/>
        </w:rPr>
        <w:footnoteReference w:id="108"/>
      </w:r>
      <w:r w:rsidR="00FE2E1C" w:rsidRPr="00EF4B4B">
        <w:rPr>
          <w:rFonts w:cs="David" w:hint="cs"/>
          <w:sz w:val="28"/>
          <w:szCs w:val="28"/>
          <w:rtl/>
        </w:rPr>
        <w:t xml:space="preserve"> האחד, בית המשפט נדרש </w:t>
      </w:r>
      <w:r w:rsidR="00FE2E1C" w:rsidRPr="007A28A6">
        <w:rPr>
          <w:rFonts w:cs="David" w:hint="cs"/>
          <w:sz w:val="28"/>
          <w:szCs w:val="28"/>
          <w:rtl/>
        </w:rPr>
        <w:t xml:space="preserve">לשאלה האם "הדבר" שבפרסום, לפי לשון הסעיף, צריך להיות גזעני במהותו לשם השתכללות העבירה, או האם כל </w:t>
      </w:r>
      <w:r w:rsidR="00FE2E1C">
        <w:rPr>
          <w:rFonts w:cs="David" w:hint="cs"/>
          <w:sz w:val="28"/>
          <w:szCs w:val="28"/>
          <w:rtl/>
        </w:rPr>
        <w:t>'</w:t>
      </w:r>
      <w:r w:rsidR="00FE2E1C" w:rsidRPr="007A28A6">
        <w:rPr>
          <w:rFonts w:cs="David" w:hint="cs"/>
          <w:sz w:val="28"/>
          <w:szCs w:val="28"/>
          <w:rtl/>
        </w:rPr>
        <w:t>דבר</w:t>
      </w:r>
      <w:r w:rsidR="00FE2E1C">
        <w:rPr>
          <w:rFonts w:cs="David" w:hint="cs"/>
          <w:sz w:val="28"/>
          <w:szCs w:val="28"/>
          <w:rtl/>
        </w:rPr>
        <w:t>'</w:t>
      </w:r>
      <w:r w:rsidR="00FE2E1C" w:rsidRPr="007A28A6">
        <w:rPr>
          <w:rFonts w:cs="David" w:hint="cs"/>
          <w:sz w:val="28"/>
          <w:szCs w:val="28"/>
          <w:rtl/>
        </w:rPr>
        <w:t xml:space="preserve"> ואפילו הוא בעל תוכן תמים לחלוטין עשוי לקיים את היסוד העובדתי בעבירה.</w:t>
      </w:r>
      <w:r w:rsidR="008E2AAC">
        <w:rPr>
          <w:rFonts w:cs="David" w:hint="cs"/>
          <w:sz w:val="28"/>
          <w:szCs w:val="28"/>
          <w:rtl/>
        </w:rPr>
        <w:t xml:space="preserve"> </w:t>
      </w:r>
      <w:r w:rsidR="00FE2E1C" w:rsidRPr="007A28A6">
        <w:rPr>
          <w:rFonts w:cs="David" w:hint="cs"/>
          <w:sz w:val="28"/>
          <w:szCs w:val="28"/>
          <w:rtl/>
        </w:rPr>
        <w:t>השני, התגלעה מחלוקת לעניין הצורך ב'וודאות קרובה' להסתה בפועל לשם</w:t>
      </w:r>
      <w:r w:rsidR="00FE2E1C" w:rsidRPr="00EF4B4B">
        <w:rPr>
          <w:rFonts w:cs="David" w:hint="cs"/>
          <w:b/>
          <w:bCs/>
          <w:sz w:val="28"/>
          <w:szCs w:val="28"/>
          <w:rtl/>
        </w:rPr>
        <w:t xml:space="preserve"> </w:t>
      </w:r>
      <w:r w:rsidR="00FE2E1C" w:rsidRPr="007A28A6">
        <w:rPr>
          <w:rFonts w:cs="David" w:hint="cs"/>
          <w:sz w:val="28"/>
          <w:szCs w:val="28"/>
          <w:rtl/>
        </w:rPr>
        <w:t xml:space="preserve">השתכללות העבירה. לדעתו של הנשיא ברק, </w:t>
      </w:r>
      <w:r w:rsidR="00FE2E1C">
        <w:rPr>
          <w:rFonts w:cs="David" w:hint="cs"/>
          <w:sz w:val="28"/>
          <w:szCs w:val="28"/>
          <w:rtl/>
        </w:rPr>
        <w:t>'</w:t>
      </w:r>
      <w:r w:rsidR="00FE2E1C" w:rsidRPr="007A28A6">
        <w:rPr>
          <w:rFonts w:cs="David" w:hint="cs"/>
          <w:sz w:val="28"/>
          <w:szCs w:val="28"/>
          <w:rtl/>
        </w:rPr>
        <w:t>הדבר</w:t>
      </w:r>
      <w:r w:rsidR="00FE2E1C">
        <w:rPr>
          <w:rFonts w:cs="David" w:hint="cs"/>
          <w:sz w:val="28"/>
          <w:szCs w:val="28"/>
          <w:rtl/>
        </w:rPr>
        <w:t>'</w:t>
      </w:r>
      <w:r w:rsidR="00FE2E1C" w:rsidRPr="007A28A6">
        <w:rPr>
          <w:rFonts w:cs="David" w:hint="cs"/>
          <w:sz w:val="28"/>
          <w:szCs w:val="28"/>
          <w:rtl/>
        </w:rPr>
        <w:t xml:space="preserve"> המפורסם צריך להיות בעל</w:t>
      </w:r>
      <w:r w:rsidR="00FE2E1C" w:rsidRPr="00EF4B4B">
        <w:rPr>
          <w:rFonts w:cs="David" w:hint="cs"/>
          <w:sz w:val="28"/>
          <w:szCs w:val="28"/>
          <w:rtl/>
        </w:rPr>
        <w:t xml:space="preserve"> מסר גזעני העלול ב'וודאות קרובה' לפגוע בשלום הציבור ואילו לדעתו של </w:t>
      </w:r>
      <w:r w:rsidR="0077264A">
        <w:rPr>
          <w:rFonts w:cs="David" w:hint="cs"/>
          <w:sz w:val="28"/>
          <w:szCs w:val="28"/>
          <w:rtl/>
        </w:rPr>
        <w:t>כבוד השופט</w:t>
      </w:r>
      <w:r w:rsidR="00FE2E1C" w:rsidRPr="00EF4B4B">
        <w:rPr>
          <w:rFonts w:cs="David" w:hint="cs"/>
          <w:sz w:val="28"/>
          <w:szCs w:val="28"/>
          <w:rtl/>
        </w:rPr>
        <w:t xml:space="preserve"> מצא (כתוארו אז), אין הדבר נחוץ.</w:t>
      </w:r>
      <w:r w:rsidR="008E2AAC">
        <w:rPr>
          <w:rFonts w:cs="David" w:hint="cs"/>
          <w:sz w:val="28"/>
          <w:szCs w:val="28"/>
          <w:rtl/>
        </w:rPr>
        <w:t xml:space="preserve"> </w:t>
      </w:r>
      <w:r w:rsidR="00FE2E1C" w:rsidRPr="00EF4B4B">
        <w:rPr>
          <w:rFonts w:cs="David" w:hint="cs"/>
          <w:sz w:val="28"/>
          <w:szCs w:val="28"/>
          <w:rtl/>
        </w:rPr>
        <w:t>המחלוקת השלישית</w:t>
      </w:r>
      <w:r w:rsidR="0060606E">
        <w:rPr>
          <w:rFonts w:cs="David" w:hint="cs"/>
          <w:sz w:val="28"/>
          <w:szCs w:val="28"/>
          <w:rtl/>
        </w:rPr>
        <w:t>,</w:t>
      </w:r>
      <w:r w:rsidR="00FE2E1C" w:rsidRPr="00EF4B4B">
        <w:rPr>
          <w:rFonts w:cs="David" w:hint="cs"/>
          <w:sz w:val="28"/>
          <w:szCs w:val="28"/>
          <w:rtl/>
        </w:rPr>
        <w:t xml:space="preserve"> שהתעוררה בעניין </w:t>
      </w:r>
      <w:r w:rsidR="00FE2E1C" w:rsidRPr="0012706D">
        <w:rPr>
          <w:rFonts w:cs="David" w:hint="cs"/>
          <w:b/>
          <w:bCs/>
          <w:sz w:val="28"/>
          <w:szCs w:val="28"/>
          <w:rtl/>
        </w:rPr>
        <w:t>אלבה</w:t>
      </w:r>
      <w:r w:rsidR="00FE2E1C" w:rsidRPr="00EF4B4B">
        <w:rPr>
          <w:rFonts w:cs="David" w:hint="cs"/>
          <w:sz w:val="28"/>
          <w:szCs w:val="28"/>
          <w:rtl/>
        </w:rPr>
        <w:t xml:space="preserve"> </w:t>
      </w:r>
      <w:r w:rsidR="00FE2E1C" w:rsidRPr="007A28A6">
        <w:rPr>
          <w:rFonts w:cs="David" w:hint="cs"/>
          <w:sz w:val="28"/>
          <w:szCs w:val="28"/>
          <w:rtl/>
        </w:rPr>
        <w:lastRenderedPageBreak/>
        <w:t>נגעה להלכת הצפיות המעוגנת בסעיף</w:t>
      </w:r>
      <w:r w:rsidR="00FE2E1C">
        <w:rPr>
          <w:rFonts w:cs="David" w:hint="cs"/>
          <w:sz w:val="28"/>
          <w:szCs w:val="28"/>
          <w:rtl/>
        </w:rPr>
        <w:t xml:space="preserve"> 20</w:t>
      </w:r>
      <w:r w:rsidR="00FE2E1C" w:rsidRPr="007A28A6">
        <w:rPr>
          <w:rFonts w:cs="David" w:hint="cs"/>
          <w:sz w:val="28"/>
          <w:szCs w:val="28"/>
          <w:rtl/>
        </w:rPr>
        <w:t>ב לחוק העונשין</w:t>
      </w:r>
      <w:r w:rsidR="00FE2E1C" w:rsidRPr="007A28A6">
        <w:rPr>
          <w:rStyle w:val="a5"/>
          <w:rFonts w:cs="David"/>
          <w:sz w:val="28"/>
          <w:szCs w:val="28"/>
          <w:rtl/>
        </w:rPr>
        <w:footnoteReference w:id="109"/>
      </w:r>
      <w:r w:rsidR="00FE2E1C">
        <w:rPr>
          <w:rFonts w:cs="David" w:hint="cs"/>
          <w:sz w:val="28"/>
          <w:szCs w:val="28"/>
          <w:rtl/>
        </w:rPr>
        <w:t xml:space="preserve"> - </w:t>
      </w:r>
      <w:r w:rsidR="00FE2E1C" w:rsidRPr="007A28A6">
        <w:rPr>
          <w:rFonts w:cs="David" w:hint="cs"/>
          <w:sz w:val="28"/>
          <w:szCs w:val="28"/>
          <w:rtl/>
        </w:rPr>
        <w:t>האם היא חלה בעבירות תוצאתיות או גם בעבירות התנהגותיות בעלות רכיב של מטרה,</w:t>
      </w:r>
      <w:r w:rsidR="00FE2E1C">
        <w:rPr>
          <w:rFonts w:cs="David" w:hint="cs"/>
          <w:sz w:val="28"/>
          <w:szCs w:val="28"/>
          <w:rtl/>
        </w:rPr>
        <w:t xml:space="preserve"> כפי שמוגדר סעיף 144</w:t>
      </w:r>
      <w:r w:rsidR="00FE2E1C" w:rsidRPr="00EF4B4B">
        <w:rPr>
          <w:rFonts w:cs="David" w:hint="cs"/>
          <w:sz w:val="28"/>
          <w:szCs w:val="28"/>
          <w:rtl/>
        </w:rPr>
        <w:t>ב שלעיל.</w:t>
      </w:r>
    </w:p>
    <w:p w:rsidR="00FE2E1C" w:rsidRPr="00EF4B4B" w:rsidRDefault="00FE2E1C" w:rsidP="00117887">
      <w:pPr>
        <w:spacing w:line="360" w:lineRule="auto"/>
        <w:jc w:val="both"/>
        <w:rPr>
          <w:rFonts w:cs="David"/>
          <w:sz w:val="28"/>
          <w:szCs w:val="28"/>
          <w:rtl/>
        </w:rPr>
      </w:pPr>
      <w:r w:rsidRPr="00EF4B4B">
        <w:rPr>
          <w:rFonts w:cs="David" w:hint="cs"/>
          <w:sz w:val="28"/>
          <w:szCs w:val="28"/>
          <w:rtl/>
        </w:rPr>
        <w:t xml:space="preserve">בפסק דין </w:t>
      </w:r>
      <w:r w:rsidR="00117887">
        <w:rPr>
          <w:rFonts w:cs="David" w:hint="cs"/>
          <w:sz w:val="28"/>
          <w:szCs w:val="28"/>
          <w:rtl/>
        </w:rPr>
        <w:t>זה</w:t>
      </w:r>
      <w:r w:rsidRPr="00EF4B4B">
        <w:rPr>
          <w:rFonts w:cs="David" w:hint="cs"/>
          <w:sz w:val="28"/>
          <w:szCs w:val="28"/>
          <w:rtl/>
        </w:rPr>
        <w:t xml:space="preserve">, כמו גם בפסקי דין מאוחרים יותר ובכללם פסק </w:t>
      </w:r>
      <w:r w:rsidR="00A93695">
        <w:rPr>
          <w:rFonts w:cs="David" w:hint="cs"/>
          <w:sz w:val="28"/>
          <w:szCs w:val="28"/>
          <w:rtl/>
        </w:rPr>
        <w:t>ה</w:t>
      </w:r>
      <w:r w:rsidRPr="00EF4B4B">
        <w:rPr>
          <w:rFonts w:cs="David" w:hint="cs"/>
          <w:sz w:val="28"/>
          <w:szCs w:val="28"/>
          <w:rtl/>
        </w:rPr>
        <w:t xml:space="preserve">דין </w:t>
      </w:r>
      <w:r w:rsidR="00A93695">
        <w:rPr>
          <w:rFonts w:cs="David" w:hint="cs"/>
          <w:sz w:val="28"/>
          <w:szCs w:val="28"/>
          <w:rtl/>
        </w:rPr>
        <w:t>ה</w:t>
      </w:r>
      <w:r w:rsidRPr="00EF4B4B">
        <w:rPr>
          <w:rFonts w:cs="David" w:hint="cs"/>
          <w:sz w:val="28"/>
          <w:szCs w:val="28"/>
          <w:rtl/>
        </w:rPr>
        <w:t>רחב ו</w:t>
      </w:r>
      <w:r w:rsidR="00A93695">
        <w:rPr>
          <w:rFonts w:cs="David" w:hint="cs"/>
          <w:sz w:val="28"/>
          <w:szCs w:val="28"/>
          <w:rtl/>
        </w:rPr>
        <w:t>ה</w:t>
      </w:r>
      <w:r w:rsidRPr="00EF4B4B">
        <w:rPr>
          <w:rFonts w:cs="David" w:hint="cs"/>
          <w:sz w:val="28"/>
          <w:szCs w:val="28"/>
          <w:rtl/>
        </w:rPr>
        <w:t xml:space="preserve">מעמיק שניתן </w:t>
      </w:r>
      <w:r w:rsidR="00A93695">
        <w:rPr>
          <w:rFonts w:cs="David" w:hint="cs"/>
          <w:sz w:val="28"/>
          <w:szCs w:val="28"/>
          <w:rtl/>
        </w:rPr>
        <w:t>ב</w:t>
      </w:r>
      <w:r w:rsidRPr="00EF4B4B">
        <w:rPr>
          <w:rFonts w:cs="David" w:hint="cs"/>
          <w:sz w:val="28"/>
          <w:szCs w:val="28"/>
          <w:rtl/>
        </w:rPr>
        <w:t xml:space="preserve">עניין </w:t>
      </w:r>
      <w:r w:rsidRPr="00EF4B4B">
        <w:rPr>
          <w:rFonts w:cs="David" w:hint="cs"/>
          <w:b/>
          <w:bCs/>
          <w:sz w:val="28"/>
          <w:szCs w:val="28"/>
          <w:rtl/>
        </w:rPr>
        <w:t>'תורת המלך'</w:t>
      </w:r>
      <w:r w:rsidRPr="00EF4B4B">
        <w:rPr>
          <w:rFonts w:cs="David" w:hint="cs"/>
          <w:sz w:val="28"/>
          <w:szCs w:val="28"/>
          <w:rtl/>
        </w:rPr>
        <w:t xml:space="preserve">, לא מצא בית המשפט העליון שמחלוקות אלו רלוונטיות להכרעה </w:t>
      </w:r>
      <w:r w:rsidRPr="00EF4B4B">
        <w:rPr>
          <w:rFonts w:cs="David" w:hint="cs"/>
          <w:b/>
          <w:bCs/>
          <w:sz w:val="28"/>
          <w:szCs w:val="28"/>
          <w:rtl/>
        </w:rPr>
        <w:t>ולכן השאירן פתוחות</w:t>
      </w:r>
      <w:r w:rsidRPr="00EF4B4B">
        <w:rPr>
          <w:rFonts w:cs="David" w:hint="cs"/>
          <w:sz w:val="28"/>
          <w:szCs w:val="28"/>
          <w:rtl/>
        </w:rPr>
        <w:t xml:space="preserve">. </w:t>
      </w:r>
    </w:p>
    <w:p w:rsidR="00FE2E1C" w:rsidRPr="007A28A6" w:rsidRDefault="00512C97" w:rsidP="00F119A4">
      <w:pPr>
        <w:spacing w:line="360" w:lineRule="auto"/>
        <w:ind w:left="283"/>
        <w:jc w:val="both"/>
        <w:rPr>
          <w:rFonts w:cs="David"/>
          <w:b/>
          <w:bCs/>
          <w:sz w:val="28"/>
          <w:szCs w:val="28"/>
          <w:rtl/>
        </w:rPr>
      </w:pPr>
      <w:r>
        <w:rPr>
          <w:rFonts w:cs="David" w:hint="cs"/>
          <w:b/>
          <w:bCs/>
          <w:sz w:val="28"/>
          <w:szCs w:val="28"/>
          <w:rtl/>
        </w:rPr>
        <w:t>ד</w:t>
      </w:r>
      <w:r w:rsidR="00FE2E1C">
        <w:rPr>
          <w:rFonts w:cs="David" w:hint="cs"/>
          <w:b/>
          <w:bCs/>
          <w:sz w:val="28"/>
          <w:szCs w:val="28"/>
          <w:rtl/>
        </w:rPr>
        <w:t xml:space="preserve">.1.1 </w:t>
      </w:r>
      <w:r w:rsidR="00FE2E1C" w:rsidRPr="007A28A6">
        <w:rPr>
          <w:rFonts w:cs="David" w:hint="cs"/>
          <w:b/>
          <w:bCs/>
          <w:sz w:val="28"/>
          <w:szCs w:val="28"/>
          <w:rtl/>
        </w:rPr>
        <w:t>היסוד העובדתי</w:t>
      </w:r>
    </w:p>
    <w:p w:rsidR="00FE2E1C" w:rsidRPr="00EF4B4B" w:rsidRDefault="00117887" w:rsidP="0077264A">
      <w:pPr>
        <w:spacing w:line="360" w:lineRule="auto"/>
        <w:ind w:left="283"/>
        <w:jc w:val="both"/>
        <w:rPr>
          <w:rFonts w:cs="David"/>
          <w:sz w:val="28"/>
          <w:szCs w:val="28"/>
          <w:rtl/>
        </w:rPr>
      </w:pPr>
      <w:r>
        <w:rPr>
          <w:rFonts w:cs="David" w:hint="cs"/>
          <w:sz w:val="28"/>
          <w:szCs w:val="28"/>
          <w:rtl/>
        </w:rPr>
        <w:t>חילוקי הדעות באשר ליסוד העובדתי שבאיסור הפלילי באו לידי ביטוי בפסק הדין בשני מישורים</w:t>
      </w:r>
      <w:r w:rsidR="00B6033E">
        <w:rPr>
          <w:rFonts w:cs="David" w:hint="cs"/>
          <w:sz w:val="28"/>
          <w:szCs w:val="28"/>
          <w:rtl/>
        </w:rPr>
        <w:t xml:space="preserve"> עיקריים</w:t>
      </w:r>
      <w:r>
        <w:rPr>
          <w:rFonts w:cs="David" w:hint="cs"/>
          <w:sz w:val="28"/>
          <w:szCs w:val="28"/>
          <w:rtl/>
        </w:rPr>
        <w:t xml:space="preserve">. המישור הראשון נגע </w:t>
      </w:r>
      <w:r w:rsidR="00FE2E1C" w:rsidRPr="00EF4B4B">
        <w:rPr>
          <w:rFonts w:cs="David" w:hint="cs"/>
          <w:sz w:val="28"/>
          <w:szCs w:val="28"/>
          <w:rtl/>
        </w:rPr>
        <w:t>בעניין תוכן הפרסום</w:t>
      </w:r>
      <w:r>
        <w:rPr>
          <w:rFonts w:cs="David" w:hint="cs"/>
          <w:sz w:val="28"/>
          <w:szCs w:val="28"/>
          <w:rtl/>
        </w:rPr>
        <w:t xml:space="preserve"> האסור, שם </w:t>
      </w:r>
      <w:r w:rsidR="00FE2E1C" w:rsidRPr="00EF4B4B">
        <w:rPr>
          <w:rFonts w:cs="David" w:hint="cs"/>
          <w:sz w:val="28"/>
          <w:szCs w:val="28"/>
          <w:rtl/>
        </w:rPr>
        <w:t xml:space="preserve">קבעו רוב </w:t>
      </w:r>
      <w:r w:rsidR="0077264A">
        <w:rPr>
          <w:rFonts w:cs="David" w:hint="cs"/>
          <w:sz w:val="28"/>
          <w:szCs w:val="28"/>
          <w:rtl/>
        </w:rPr>
        <w:t>השופט</w:t>
      </w:r>
      <w:r w:rsidR="00FE2E1C" w:rsidRPr="00EF4B4B">
        <w:rPr>
          <w:rFonts w:cs="David" w:hint="cs"/>
          <w:sz w:val="28"/>
          <w:szCs w:val="28"/>
          <w:rtl/>
        </w:rPr>
        <w:t xml:space="preserve">ים כי </w:t>
      </w:r>
      <w:r w:rsidR="00FE2E1C" w:rsidRPr="00EF4B4B">
        <w:rPr>
          <w:rFonts w:cs="David" w:hint="cs"/>
          <w:b/>
          <w:bCs/>
          <w:sz w:val="28"/>
          <w:szCs w:val="28"/>
          <w:rtl/>
        </w:rPr>
        <w:t>יש לפרש את האיסור כחל רק על ביטוי בעל תוכן גזעני</w:t>
      </w:r>
      <w:r w:rsidR="00FE2E1C" w:rsidRPr="00EF4B4B">
        <w:rPr>
          <w:rFonts w:cs="David" w:hint="cs"/>
          <w:sz w:val="28"/>
          <w:szCs w:val="28"/>
          <w:rtl/>
        </w:rPr>
        <w:t xml:space="preserve">. למשל, בדברי </w:t>
      </w:r>
      <w:r w:rsidR="0077264A">
        <w:rPr>
          <w:rFonts w:cs="David" w:hint="cs"/>
          <w:sz w:val="28"/>
          <w:szCs w:val="28"/>
          <w:rtl/>
        </w:rPr>
        <w:t>כבוד השופט</w:t>
      </w:r>
      <w:r w:rsidR="00FE2E1C" w:rsidRPr="00EF4B4B">
        <w:rPr>
          <w:rFonts w:cs="David" w:hint="cs"/>
          <w:sz w:val="28"/>
          <w:szCs w:val="28"/>
          <w:rtl/>
        </w:rPr>
        <w:t xml:space="preserve"> גולדברג:</w:t>
      </w:r>
      <w:r w:rsidR="00FE2E1C">
        <w:rPr>
          <w:rStyle w:val="a5"/>
          <w:rFonts w:cs="David"/>
          <w:sz w:val="28"/>
          <w:szCs w:val="28"/>
          <w:rtl/>
        </w:rPr>
        <w:footnoteReference w:id="110"/>
      </w:r>
    </w:p>
    <w:p w:rsidR="00FE2E1C" w:rsidRPr="00E96F00" w:rsidRDefault="00FE2E1C" w:rsidP="00F119A4">
      <w:pPr>
        <w:spacing w:line="360" w:lineRule="auto"/>
        <w:ind w:left="720"/>
        <w:jc w:val="both"/>
        <w:rPr>
          <w:rFonts w:cs="David"/>
          <w:sz w:val="24"/>
          <w:szCs w:val="24"/>
          <w:rtl/>
        </w:rPr>
      </w:pPr>
      <w:r w:rsidRPr="00E96F00">
        <w:rPr>
          <w:rFonts w:cs="David" w:hint="cs"/>
          <w:sz w:val="24"/>
          <w:szCs w:val="24"/>
          <w:rtl/>
        </w:rPr>
        <w:t xml:space="preserve">ליבה של העבירה [...] היא מטרת המפרסם להסית לגזענות. ואילו לתוכנו של הפרסום אין זה מן ההכרח כי יסית ברורות לגזענות, או שיהיה בו פוטנציאל להסתה גזענית, </w:t>
      </w:r>
      <w:r w:rsidRPr="00791CF7">
        <w:rPr>
          <w:rFonts w:cs="David" w:hint="cs"/>
          <w:b/>
          <w:bCs/>
          <w:sz w:val="24"/>
          <w:szCs w:val="24"/>
          <w:rtl/>
        </w:rPr>
        <w:t>אולם חייב שתהיה בו זיקה, ישירה או עקיפה, לנושא של גזענות.</w:t>
      </w:r>
      <w:r w:rsidRPr="00E96F00">
        <w:rPr>
          <w:rFonts w:cs="David" w:hint="cs"/>
          <w:sz w:val="24"/>
          <w:szCs w:val="24"/>
          <w:rtl/>
        </w:rPr>
        <w:t xml:space="preserve"> פרשנות זו אינה מתעלמת לחלוטין מתוכנו של "הדבר" שפורסם, אולם </w:t>
      </w:r>
      <w:r w:rsidRPr="00791CF7">
        <w:rPr>
          <w:rFonts w:cs="David" w:hint="cs"/>
          <w:b/>
          <w:bCs/>
          <w:sz w:val="24"/>
          <w:szCs w:val="24"/>
          <w:rtl/>
        </w:rPr>
        <w:t>היא חוסמת אפשרות של הרשעת אדם בשל פרסום שאין בינו ובין גזענות ולא כלום</w:t>
      </w:r>
      <w:r w:rsidRPr="00E96F00">
        <w:rPr>
          <w:rFonts w:cs="David" w:hint="cs"/>
          <w:sz w:val="24"/>
          <w:szCs w:val="24"/>
          <w:rtl/>
        </w:rPr>
        <w:t xml:space="preserve">, רק משום שמטרתו של המפרסם הייתה להסית לגזענות. </w:t>
      </w:r>
      <w:r w:rsidR="00791CF7">
        <w:rPr>
          <w:rFonts w:cs="David" w:hint="cs"/>
          <w:sz w:val="24"/>
          <w:szCs w:val="24"/>
          <w:rtl/>
        </w:rPr>
        <w:t xml:space="preserve">(ההדגשות של הח"מ </w:t>
      </w:r>
      <w:r w:rsidR="00791CF7">
        <w:rPr>
          <w:rFonts w:cs="David"/>
          <w:sz w:val="24"/>
          <w:szCs w:val="24"/>
          <w:rtl/>
        </w:rPr>
        <w:t>–</w:t>
      </w:r>
      <w:r w:rsidR="00791CF7">
        <w:rPr>
          <w:rFonts w:cs="David" w:hint="cs"/>
          <w:sz w:val="24"/>
          <w:szCs w:val="24"/>
          <w:rtl/>
        </w:rPr>
        <w:t xml:space="preserve"> ר"מ)</w:t>
      </w:r>
    </w:p>
    <w:p w:rsidR="00FE2E1C" w:rsidRPr="00EF4B4B" w:rsidRDefault="00FE2E1C" w:rsidP="00C71FD0">
      <w:pPr>
        <w:spacing w:line="360" w:lineRule="auto"/>
        <w:ind w:left="283"/>
        <w:jc w:val="both"/>
        <w:rPr>
          <w:rFonts w:cs="David"/>
          <w:sz w:val="28"/>
          <w:szCs w:val="28"/>
          <w:rtl/>
        </w:rPr>
      </w:pPr>
      <w:r>
        <w:rPr>
          <w:rFonts w:cs="David" w:hint="cs"/>
          <w:sz w:val="28"/>
          <w:szCs w:val="28"/>
          <w:rtl/>
        </w:rPr>
        <w:t xml:space="preserve">מרדכי </w:t>
      </w:r>
      <w:r w:rsidRPr="00EF4B4B">
        <w:rPr>
          <w:rFonts w:cs="David" w:hint="cs"/>
          <w:sz w:val="28"/>
          <w:szCs w:val="28"/>
          <w:rtl/>
        </w:rPr>
        <w:t xml:space="preserve">קרמניצר </w:t>
      </w:r>
      <w:r>
        <w:rPr>
          <w:rFonts w:cs="David" w:hint="cs"/>
          <w:sz w:val="28"/>
          <w:szCs w:val="28"/>
          <w:rtl/>
        </w:rPr>
        <w:t xml:space="preserve">דן </w:t>
      </w:r>
      <w:r w:rsidRPr="00EF4B4B">
        <w:rPr>
          <w:rFonts w:cs="David" w:hint="cs"/>
          <w:sz w:val="28"/>
          <w:szCs w:val="28"/>
          <w:rtl/>
        </w:rPr>
        <w:t xml:space="preserve">באריכות </w:t>
      </w:r>
      <w:r>
        <w:rPr>
          <w:rFonts w:cs="David" w:hint="cs"/>
          <w:sz w:val="28"/>
          <w:szCs w:val="28"/>
          <w:rtl/>
        </w:rPr>
        <w:t>ב</w:t>
      </w:r>
      <w:r w:rsidRPr="00EF4B4B">
        <w:rPr>
          <w:rFonts w:cs="David" w:hint="cs"/>
          <w:sz w:val="28"/>
          <w:szCs w:val="28"/>
          <w:rtl/>
        </w:rPr>
        <w:t>פסיקת</w:t>
      </w:r>
      <w:r w:rsidR="00C71FD0">
        <w:rPr>
          <w:rFonts w:cs="David" w:hint="cs"/>
          <w:sz w:val="28"/>
          <w:szCs w:val="28"/>
          <w:rtl/>
        </w:rPr>
        <w:t>ו זו של</w:t>
      </w:r>
      <w:r w:rsidRPr="00EF4B4B">
        <w:rPr>
          <w:rFonts w:cs="David" w:hint="cs"/>
          <w:sz w:val="28"/>
          <w:szCs w:val="28"/>
          <w:rtl/>
        </w:rPr>
        <w:t xml:space="preserve"> בית המשפט העליון</w:t>
      </w:r>
      <w:r w:rsidR="00C71FD0">
        <w:rPr>
          <w:rFonts w:cs="David" w:hint="cs"/>
          <w:sz w:val="28"/>
          <w:szCs w:val="28"/>
          <w:rtl/>
        </w:rPr>
        <w:t>.</w:t>
      </w:r>
      <w:r w:rsidRPr="00EF4B4B">
        <w:rPr>
          <w:rStyle w:val="a5"/>
          <w:rFonts w:cs="David"/>
          <w:sz w:val="28"/>
          <w:szCs w:val="28"/>
          <w:rtl/>
        </w:rPr>
        <w:footnoteReference w:id="111"/>
      </w:r>
      <w:r w:rsidR="00C71FD0">
        <w:rPr>
          <w:rFonts w:cs="David" w:hint="cs"/>
          <w:sz w:val="28"/>
          <w:szCs w:val="28"/>
          <w:rtl/>
        </w:rPr>
        <w:t xml:space="preserve"> </w:t>
      </w:r>
      <w:r w:rsidRPr="00EF4B4B">
        <w:rPr>
          <w:rFonts w:cs="David" w:hint="cs"/>
          <w:sz w:val="28"/>
          <w:szCs w:val="28"/>
          <w:rtl/>
        </w:rPr>
        <w:t>באשר ליסוד העובדתי של עבירת ההסתה לגזענות טוען קרמניצר</w:t>
      </w:r>
      <w:r w:rsidR="00670B39">
        <w:rPr>
          <w:rFonts w:cs="David" w:hint="cs"/>
          <w:sz w:val="28"/>
          <w:szCs w:val="28"/>
          <w:rtl/>
        </w:rPr>
        <w:t>,</w:t>
      </w:r>
      <w:r w:rsidRPr="00EF4B4B">
        <w:rPr>
          <w:rFonts w:cs="David" w:hint="cs"/>
          <w:sz w:val="28"/>
          <w:szCs w:val="28"/>
          <w:rtl/>
        </w:rPr>
        <w:t xml:space="preserve"> כי ניתן לאפיין את תוכנו של פרסום אסור בשלוש אפשרויות:</w:t>
      </w:r>
      <w:r w:rsidRPr="00EF4B4B">
        <w:rPr>
          <w:rStyle w:val="a5"/>
          <w:rFonts w:cs="David"/>
          <w:sz w:val="28"/>
          <w:szCs w:val="28"/>
          <w:rtl/>
        </w:rPr>
        <w:footnoteReference w:id="112"/>
      </w:r>
    </w:p>
    <w:p w:rsidR="00FE2E1C" w:rsidRPr="00EF4B4B" w:rsidRDefault="00FE2E1C" w:rsidP="00BF439B">
      <w:pPr>
        <w:pStyle w:val="a6"/>
        <w:numPr>
          <w:ilvl w:val="0"/>
          <w:numId w:val="1"/>
        </w:numPr>
        <w:spacing w:line="360" w:lineRule="auto"/>
        <w:ind w:left="700"/>
        <w:jc w:val="both"/>
        <w:rPr>
          <w:rFonts w:cs="David"/>
          <w:sz w:val="28"/>
          <w:szCs w:val="28"/>
        </w:rPr>
      </w:pPr>
      <w:r w:rsidRPr="00EF4B4B">
        <w:rPr>
          <w:rFonts w:cs="David" w:hint="cs"/>
          <w:sz w:val="28"/>
          <w:szCs w:val="28"/>
          <w:rtl/>
        </w:rPr>
        <w:t>פרסום</w:t>
      </w:r>
      <w:r w:rsidR="00AC586F">
        <w:rPr>
          <w:rFonts w:cs="David" w:hint="cs"/>
          <w:sz w:val="28"/>
          <w:szCs w:val="28"/>
          <w:rtl/>
        </w:rPr>
        <w:t>,</w:t>
      </w:r>
      <w:r w:rsidRPr="00EF4B4B">
        <w:rPr>
          <w:rFonts w:cs="David" w:hint="cs"/>
          <w:sz w:val="28"/>
          <w:szCs w:val="28"/>
          <w:rtl/>
        </w:rPr>
        <w:t xml:space="preserve"> המכיל תכנים גזעניים בפני עצמם (אף אם אין בהם סגולה של השפעה לפעולה).</w:t>
      </w:r>
    </w:p>
    <w:p w:rsidR="00FE2E1C" w:rsidRPr="00EF4B4B" w:rsidRDefault="00FE2E1C" w:rsidP="00BF439B">
      <w:pPr>
        <w:pStyle w:val="a6"/>
        <w:numPr>
          <w:ilvl w:val="0"/>
          <w:numId w:val="1"/>
        </w:numPr>
        <w:spacing w:line="360" w:lineRule="auto"/>
        <w:ind w:left="700"/>
        <w:jc w:val="both"/>
        <w:rPr>
          <w:rFonts w:cs="David"/>
          <w:sz w:val="28"/>
          <w:szCs w:val="28"/>
        </w:rPr>
      </w:pPr>
      <w:r w:rsidRPr="00EF4B4B">
        <w:rPr>
          <w:rFonts w:cs="David" w:hint="cs"/>
          <w:sz w:val="28"/>
          <w:szCs w:val="28"/>
          <w:rtl/>
        </w:rPr>
        <w:t>פרסום המכיל תכנים המסיתים לגזענות, היינו: תכנים שקליטתם בנסיבות מסוימות עלולה ליצור במוחות של הקולט אותם תפיסות גזעניות או לתרום ליצירתן (אף אם אין בהם תוכן גזעני נוסף על עצם ההסתה לגזענות. לדוגמ</w:t>
      </w:r>
      <w:r w:rsidR="00AC586F">
        <w:rPr>
          <w:rFonts w:cs="David" w:hint="cs"/>
          <w:sz w:val="28"/>
          <w:szCs w:val="28"/>
          <w:rtl/>
        </w:rPr>
        <w:t>ה</w:t>
      </w:r>
      <w:r w:rsidRPr="00EF4B4B">
        <w:rPr>
          <w:rFonts w:cs="David" w:hint="cs"/>
          <w:sz w:val="28"/>
          <w:szCs w:val="28"/>
          <w:rtl/>
        </w:rPr>
        <w:t>: פ</w:t>
      </w:r>
      <w:r w:rsidR="00AC586F">
        <w:rPr>
          <w:rFonts w:cs="David" w:hint="cs"/>
          <w:sz w:val="28"/>
          <w:szCs w:val="28"/>
          <w:rtl/>
        </w:rPr>
        <w:t>י</w:t>
      </w:r>
      <w:r w:rsidRPr="00EF4B4B">
        <w:rPr>
          <w:rFonts w:cs="David" w:hint="cs"/>
          <w:sz w:val="28"/>
          <w:szCs w:val="28"/>
          <w:rtl/>
        </w:rPr>
        <w:t>רוט מוצאם הגזעי של עצורים בדיווחים עיתונאים).</w:t>
      </w:r>
    </w:p>
    <w:p w:rsidR="00FE2E1C" w:rsidRPr="00EF4B4B" w:rsidRDefault="00FE2E1C" w:rsidP="00BF439B">
      <w:pPr>
        <w:pStyle w:val="a6"/>
        <w:numPr>
          <w:ilvl w:val="0"/>
          <w:numId w:val="1"/>
        </w:numPr>
        <w:spacing w:line="360" w:lineRule="auto"/>
        <w:ind w:left="700"/>
        <w:jc w:val="both"/>
        <w:rPr>
          <w:rFonts w:cs="David"/>
          <w:sz w:val="28"/>
          <w:szCs w:val="28"/>
        </w:rPr>
      </w:pPr>
      <w:r w:rsidRPr="00EF4B4B">
        <w:rPr>
          <w:rFonts w:cs="David" w:hint="cs"/>
          <w:sz w:val="28"/>
          <w:szCs w:val="28"/>
          <w:rtl/>
        </w:rPr>
        <w:t>פרסום היוצר הסתברות לפעולה גזענית.</w:t>
      </w:r>
    </w:p>
    <w:p w:rsidR="00FE2E1C" w:rsidRDefault="00FE2E1C" w:rsidP="00F119A4">
      <w:pPr>
        <w:spacing w:line="360" w:lineRule="auto"/>
        <w:ind w:left="283"/>
        <w:jc w:val="both"/>
        <w:rPr>
          <w:rFonts w:cs="David"/>
          <w:sz w:val="28"/>
          <w:szCs w:val="28"/>
          <w:rtl/>
        </w:rPr>
      </w:pPr>
      <w:r w:rsidRPr="00EF4B4B">
        <w:rPr>
          <w:rFonts w:cs="David" w:hint="cs"/>
          <w:sz w:val="28"/>
          <w:szCs w:val="28"/>
          <w:rtl/>
        </w:rPr>
        <w:lastRenderedPageBreak/>
        <w:t xml:space="preserve">לטעמו, הדרישה הינה מינימליסטית </w:t>
      </w:r>
      <w:r>
        <w:rPr>
          <w:rFonts w:cs="David" w:hint="cs"/>
          <w:sz w:val="28"/>
          <w:szCs w:val="28"/>
          <w:rtl/>
        </w:rPr>
        <w:t>-</w:t>
      </w:r>
      <w:r w:rsidRPr="00EF4B4B">
        <w:rPr>
          <w:rFonts w:cs="David" w:hint="cs"/>
          <w:sz w:val="28"/>
          <w:szCs w:val="28"/>
          <w:rtl/>
        </w:rPr>
        <w:t xml:space="preserve"> </w:t>
      </w:r>
      <w:r w:rsidRPr="00EF4B4B">
        <w:rPr>
          <w:rFonts w:cs="David" w:hint="cs"/>
          <w:b/>
          <w:bCs/>
          <w:sz w:val="28"/>
          <w:szCs w:val="28"/>
          <w:rtl/>
        </w:rPr>
        <w:t>הסתפקות בתוכן גזעני</w:t>
      </w:r>
      <w:r w:rsidRPr="00EF4B4B">
        <w:rPr>
          <w:rFonts w:cs="David" w:hint="cs"/>
          <w:sz w:val="28"/>
          <w:szCs w:val="28"/>
          <w:rtl/>
        </w:rPr>
        <w:t xml:space="preserve"> ולאו דווקא תוכן </w:t>
      </w:r>
      <w:r w:rsidRPr="00EF4B4B">
        <w:rPr>
          <w:rFonts w:cs="David" w:hint="cs"/>
          <w:b/>
          <w:bCs/>
          <w:sz w:val="28"/>
          <w:szCs w:val="28"/>
          <w:rtl/>
        </w:rPr>
        <w:t>המסית</w:t>
      </w:r>
      <w:r w:rsidRPr="00EF4B4B">
        <w:rPr>
          <w:rFonts w:cs="David" w:hint="cs"/>
          <w:sz w:val="28"/>
          <w:szCs w:val="28"/>
          <w:rtl/>
        </w:rPr>
        <w:t xml:space="preserve"> לגזענות</w:t>
      </w:r>
      <w:r>
        <w:rPr>
          <w:rFonts w:cs="David" w:hint="cs"/>
          <w:sz w:val="28"/>
          <w:szCs w:val="28"/>
          <w:rtl/>
        </w:rPr>
        <w:t>, וכך הוא כותב</w:t>
      </w:r>
      <w:r>
        <w:rPr>
          <w:rStyle w:val="a5"/>
          <w:rFonts w:cs="David"/>
          <w:sz w:val="28"/>
          <w:szCs w:val="28"/>
          <w:rtl/>
        </w:rPr>
        <w:footnoteReference w:id="113"/>
      </w:r>
      <w:r>
        <w:rPr>
          <w:rFonts w:cs="David" w:hint="cs"/>
          <w:sz w:val="28"/>
          <w:szCs w:val="28"/>
          <w:rtl/>
        </w:rPr>
        <w:t xml:space="preserve"> :</w:t>
      </w:r>
    </w:p>
    <w:p w:rsidR="00FE2E1C" w:rsidRPr="00480CDC" w:rsidRDefault="00FE2E1C" w:rsidP="00480CDC">
      <w:pPr>
        <w:spacing w:line="360" w:lineRule="auto"/>
        <w:ind w:left="720"/>
        <w:jc w:val="both"/>
        <w:rPr>
          <w:rFonts w:cs="David"/>
          <w:sz w:val="24"/>
          <w:szCs w:val="24"/>
          <w:rtl/>
        </w:rPr>
      </w:pPr>
      <w:r w:rsidRPr="00480CDC">
        <w:rPr>
          <w:rFonts w:cs="David" w:hint="cs"/>
          <w:sz w:val="24"/>
          <w:szCs w:val="24"/>
          <w:rtl/>
        </w:rPr>
        <w:t>גישה מינימליסטית כזו עולה בקנה אחד עם העובדה שבתחום היסוד הנפשי, הדרישה היא יוצאת דופן ובלתי שגרתית - דרישה למטרה דווקא ואי הסתפקות במחשבה פלילית. עוצמתו המיוחדת של היסוד הנפשי מאפשרת הסתפקות במועט בתחום היסוד העובדתי [...] ברור גם כי הסכנה שבגזענות אינה מצטמצמת להסתה להתנהגות גזענית. כדי שהסתה כזו תניב פירות היא צריכה ליפול על קרקע מתאימה. עיקר הסכנה הוא דווקא בהכשרת הקרקע, ביצירת הלך נפש ותודעה גזעניים</w:t>
      </w:r>
      <w:r w:rsidRPr="00480CDC">
        <w:rPr>
          <w:rFonts w:cs="David" w:hint="cs"/>
          <w:b/>
          <w:bCs/>
          <w:sz w:val="24"/>
          <w:szCs w:val="24"/>
          <w:rtl/>
        </w:rPr>
        <w:t>. הגנה יעילה מפני גזענות צריכה, לכן, להקיף גם ביטוי גזעני שאיננו מסית.</w:t>
      </w:r>
      <w:r w:rsidRPr="00480CDC">
        <w:rPr>
          <w:rFonts w:cs="David" w:hint="cs"/>
          <w:sz w:val="24"/>
          <w:szCs w:val="24"/>
          <w:rtl/>
        </w:rPr>
        <w:t xml:space="preserve"> (ההדגשה של הח"מ </w:t>
      </w:r>
      <w:r w:rsidRPr="00480CDC">
        <w:rPr>
          <w:rFonts w:cs="David"/>
          <w:sz w:val="24"/>
          <w:szCs w:val="24"/>
          <w:rtl/>
        </w:rPr>
        <w:t>–</w:t>
      </w:r>
      <w:r w:rsidRPr="00480CDC">
        <w:rPr>
          <w:rFonts w:cs="David" w:hint="cs"/>
          <w:sz w:val="24"/>
          <w:szCs w:val="24"/>
          <w:rtl/>
        </w:rPr>
        <w:t xml:space="preserve"> ר"מ)</w:t>
      </w:r>
    </w:p>
    <w:p w:rsidR="00A702E7" w:rsidRDefault="007E70FF" w:rsidP="005A7B7E">
      <w:pPr>
        <w:spacing w:line="360" w:lineRule="auto"/>
        <w:ind w:left="283"/>
        <w:jc w:val="both"/>
        <w:rPr>
          <w:rFonts w:cs="David"/>
          <w:sz w:val="28"/>
          <w:szCs w:val="28"/>
          <w:rtl/>
        </w:rPr>
      </w:pPr>
      <w:r>
        <w:rPr>
          <w:rFonts w:cs="David" w:hint="cs"/>
          <w:sz w:val="28"/>
          <w:szCs w:val="28"/>
          <w:rtl/>
        </w:rPr>
        <w:t>המישור השני עסק ב</w:t>
      </w:r>
      <w:r w:rsidR="00FE2E1C" w:rsidRPr="00CA4D19">
        <w:rPr>
          <w:rFonts w:cs="David" w:hint="cs"/>
          <w:sz w:val="28"/>
          <w:szCs w:val="28"/>
          <w:rtl/>
        </w:rPr>
        <w:t>'מבחן הוודאות הקרובה'</w:t>
      </w:r>
      <w:r>
        <w:rPr>
          <w:rFonts w:cs="David" w:hint="cs"/>
          <w:sz w:val="28"/>
          <w:szCs w:val="28"/>
          <w:rtl/>
        </w:rPr>
        <w:t xml:space="preserve">. </w:t>
      </w:r>
      <w:r w:rsidR="00FE2E1C">
        <w:rPr>
          <w:rFonts w:cs="David" w:hint="cs"/>
          <w:sz w:val="28"/>
          <w:szCs w:val="28"/>
          <w:rtl/>
        </w:rPr>
        <w:t>לטענתו של קרמניצר, אשר מוצאת לה תימוכין ב</w:t>
      </w:r>
      <w:r w:rsidR="00FE2E1C" w:rsidRPr="00EF4B4B">
        <w:rPr>
          <w:rFonts w:cs="David" w:hint="cs"/>
          <w:sz w:val="28"/>
          <w:szCs w:val="28"/>
          <w:rtl/>
        </w:rPr>
        <w:t xml:space="preserve">ספרות המשפטית, בפסק הדין בעניין </w:t>
      </w:r>
      <w:r w:rsidR="00FE2E1C" w:rsidRPr="0012706D">
        <w:rPr>
          <w:rFonts w:cs="David" w:hint="cs"/>
          <w:b/>
          <w:bCs/>
          <w:sz w:val="28"/>
          <w:szCs w:val="28"/>
          <w:rtl/>
        </w:rPr>
        <w:t xml:space="preserve">אלבה </w:t>
      </w:r>
      <w:r w:rsidR="00FE2E1C" w:rsidRPr="00471F31">
        <w:rPr>
          <w:rFonts w:cs="David" w:hint="cs"/>
          <w:b/>
          <w:bCs/>
          <w:sz w:val="28"/>
          <w:szCs w:val="28"/>
          <w:rtl/>
        </w:rPr>
        <w:t>מוטטו</w:t>
      </w:r>
      <w:r w:rsidR="00FE2E1C" w:rsidRPr="00471F31">
        <w:rPr>
          <w:rFonts w:cs="David" w:hint="cs"/>
          <w:sz w:val="28"/>
          <w:szCs w:val="28"/>
          <w:rtl/>
        </w:rPr>
        <w:t xml:space="preserve"> רוב </w:t>
      </w:r>
      <w:r w:rsidR="0077264A">
        <w:rPr>
          <w:rFonts w:cs="David" w:hint="cs"/>
          <w:sz w:val="28"/>
          <w:szCs w:val="28"/>
          <w:rtl/>
        </w:rPr>
        <w:t>השופט</w:t>
      </w:r>
      <w:r w:rsidR="00FE2E1C" w:rsidRPr="00471F31">
        <w:rPr>
          <w:rFonts w:cs="David" w:hint="cs"/>
          <w:sz w:val="28"/>
          <w:szCs w:val="28"/>
          <w:rtl/>
        </w:rPr>
        <w:t>ים את ההנחה, לפיה הגבלה של חופש הביטוי מותנית תמיד ב'וודאות קרובה' לפגיעה משמעותית באינטרס חברתי חיוני</w:t>
      </w:r>
      <w:r w:rsidR="00FE2E1C" w:rsidRPr="00EF4B4B">
        <w:rPr>
          <w:rFonts w:cs="David" w:hint="cs"/>
          <w:sz w:val="28"/>
          <w:szCs w:val="28"/>
          <w:rtl/>
        </w:rPr>
        <w:t xml:space="preserve"> וכי נשלל עצם קיומו של אלמנט הסתברותי אובייקטיבי בעבירת הסתה לגזענות.</w:t>
      </w:r>
      <w:r w:rsidR="00FE2E1C" w:rsidRPr="00EF4B4B">
        <w:rPr>
          <w:rStyle w:val="a5"/>
          <w:rFonts w:cs="David"/>
          <w:sz w:val="28"/>
          <w:szCs w:val="28"/>
          <w:rtl/>
        </w:rPr>
        <w:footnoteReference w:id="114"/>
      </w:r>
      <w:r w:rsidR="00FE2E1C" w:rsidRPr="00EF4B4B">
        <w:rPr>
          <w:rFonts w:cs="David" w:hint="cs"/>
          <w:sz w:val="28"/>
          <w:szCs w:val="28"/>
          <w:rtl/>
        </w:rPr>
        <w:t xml:space="preserve"> </w:t>
      </w:r>
    </w:p>
    <w:p w:rsidR="00FE2E1C" w:rsidRDefault="00FE2E1C" w:rsidP="00F119A4">
      <w:pPr>
        <w:spacing w:line="360" w:lineRule="auto"/>
        <w:ind w:left="283"/>
        <w:jc w:val="both"/>
        <w:rPr>
          <w:rFonts w:cs="David"/>
          <w:sz w:val="28"/>
          <w:szCs w:val="28"/>
          <w:rtl/>
        </w:rPr>
      </w:pPr>
      <w:r>
        <w:rPr>
          <w:rFonts w:cs="David" w:hint="cs"/>
          <w:sz w:val="28"/>
          <w:szCs w:val="28"/>
          <w:rtl/>
        </w:rPr>
        <w:t xml:space="preserve">למרות שכאמור הנושא טרם הוכרע בפסיקה, קרמניצר תומך בעמדתו של </w:t>
      </w:r>
      <w:r w:rsidR="0077264A">
        <w:rPr>
          <w:rFonts w:cs="David" w:hint="cs"/>
          <w:sz w:val="28"/>
          <w:szCs w:val="28"/>
          <w:rtl/>
        </w:rPr>
        <w:t>כבוד השופט</w:t>
      </w:r>
      <w:r w:rsidRPr="00EF4B4B">
        <w:rPr>
          <w:rFonts w:cs="David" w:hint="cs"/>
          <w:sz w:val="28"/>
          <w:szCs w:val="28"/>
          <w:rtl/>
        </w:rPr>
        <w:t xml:space="preserve"> מצא</w:t>
      </w:r>
      <w:r>
        <w:rPr>
          <w:rFonts w:cs="David" w:hint="cs"/>
          <w:sz w:val="28"/>
          <w:szCs w:val="28"/>
          <w:rtl/>
        </w:rPr>
        <w:t xml:space="preserve"> בעניין </w:t>
      </w:r>
      <w:r w:rsidRPr="0012706D">
        <w:rPr>
          <w:rFonts w:cs="David" w:hint="cs"/>
          <w:b/>
          <w:bCs/>
          <w:sz w:val="28"/>
          <w:szCs w:val="28"/>
          <w:rtl/>
        </w:rPr>
        <w:t>אלבה</w:t>
      </w:r>
      <w:r>
        <w:rPr>
          <w:rFonts w:cs="David" w:hint="cs"/>
          <w:sz w:val="28"/>
          <w:szCs w:val="28"/>
          <w:rtl/>
        </w:rPr>
        <w:t>, שכתב את דעת הרוב :</w:t>
      </w:r>
      <w:r>
        <w:rPr>
          <w:rStyle w:val="a5"/>
          <w:rFonts w:cs="David"/>
          <w:sz w:val="28"/>
          <w:szCs w:val="28"/>
          <w:rtl/>
        </w:rPr>
        <w:footnoteReference w:id="115"/>
      </w:r>
      <w:r>
        <w:rPr>
          <w:rFonts w:cs="David" w:hint="cs"/>
          <w:sz w:val="28"/>
          <w:szCs w:val="28"/>
          <w:rtl/>
        </w:rPr>
        <w:t xml:space="preserve"> </w:t>
      </w:r>
    </w:p>
    <w:p w:rsidR="00FE2E1C" w:rsidRPr="004C0651" w:rsidRDefault="00FE2E1C" w:rsidP="00F119A4">
      <w:pPr>
        <w:spacing w:line="360" w:lineRule="auto"/>
        <w:ind w:left="720"/>
        <w:jc w:val="both"/>
        <w:rPr>
          <w:rFonts w:cs="David"/>
          <w:sz w:val="24"/>
          <w:szCs w:val="24"/>
          <w:rtl/>
        </w:rPr>
      </w:pPr>
      <w:r w:rsidRPr="004C0651">
        <w:rPr>
          <w:rFonts w:cs="David" w:hint="cs"/>
          <w:sz w:val="24"/>
          <w:szCs w:val="24"/>
          <w:rtl/>
        </w:rPr>
        <w:t>גם להנחת הסניגור, כי 'מבחן הוודאות הקרובה' מהווה אמת לקביעת גבולו של האיסור הפלילי הנדון, אין כל יסוד. 'מבחן הוודאות הקרובה' הוא מבחן סיבתי. הוא משמש כאמת מידה לקביעת גבולן של חירויות יסוד שונות [...] למבחן זה אין, ולא יכולה להיות, תחולה בקביעת גבולה של עבירה התנהגותית מובהקת, ששכלולה, כעולה מהוראת סעיף 144ב (ב), רישא, אינו מותנה בהתרחשות תוצאה כלשהי.</w:t>
      </w:r>
    </w:p>
    <w:p w:rsidR="00FE2E1C" w:rsidRPr="00CA4D19" w:rsidRDefault="00512C97" w:rsidP="00F119A4">
      <w:pPr>
        <w:spacing w:line="360" w:lineRule="auto"/>
        <w:ind w:left="283"/>
        <w:jc w:val="both"/>
        <w:rPr>
          <w:rFonts w:cs="David"/>
          <w:b/>
          <w:bCs/>
          <w:sz w:val="28"/>
          <w:szCs w:val="28"/>
          <w:rtl/>
        </w:rPr>
      </w:pPr>
      <w:r>
        <w:rPr>
          <w:rFonts w:cs="David" w:hint="cs"/>
          <w:b/>
          <w:bCs/>
          <w:sz w:val="28"/>
          <w:szCs w:val="28"/>
          <w:rtl/>
        </w:rPr>
        <w:t>ד</w:t>
      </w:r>
      <w:r w:rsidR="00FE2E1C">
        <w:rPr>
          <w:rFonts w:cs="David" w:hint="cs"/>
          <w:b/>
          <w:bCs/>
          <w:sz w:val="28"/>
          <w:szCs w:val="28"/>
          <w:rtl/>
        </w:rPr>
        <w:t xml:space="preserve">.1.2 </w:t>
      </w:r>
      <w:r w:rsidR="00FE2E1C" w:rsidRPr="00CA4D19">
        <w:rPr>
          <w:rFonts w:cs="David" w:hint="cs"/>
          <w:b/>
          <w:bCs/>
          <w:sz w:val="28"/>
          <w:szCs w:val="28"/>
          <w:rtl/>
        </w:rPr>
        <w:t>היסוד הנפשי</w:t>
      </w:r>
    </w:p>
    <w:p w:rsidR="00FE2E1C" w:rsidRPr="00CA4D19" w:rsidRDefault="00FE2E1C" w:rsidP="00F119A4">
      <w:pPr>
        <w:spacing w:line="360" w:lineRule="auto"/>
        <w:ind w:left="283"/>
        <w:jc w:val="both"/>
        <w:rPr>
          <w:rFonts w:cs="David"/>
          <w:sz w:val="28"/>
          <w:szCs w:val="28"/>
          <w:rtl/>
        </w:rPr>
      </w:pPr>
      <w:r w:rsidRPr="00CA4D19">
        <w:rPr>
          <w:rFonts w:cs="David" w:hint="cs"/>
          <w:sz w:val="28"/>
          <w:szCs w:val="28"/>
          <w:rtl/>
        </w:rPr>
        <w:t>"מתוך מטרה להסית לגזענות"</w:t>
      </w:r>
    </w:p>
    <w:p w:rsidR="00FE2E1C" w:rsidRDefault="00FE2E1C" w:rsidP="00F119A4">
      <w:pPr>
        <w:spacing w:line="360" w:lineRule="auto"/>
        <w:ind w:left="283"/>
        <w:jc w:val="both"/>
        <w:rPr>
          <w:rFonts w:cs="David"/>
          <w:sz w:val="28"/>
          <w:szCs w:val="28"/>
          <w:rtl/>
        </w:rPr>
      </w:pPr>
      <w:r>
        <w:rPr>
          <w:rFonts w:cs="David" w:hint="cs"/>
          <w:sz w:val="28"/>
          <w:szCs w:val="28"/>
          <w:rtl/>
        </w:rPr>
        <w:t xml:space="preserve">סעיף 144ב (א) אוסר על פרסום 'דבר' </w:t>
      </w:r>
      <w:r w:rsidRPr="00DE1BAF">
        <w:rPr>
          <w:rFonts w:cs="David" w:hint="cs"/>
          <w:b/>
          <w:bCs/>
          <w:sz w:val="28"/>
          <w:szCs w:val="28"/>
          <w:rtl/>
        </w:rPr>
        <w:t>"מתוך מטרה להסית לגזענות"</w:t>
      </w:r>
      <w:r>
        <w:rPr>
          <w:rFonts w:cs="David" w:hint="cs"/>
          <w:sz w:val="28"/>
          <w:szCs w:val="28"/>
          <w:rtl/>
        </w:rPr>
        <w:t>. אלו המילים המתארות את מהות המחשבה הפלילית הנדרשת לשכלול העבירה. מהי טיבה של המחשבה הפלילית הנדרשת</w:t>
      </w:r>
      <w:r w:rsidR="00121769">
        <w:rPr>
          <w:rFonts w:cs="David" w:hint="cs"/>
          <w:sz w:val="28"/>
          <w:szCs w:val="28"/>
          <w:rtl/>
        </w:rPr>
        <w:t>,</w:t>
      </w:r>
      <w:r>
        <w:rPr>
          <w:rFonts w:cs="David" w:hint="cs"/>
          <w:sz w:val="28"/>
          <w:szCs w:val="28"/>
          <w:rtl/>
        </w:rPr>
        <w:t xml:space="preserve"> ומהו הדין לגבי עבירות הדורשות יסוד נפשי של מטרה?</w:t>
      </w:r>
    </w:p>
    <w:p w:rsidR="00FE2E1C" w:rsidRPr="00C44EA8" w:rsidRDefault="00FE2E1C" w:rsidP="001E6195">
      <w:pPr>
        <w:spacing w:line="360" w:lineRule="auto"/>
        <w:ind w:left="283"/>
        <w:jc w:val="both"/>
        <w:rPr>
          <w:rFonts w:cs="David"/>
          <w:sz w:val="28"/>
          <w:szCs w:val="28"/>
          <w:rtl/>
        </w:rPr>
      </w:pPr>
      <w:r w:rsidRPr="00C44EA8">
        <w:rPr>
          <w:rFonts w:cs="David" w:hint="cs"/>
          <w:sz w:val="28"/>
          <w:szCs w:val="28"/>
          <w:rtl/>
        </w:rPr>
        <w:lastRenderedPageBreak/>
        <w:t>תנא</w:t>
      </w:r>
      <w:r w:rsidR="008F0302">
        <w:rPr>
          <w:rFonts w:cs="David" w:hint="cs"/>
          <w:sz w:val="28"/>
          <w:szCs w:val="28"/>
          <w:rtl/>
        </w:rPr>
        <w:t>י ראשון להוכחת "מחשבה פלילית" הו</w:t>
      </w:r>
      <w:r w:rsidRPr="00C44EA8">
        <w:rPr>
          <w:rFonts w:cs="David" w:hint="cs"/>
          <w:sz w:val="28"/>
          <w:szCs w:val="28"/>
          <w:rtl/>
        </w:rPr>
        <w:t xml:space="preserve">א קיומה של מודעות לכל רכיבי היסוד העובדתי </w:t>
      </w:r>
      <w:r w:rsidR="001E6195">
        <w:rPr>
          <w:rFonts w:cs="David" w:hint="cs"/>
          <w:sz w:val="28"/>
          <w:szCs w:val="28"/>
          <w:rtl/>
        </w:rPr>
        <w:t>של העבירה. זהו היבט הכרתי-שכלי,</w:t>
      </w:r>
      <w:r w:rsidRPr="00C44EA8">
        <w:rPr>
          <w:rStyle w:val="a5"/>
          <w:rFonts w:cs="David"/>
          <w:sz w:val="28"/>
          <w:szCs w:val="28"/>
          <w:rtl/>
        </w:rPr>
        <w:footnoteReference w:id="116"/>
      </w:r>
      <w:r w:rsidRPr="00C44EA8">
        <w:rPr>
          <w:rFonts w:cs="David" w:hint="cs"/>
          <w:sz w:val="28"/>
          <w:szCs w:val="28"/>
          <w:rtl/>
        </w:rPr>
        <w:t xml:space="preserve"> שבהתאם לו יש להוכיח, כאמור בסעיף 20 (א) לחוק העונשין</w:t>
      </w:r>
      <w:r w:rsidR="00A702E7">
        <w:rPr>
          <w:rFonts w:cs="David" w:hint="cs"/>
          <w:sz w:val="28"/>
          <w:szCs w:val="28"/>
          <w:rtl/>
        </w:rPr>
        <w:t>,</w:t>
      </w:r>
      <w:r w:rsidRPr="00C44EA8">
        <w:rPr>
          <w:rStyle w:val="a5"/>
          <w:rFonts w:cs="David"/>
          <w:sz w:val="28"/>
          <w:szCs w:val="28"/>
          <w:rtl/>
        </w:rPr>
        <w:footnoteReference w:id="117"/>
      </w:r>
      <w:r w:rsidR="00A702E7">
        <w:rPr>
          <w:rFonts w:cs="David" w:hint="cs"/>
          <w:sz w:val="28"/>
          <w:szCs w:val="28"/>
          <w:rtl/>
        </w:rPr>
        <w:t xml:space="preserve"> </w:t>
      </w:r>
      <w:r w:rsidRPr="00C44EA8">
        <w:rPr>
          <w:rFonts w:cs="David" w:hint="cs"/>
          <w:sz w:val="28"/>
          <w:szCs w:val="28"/>
          <w:rtl/>
        </w:rPr>
        <w:t xml:space="preserve">כי העושה היה מודע סובייקטיבית "לטיב המעשה, לקיום הנסיבות ולאפשרות הגרימה לתוצאות המעשה, הנמנים עם פרטי העבירה". המודעות הזו, שאינה מוגדרת בלשון החוק, היא המכנה המשותף לכל צורות המחשבה הפלילית </w:t>
      </w:r>
      <w:r>
        <w:rPr>
          <w:rFonts w:cs="David" w:hint="cs"/>
          <w:sz w:val="28"/>
          <w:szCs w:val="28"/>
          <w:rtl/>
        </w:rPr>
        <w:t>-</w:t>
      </w:r>
      <w:r w:rsidRPr="00C44EA8">
        <w:rPr>
          <w:rFonts w:cs="David" w:hint="cs"/>
          <w:sz w:val="28"/>
          <w:szCs w:val="28"/>
          <w:rtl/>
        </w:rPr>
        <w:t xml:space="preserve"> 'עבירות התנהגותיות', 'עבירות תוצאה' ו'עבירות מטרה'. </w:t>
      </w:r>
    </w:p>
    <w:p w:rsidR="00FE2E1C" w:rsidRPr="00C44EA8" w:rsidRDefault="00FE2E1C" w:rsidP="00C1064A">
      <w:pPr>
        <w:spacing w:line="360" w:lineRule="auto"/>
        <w:ind w:left="283"/>
        <w:jc w:val="both"/>
        <w:rPr>
          <w:rFonts w:cs="David"/>
          <w:sz w:val="28"/>
          <w:szCs w:val="28"/>
          <w:rtl/>
        </w:rPr>
      </w:pPr>
      <w:r w:rsidRPr="00C44EA8">
        <w:rPr>
          <w:rFonts w:cs="David" w:hint="cs"/>
          <w:sz w:val="28"/>
          <w:szCs w:val="28"/>
          <w:rtl/>
        </w:rPr>
        <w:t>המחשבה הפלילית, באופן כללי, ומודעות באופן ספציפי, מהוות הלך נפש שהוכחתו עלולה לעורר בעיות ראייתיות ולכן, נזקק בית המשפט לחזקות ראייתיות, עובדתיות הנסמכות על ניסיון החיים והשכל הישר. עם חזקות אלו נמנית החזקה כי אדם מודע לרכיבי היסוד העובדתי בעבירה שביצע, לרבות לאפשרות התרחשותה של התוצאה הטבעית העשויה לצמוח ממעשיו.</w:t>
      </w:r>
      <w:r w:rsidRPr="00C44EA8">
        <w:rPr>
          <w:rStyle w:val="a5"/>
          <w:rFonts w:cs="David"/>
          <w:sz w:val="28"/>
          <w:szCs w:val="28"/>
          <w:rtl/>
        </w:rPr>
        <w:footnoteReference w:id="118"/>
      </w:r>
      <w:r w:rsidRPr="00C44EA8">
        <w:rPr>
          <w:rFonts w:cs="David" w:hint="cs"/>
          <w:sz w:val="28"/>
          <w:szCs w:val="28"/>
          <w:rtl/>
        </w:rPr>
        <w:t xml:space="preserve"> מאחר שמדובר בחזקות עובדתיות, ניתן כמובן לסתור אותן בנסיבות המקרה הקונקרטי.</w:t>
      </w:r>
    </w:p>
    <w:p w:rsidR="00FE2E1C" w:rsidRDefault="00FE2E1C" w:rsidP="00A05685">
      <w:pPr>
        <w:spacing w:line="360" w:lineRule="auto"/>
        <w:ind w:left="283"/>
        <w:jc w:val="both"/>
        <w:rPr>
          <w:rFonts w:cs="David"/>
          <w:sz w:val="28"/>
          <w:szCs w:val="28"/>
          <w:rtl/>
        </w:rPr>
      </w:pPr>
      <w:r w:rsidRPr="00C44EA8">
        <w:rPr>
          <w:rFonts w:cs="David" w:hint="cs"/>
          <w:sz w:val="28"/>
          <w:szCs w:val="28"/>
          <w:rtl/>
        </w:rPr>
        <w:t xml:space="preserve">ישנן עבירות של מחשבה פלילית, </w:t>
      </w:r>
      <w:r w:rsidRPr="003B6555">
        <w:rPr>
          <w:rFonts w:cs="David" w:hint="cs"/>
          <w:b/>
          <w:bCs/>
          <w:sz w:val="28"/>
          <w:szCs w:val="28"/>
          <w:rtl/>
        </w:rPr>
        <w:t>אשר דורשות להוכיח מטרה</w:t>
      </w:r>
      <w:r w:rsidRPr="00C44EA8">
        <w:rPr>
          <w:rFonts w:cs="David" w:hint="cs"/>
          <w:sz w:val="28"/>
          <w:szCs w:val="28"/>
          <w:rtl/>
        </w:rPr>
        <w:t xml:space="preserve">, </w:t>
      </w:r>
      <w:r w:rsidRPr="00C44EA8">
        <w:rPr>
          <w:rFonts w:cs="David" w:hint="cs"/>
          <w:b/>
          <w:bCs/>
          <w:sz w:val="28"/>
          <w:szCs w:val="28"/>
          <w:rtl/>
        </w:rPr>
        <w:t>בנוסף</w:t>
      </w:r>
      <w:r w:rsidRPr="00C44EA8">
        <w:rPr>
          <w:rFonts w:cs="David" w:hint="cs"/>
          <w:sz w:val="28"/>
          <w:szCs w:val="28"/>
          <w:rtl/>
        </w:rPr>
        <w:t xml:space="preserve"> למחשבה הפלילית המופיעה בסעיף 20 לחוק. עבירות אלו מכונות עבירות של "כוונה מיוחדת" או "עבירות מטרה".</w:t>
      </w:r>
      <w:r w:rsidR="00A05685">
        <w:rPr>
          <w:rFonts w:cs="David" w:hint="cs"/>
          <w:sz w:val="28"/>
          <w:szCs w:val="28"/>
          <w:rtl/>
        </w:rPr>
        <w:t xml:space="preserve"> </w:t>
      </w:r>
      <w:r w:rsidRPr="00C44EA8">
        <w:rPr>
          <w:rFonts w:cs="David" w:hint="cs"/>
          <w:sz w:val="28"/>
          <w:szCs w:val="28"/>
          <w:rtl/>
        </w:rPr>
        <w:t xml:space="preserve">בהתאם לפסיקה, בעבירות מטרה, </w:t>
      </w:r>
      <w:r w:rsidRPr="00C44EA8">
        <w:rPr>
          <w:rFonts w:cs="David" w:hint="cs"/>
          <w:b/>
          <w:bCs/>
          <w:sz w:val="28"/>
          <w:szCs w:val="28"/>
          <w:rtl/>
        </w:rPr>
        <w:t>הרכיב הנפשי מתאר רצון להשגת יעד שאיננו חלק מהרכיבים העובדתיים של העבירה</w:t>
      </w:r>
      <w:r w:rsidRPr="00C44EA8">
        <w:rPr>
          <w:rFonts w:cs="David" w:hint="cs"/>
          <w:sz w:val="28"/>
          <w:szCs w:val="28"/>
          <w:rtl/>
        </w:rPr>
        <w:t>.</w:t>
      </w:r>
      <w:r w:rsidRPr="00C44EA8">
        <w:rPr>
          <w:rStyle w:val="a5"/>
          <w:rFonts w:cs="David"/>
          <w:sz w:val="28"/>
          <w:szCs w:val="28"/>
          <w:rtl/>
        </w:rPr>
        <w:footnoteReference w:id="119"/>
      </w:r>
      <w:r w:rsidRPr="00C44EA8">
        <w:rPr>
          <w:rFonts w:cs="David" w:hint="cs"/>
          <w:sz w:val="28"/>
          <w:szCs w:val="28"/>
          <w:rtl/>
        </w:rPr>
        <w:t xml:space="preserve"> עבירת מטרה עשויה להיות הן עבירה התנהגותית והן עבירה תוצאתית.</w:t>
      </w:r>
    </w:p>
    <w:p w:rsidR="00A05685" w:rsidRPr="00C44EA8" w:rsidRDefault="00A05685" w:rsidP="00A05685">
      <w:pPr>
        <w:spacing w:line="360" w:lineRule="auto"/>
        <w:ind w:left="283"/>
        <w:jc w:val="both"/>
        <w:rPr>
          <w:rFonts w:cs="David"/>
          <w:sz w:val="28"/>
          <w:szCs w:val="28"/>
          <w:rtl/>
        </w:rPr>
      </w:pPr>
      <w:r w:rsidRPr="00C44EA8">
        <w:rPr>
          <w:rFonts w:cs="David" w:hint="cs"/>
          <w:sz w:val="28"/>
          <w:szCs w:val="28"/>
          <w:rtl/>
        </w:rPr>
        <w:t xml:space="preserve">יש לשים לב כי הרכיב "מטרה" אינו מוזכר בסעיף 20 לחוק העוסק במחשבה הפלילית. לדעתם של יורם רובין ויניב ואקי, </w:t>
      </w:r>
      <w:r w:rsidRPr="00A619CA">
        <w:rPr>
          <w:rFonts w:cs="David" w:hint="cs"/>
          <w:b/>
          <w:bCs/>
          <w:sz w:val="28"/>
          <w:szCs w:val="28"/>
          <w:rtl/>
        </w:rPr>
        <w:t>המדובר בטעות, שיש בו ליצור סיבוכים קשים ומיותרים, שכן אין כל הבדל בין "כוונה" ל"מטרה" וכל הבחנה שכזו הינה מלאכותית</w:t>
      </w:r>
      <w:r w:rsidRPr="00C44EA8">
        <w:rPr>
          <w:rFonts w:cs="David" w:hint="cs"/>
          <w:sz w:val="28"/>
          <w:szCs w:val="28"/>
          <w:rtl/>
        </w:rPr>
        <w:t xml:space="preserve">, שכן בשני המקרים מדובר ברצון להשיג יעד לביצוע </w:t>
      </w:r>
      <w:r w:rsidRPr="00C44EA8">
        <w:rPr>
          <w:rFonts w:cs="David" w:hint="cs"/>
          <w:sz w:val="28"/>
          <w:szCs w:val="28"/>
          <w:rtl/>
        </w:rPr>
        <w:lastRenderedPageBreak/>
        <w:t xml:space="preserve">המעשה. לטענתם, גם קרמניצר, שהיה שותף בניסוח החוק, מודה בכך כי מבחינת היסוד הנפשי מדובר באותו יסוד ממש </w:t>
      </w:r>
      <w:r>
        <w:rPr>
          <w:rFonts w:cs="David" w:hint="cs"/>
          <w:sz w:val="28"/>
          <w:szCs w:val="28"/>
          <w:rtl/>
        </w:rPr>
        <w:t>-</w:t>
      </w:r>
      <w:r w:rsidRPr="00C44EA8">
        <w:rPr>
          <w:rFonts w:cs="David" w:hint="cs"/>
          <w:sz w:val="28"/>
          <w:szCs w:val="28"/>
          <w:rtl/>
        </w:rPr>
        <w:t xml:space="preserve"> רצון ואין כל הבדל ביניהן. השניים ממשיכים וטוענים כי </w:t>
      </w:r>
      <w:r w:rsidRPr="000D7CCD">
        <w:rPr>
          <w:rFonts w:cs="David" w:hint="cs"/>
          <w:b/>
          <w:bCs/>
          <w:sz w:val="28"/>
          <w:szCs w:val="28"/>
          <w:rtl/>
        </w:rPr>
        <w:t>הפיצול הזה שבין "כוונה" ל"מטרה" הוא הסיבה למספר הלכות מוקשות</w:t>
      </w:r>
      <w:r w:rsidRPr="00C44EA8">
        <w:rPr>
          <w:rFonts w:cs="David" w:hint="cs"/>
          <w:sz w:val="28"/>
          <w:szCs w:val="28"/>
          <w:rtl/>
        </w:rPr>
        <w:t>, לרבות אלו שעוסקות ב'הילכת הצפיות', כפי שיובא בהמשך, ולכן, ראוי לתקן את חוק העונשין ולבטל את הפיצול בין השתיים.</w:t>
      </w:r>
      <w:r w:rsidRPr="00C44EA8">
        <w:rPr>
          <w:rStyle w:val="a5"/>
          <w:rFonts w:cs="David"/>
          <w:sz w:val="28"/>
          <w:szCs w:val="28"/>
          <w:rtl/>
        </w:rPr>
        <w:footnoteReference w:id="120"/>
      </w:r>
    </w:p>
    <w:p w:rsidR="00FE2E1C" w:rsidRPr="00C44EA8" w:rsidRDefault="00FE2E1C" w:rsidP="00F119A4">
      <w:pPr>
        <w:spacing w:line="360" w:lineRule="auto"/>
        <w:ind w:left="283"/>
        <w:jc w:val="both"/>
        <w:rPr>
          <w:rFonts w:cs="David"/>
          <w:sz w:val="28"/>
          <w:szCs w:val="28"/>
          <w:rtl/>
        </w:rPr>
      </w:pPr>
      <w:r w:rsidRPr="00C44EA8">
        <w:rPr>
          <w:rFonts w:cs="David" w:hint="cs"/>
          <w:sz w:val="28"/>
          <w:szCs w:val="28"/>
          <w:rtl/>
        </w:rPr>
        <w:t xml:space="preserve">בחוות דעתו של </w:t>
      </w:r>
      <w:r w:rsidR="0077264A">
        <w:rPr>
          <w:rFonts w:cs="David" w:hint="cs"/>
          <w:sz w:val="28"/>
          <w:szCs w:val="28"/>
          <w:rtl/>
        </w:rPr>
        <w:t>כבוד השופט</w:t>
      </w:r>
      <w:r w:rsidRPr="00C44EA8">
        <w:rPr>
          <w:rFonts w:cs="David" w:hint="cs"/>
          <w:sz w:val="28"/>
          <w:szCs w:val="28"/>
          <w:rtl/>
        </w:rPr>
        <w:t xml:space="preserve"> מצא בעניין </w:t>
      </w:r>
      <w:r w:rsidRPr="0012706D">
        <w:rPr>
          <w:rFonts w:cs="David" w:hint="cs"/>
          <w:b/>
          <w:bCs/>
          <w:sz w:val="28"/>
          <w:szCs w:val="28"/>
          <w:rtl/>
        </w:rPr>
        <w:t>אלבה</w:t>
      </w:r>
      <w:r w:rsidRPr="00C44EA8">
        <w:rPr>
          <w:rFonts w:cs="David" w:hint="cs"/>
          <w:sz w:val="28"/>
          <w:szCs w:val="28"/>
          <w:rtl/>
        </w:rPr>
        <w:t>, מדובר רק במטרה ש</w:t>
      </w:r>
      <w:r w:rsidRPr="00C44EA8">
        <w:rPr>
          <w:rFonts w:cs="David" w:hint="cs"/>
          <w:b/>
          <w:bCs/>
          <w:sz w:val="28"/>
          <w:szCs w:val="28"/>
          <w:rtl/>
        </w:rPr>
        <w:t>מקבל</w:t>
      </w:r>
      <w:r w:rsidRPr="00C44EA8">
        <w:rPr>
          <w:rFonts w:cs="David" w:hint="cs"/>
          <w:sz w:val="28"/>
          <w:szCs w:val="28"/>
          <w:rtl/>
        </w:rPr>
        <w:t xml:space="preserve"> הפרסום יוסת לגזענות, כלומר: מטרתו של המסית היא </w:t>
      </w:r>
      <w:r w:rsidRPr="00C44EA8">
        <w:rPr>
          <w:rFonts w:cs="David" w:hint="cs"/>
          <w:b/>
          <w:bCs/>
          <w:sz w:val="28"/>
          <w:szCs w:val="28"/>
          <w:rtl/>
        </w:rPr>
        <w:t>ברמה המנטאלית</w:t>
      </w:r>
      <w:r w:rsidRPr="00C44EA8">
        <w:rPr>
          <w:rFonts w:cs="David" w:hint="cs"/>
          <w:sz w:val="28"/>
          <w:szCs w:val="28"/>
          <w:rtl/>
        </w:rPr>
        <w:t xml:space="preserve"> </w:t>
      </w:r>
      <w:r w:rsidRPr="00FD5F50">
        <w:rPr>
          <w:rFonts w:cs="David" w:hint="cs"/>
          <w:b/>
          <w:bCs/>
          <w:sz w:val="28"/>
          <w:szCs w:val="28"/>
          <w:rtl/>
        </w:rPr>
        <w:t>- נטיעת רעיונות גזעניים במוח קהלו</w:t>
      </w:r>
      <w:r w:rsidRPr="00C44EA8">
        <w:rPr>
          <w:rFonts w:cs="David" w:hint="cs"/>
          <w:sz w:val="28"/>
          <w:szCs w:val="28"/>
          <w:rtl/>
        </w:rPr>
        <w:t>:</w:t>
      </w:r>
      <w:r w:rsidR="004C0651">
        <w:rPr>
          <w:rStyle w:val="a5"/>
          <w:rFonts w:cs="David"/>
          <w:sz w:val="28"/>
          <w:szCs w:val="28"/>
          <w:rtl/>
        </w:rPr>
        <w:footnoteReference w:id="121"/>
      </w:r>
    </w:p>
    <w:p w:rsidR="00FE2E1C" w:rsidRPr="004C0651" w:rsidRDefault="00FE2E1C" w:rsidP="004C0651">
      <w:pPr>
        <w:spacing w:line="360" w:lineRule="auto"/>
        <w:ind w:left="720"/>
        <w:jc w:val="both"/>
        <w:rPr>
          <w:rFonts w:cs="David"/>
          <w:sz w:val="24"/>
          <w:szCs w:val="24"/>
          <w:rtl/>
        </w:rPr>
      </w:pPr>
      <w:r w:rsidRPr="004C0651">
        <w:rPr>
          <w:rFonts w:cs="David" w:hint="cs"/>
          <w:sz w:val="24"/>
          <w:szCs w:val="24"/>
          <w:rtl/>
        </w:rPr>
        <w:t>אפשרות הגרימה לתוצאות המעשה, המחייבת מודעות של המפרסם, אינה מתייחסת לפגיעה אפשרית צפויה בציבור שכנגדו מסית הפרסום, אלא רק לאפשרות שהציבור שיקבל את הפרסום יוסת בעטיו לגזענות.</w:t>
      </w:r>
    </w:p>
    <w:p w:rsidR="00FE2E1C" w:rsidRPr="00C44EA8" w:rsidRDefault="00DA58E1" w:rsidP="00DA58E1">
      <w:pPr>
        <w:spacing w:line="360" w:lineRule="auto"/>
        <w:ind w:left="283"/>
        <w:jc w:val="both"/>
        <w:rPr>
          <w:rFonts w:cs="David"/>
          <w:sz w:val="28"/>
          <w:szCs w:val="28"/>
          <w:rtl/>
        </w:rPr>
      </w:pPr>
      <w:r>
        <w:rPr>
          <w:rFonts w:cs="David" w:hint="cs"/>
          <w:sz w:val="28"/>
          <w:szCs w:val="28"/>
          <w:rtl/>
        </w:rPr>
        <w:t xml:space="preserve">מוסיף </w:t>
      </w:r>
      <w:r w:rsidR="0077264A">
        <w:rPr>
          <w:rFonts w:cs="David" w:hint="cs"/>
          <w:sz w:val="28"/>
          <w:szCs w:val="28"/>
          <w:rtl/>
        </w:rPr>
        <w:t>כבוד השופט</w:t>
      </w:r>
      <w:r>
        <w:rPr>
          <w:rFonts w:cs="David" w:hint="cs"/>
          <w:sz w:val="28"/>
          <w:szCs w:val="28"/>
          <w:rtl/>
        </w:rPr>
        <w:t xml:space="preserve"> וטוען כי </w:t>
      </w:r>
      <w:r w:rsidR="00FE2E1C" w:rsidRPr="00C44EA8">
        <w:rPr>
          <w:rFonts w:cs="David" w:hint="cs"/>
          <w:sz w:val="28"/>
          <w:szCs w:val="28"/>
          <w:rtl/>
        </w:rPr>
        <w:t xml:space="preserve">מאחר שהמדובר בעבירה התנהגותית, אזי בראייה בדיעבד, השאלה אם פרסום המסית לגזענות הביא לגזענות אם לאו, אינה חשובה. בראייה מראש, באיסור הפלילי אין לדרוש קיום מודעות לאפשרות של פגיעה בציבור שהפרסום מסית נגדו. </w:t>
      </w:r>
      <w:r w:rsidR="00FE2E1C" w:rsidRPr="00C44EA8">
        <w:rPr>
          <w:rFonts w:cs="David" w:hint="cs"/>
          <w:b/>
          <w:bCs/>
          <w:sz w:val="28"/>
          <w:szCs w:val="28"/>
          <w:rtl/>
        </w:rPr>
        <w:t>לדעתו, די אם המפרסם יהיה מודע לתוכן הפרסום ולאפשרות, גם אם זאת אפשרות רחוקה, שמקבל הפרסום יוסת לגזענות.</w:t>
      </w:r>
      <w:r w:rsidR="00FE2E1C" w:rsidRPr="00C44EA8">
        <w:rPr>
          <w:rStyle w:val="a5"/>
          <w:rFonts w:cs="David"/>
          <w:sz w:val="28"/>
          <w:szCs w:val="28"/>
          <w:rtl/>
        </w:rPr>
        <w:footnoteReference w:id="122"/>
      </w:r>
      <w:r w:rsidR="00FE2E1C" w:rsidRPr="00C44EA8">
        <w:rPr>
          <w:rFonts w:cs="David" w:hint="cs"/>
          <w:sz w:val="28"/>
          <w:szCs w:val="28"/>
          <w:rtl/>
        </w:rPr>
        <w:t xml:space="preserve"> </w:t>
      </w:r>
    </w:p>
    <w:p w:rsidR="00F0783E" w:rsidRDefault="00FE2E1C" w:rsidP="0044446F">
      <w:pPr>
        <w:spacing w:line="360" w:lineRule="auto"/>
        <w:ind w:left="283"/>
        <w:jc w:val="both"/>
        <w:rPr>
          <w:rFonts w:cs="David"/>
          <w:sz w:val="28"/>
          <w:szCs w:val="28"/>
          <w:rtl/>
        </w:rPr>
      </w:pPr>
      <w:r w:rsidRPr="00C44EA8">
        <w:rPr>
          <w:rFonts w:cs="David" w:hint="cs"/>
          <w:sz w:val="28"/>
          <w:szCs w:val="28"/>
          <w:rtl/>
        </w:rPr>
        <w:t xml:space="preserve">קרמניצר חושב אחרת. בעיניו לא ברור שפרושו הנכון של החוק ממעט כל כך במשמעותו של היסוד הנפשי הנדרש. לטעמו, </w:t>
      </w:r>
      <w:r w:rsidR="00355B88">
        <w:rPr>
          <w:rFonts w:cs="David" w:hint="cs"/>
          <w:sz w:val="28"/>
          <w:szCs w:val="28"/>
          <w:rtl/>
        </w:rPr>
        <w:t>מרבית</w:t>
      </w:r>
      <w:r w:rsidRPr="00C44EA8">
        <w:rPr>
          <w:rFonts w:cs="David" w:hint="cs"/>
          <w:sz w:val="28"/>
          <w:szCs w:val="28"/>
          <w:rtl/>
        </w:rPr>
        <w:t xml:space="preserve"> הביטויים המופיעים בהגדרת "גזענות", אם לא כולם, </w:t>
      </w:r>
      <w:r w:rsidRPr="00C44EA8">
        <w:rPr>
          <w:rFonts w:cs="David" w:hint="cs"/>
          <w:b/>
          <w:bCs/>
          <w:sz w:val="28"/>
          <w:szCs w:val="28"/>
          <w:rtl/>
        </w:rPr>
        <w:t>מגלמים עשייה</w:t>
      </w:r>
      <w:r w:rsidRPr="00C44EA8">
        <w:rPr>
          <w:rFonts w:cs="David" w:hint="cs"/>
          <w:sz w:val="28"/>
          <w:szCs w:val="28"/>
          <w:rtl/>
        </w:rPr>
        <w:t xml:space="preserve">. למשל, בביטויים "רדיפה" ו"השפלה" וכך הלאה במילות החוק שבסעיף 144א. לכן, לדעתו מדובר בהסתה לעשייה ולא בהסתה להרגשה של המוסת - "מושא מטרתו של המסית היא גזענות במובנה המצומצם יותר: קרי, </w:t>
      </w:r>
      <w:r w:rsidRPr="00C90542">
        <w:rPr>
          <w:rFonts w:cs="David" w:hint="cs"/>
          <w:b/>
          <w:bCs/>
          <w:sz w:val="28"/>
          <w:szCs w:val="28"/>
          <w:rtl/>
        </w:rPr>
        <w:t>מעשים גזעניים</w:t>
      </w:r>
      <w:r w:rsidRPr="00C44EA8">
        <w:rPr>
          <w:rFonts w:cs="David" w:hint="cs"/>
          <w:sz w:val="28"/>
          <w:szCs w:val="28"/>
          <w:rtl/>
        </w:rPr>
        <w:t>."</w:t>
      </w:r>
      <w:r w:rsidRPr="00C44EA8">
        <w:rPr>
          <w:rStyle w:val="a5"/>
          <w:rFonts w:cs="David"/>
          <w:sz w:val="28"/>
          <w:szCs w:val="28"/>
          <w:rtl/>
        </w:rPr>
        <w:footnoteReference w:id="123"/>
      </w:r>
    </w:p>
    <w:p w:rsidR="00FE2E1C" w:rsidRPr="00C44EA8" w:rsidRDefault="00FE2E1C" w:rsidP="00F119A4">
      <w:pPr>
        <w:spacing w:line="360" w:lineRule="auto"/>
        <w:ind w:left="283"/>
        <w:jc w:val="both"/>
        <w:rPr>
          <w:rFonts w:cs="David"/>
          <w:sz w:val="28"/>
          <w:szCs w:val="28"/>
          <w:rtl/>
        </w:rPr>
      </w:pPr>
      <w:r w:rsidRPr="00C44EA8">
        <w:rPr>
          <w:rFonts w:cs="David" w:hint="cs"/>
          <w:sz w:val="28"/>
          <w:szCs w:val="28"/>
          <w:rtl/>
        </w:rPr>
        <w:t>קרמניצר מרחיב וטוען כי -</w:t>
      </w:r>
    </w:p>
    <w:p w:rsidR="00FE2E1C" w:rsidRPr="00C90542" w:rsidRDefault="00FE2E1C" w:rsidP="00F119A4">
      <w:pPr>
        <w:spacing w:line="360" w:lineRule="auto"/>
        <w:ind w:left="720"/>
        <w:jc w:val="both"/>
        <w:rPr>
          <w:rFonts w:cs="David"/>
          <w:sz w:val="24"/>
          <w:szCs w:val="24"/>
          <w:rtl/>
        </w:rPr>
      </w:pPr>
      <w:r w:rsidRPr="00C90542">
        <w:rPr>
          <w:rFonts w:cs="David" w:hint="cs"/>
          <w:sz w:val="24"/>
          <w:szCs w:val="24"/>
          <w:rtl/>
        </w:rPr>
        <w:t xml:space="preserve">פרוש זה נראה עדיף גם מבחינת משמעות הביטוי "הסתה" וגם מבחינת היקפו הראוי של האיסור, במיוחד לאור הטיב המינימלי של היסוד העובדתי, כפי שהוא לעיל ולאופי הפרטי של רגשות והלכי נפש [...] כלומר: אין מדובר בסתם רצון שקולטי הפרסום יהיו מוסתים לגזענות (לעמדה או להלך נפשי גזעניים), אלא רצון </w:t>
      </w:r>
      <w:r w:rsidRPr="00C90542">
        <w:rPr>
          <w:rFonts w:cs="David" w:hint="cs"/>
          <w:b/>
          <w:bCs/>
          <w:sz w:val="24"/>
          <w:szCs w:val="24"/>
          <w:rtl/>
        </w:rPr>
        <w:t xml:space="preserve">שיפעלו </w:t>
      </w:r>
      <w:r w:rsidRPr="00C90542">
        <w:rPr>
          <w:rFonts w:cs="David" w:hint="cs"/>
          <w:sz w:val="24"/>
          <w:szCs w:val="24"/>
          <w:rtl/>
        </w:rPr>
        <w:t xml:space="preserve">באופן גזעני, כמוגדר בסעיף </w:t>
      </w:r>
      <w:r w:rsidRPr="00C90542">
        <w:rPr>
          <w:rFonts w:cs="David" w:hint="cs"/>
          <w:sz w:val="24"/>
          <w:szCs w:val="24"/>
          <w:rtl/>
        </w:rPr>
        <w:lastRenderedPageBreak/>
        <w:t xml:space="preserve">144א [...] זאת ועוד [...] </w:t>
      </w:r>
      <w:r w:rsidRPr="00C90542">
        <w:rPr>
          <w:rFonts w:cs="David" w:hint="cs"/>
          <w:b/>
          <w:bCs/>
          <w:sz w:val="24"/>
          <w:szCs w:val="24"/>
          <w:rtl/>
        </w:rPr>
        <w:t>מתבקש כי המסית ירצה באותה עשייה גזענית של קולטי הפרסום</w:t>
      </w:r>
      <w:r w:rsidRPr="00C90542">
        <w:rPr>
          <w:rFonts w:cs="David" w:hint="cs"/>
          <w:sz w:val="24"/>
          <w:szCs w:val="24"/>
          <w:rtl/>
        </w:rPr>
        <w:t>.</w:t>
      </w:r>
      <w:r w:rsidRPr="00C90542">
        <w:rPr>
          <w:rStyle w:val="a5"/>
          <w:rFonts w:cs="David"/>
          <w:sz w:val="24"/>
          <w:szCs w:val="24"/>
          <w:rtl/>
        </w:rPr>
        <w:footnoteReference w:id="124"/>
      </w:r>
      <w:r w:rsidRPr="00C90542">
        <w:rPr>
          <w:rFonts w:cs="David" w:hint="cs"/>
          <w:sz w:val="24"/>
          <w:szCs w:val="24"/>
          <w:rtl/>
        </w:rPr>
        <w:t xml:space="preserve"> (ההדגשות של הח"מ - ר"מ)</w:t>
      </w:r>
    </w:p>
    <w:p w:rsidR="00FE2E1C" w:rsidRPr="00C44EA8" w:rsidRDefault="00FE2E1C" w:rsidP="00F119A4">
      <w:pPr>
        <w:spacing w:line="360" w:lineRule="auto"/>
        <w:ind w:left="283"/>
        <w:jc w:val="both"/>
        <w:rPr>
          <w:rFonts w:cs="David"/>
          <w:sz w:val="28"/>
          <w:szCs w:val="28"/>
          <w:rtl/>
        </w:rPr>
      </w:pPr>
      <w:r w:rsidRPr="00C44EA8">
        <w:rPr>
          <w:rFonts w:cs="David" w:hint="cs"/>
          <w:sz w:val="28"/>
          <w:szCs w:val="28"/>
          <w:rtl/>
        </w:rPr>
        <w:t xml:space="preserve">לטענתו זו הוא מוצא תימוכין בהתייחסותם של הנשיא ברק, </w:t>
      </w:r>
      <w:r w:rsidR="0077264A">
        <w:rPr>
          <w:rFonts w:cs="David" w:hint="cs"/>
          <w:sz w:val="28"/>
          <w:szCs w:val="28"/>
          <w:rtl/>
        </w:rPr>
        <w:t>כבוד השופט</w:t>
      </w:r>
      <w:r w:rsidRPr="00C44EA8">
        <w:rPr>
          <w:rFonts w:cs="David" w:hint="cs"/>
          <w:sz w:val="28"/>
          <w:szCs w:val="28"/>
          <w:rtl/>
        </w:rPr>
        <w:t xml:space="preserve"> טירקל ו</w:t>
      </w:r>
      <w:r w:rsidR="0077264A">
        <w:rPr>
          <w:rFonts w:cs="David" w:hint="cs"/>
          <w:sz w:val="28"/>
          <w:szCs w:val="28"/>
          <w:rtl/>
        </w:rPr>
        <w:t>כבוד השופט</w:t>
      </w:r>
      <w:r w:rsidRPr="00C44EA8">
        <w:rPr>
          <w:rFonts w:cs="David" w:hint="cs"/>
          <w:sz w:val="28"/>
          <w:szCs w:val="28"/>
          <w:rtl/>
        </w:rPr>
        <w:t xml:space="preserve"> טל בפסק הדין בעניין </w:t>
      </w:r>
      <w:r w:rsidRPr="0012706D">
        <w:rPr>
          <w:rFonts w:cs="David" w:hint="cs"/>
          <w:b/>
          <w:bCs/>
          <w:sz w:val="28"/>
          <w:szCs w:val="28"/>
          <w:rtl/>
        </w:rPr>
        <w:t>אלבה</w:t>
      </w:r>
      <w:r w:rsidRPr="00C44EA8">
        <w:rPr>
          <w:rFonts w:cs="David" w:hint="cs"/>
          <w:sz w:val="28"/>
          <w:szCs w:val="28"/>
          <w:rtl/>
        </w:rPr>
        <w:t>.</w:t>
      </w:r>
      <w:r w:rsidRPr="00C44EA8">
        <w:rPr>
          <w:rStyle w:val="a5"/>
          <w:rFonts w:cs="David"/>
          <w:sz w:val="28"/>
          <w:szCs w:val="28"/>
          <w:rtl/>
        </w:rPr>
        <w:footnoteReference w:id="125"/>
      </w:r>
    </w:p>
    <w:p w:rsidR="00FE2E1C" w:rsidRPr="00C44EA8" w:rsidRDefault="00FE2E1C" w:rsidP="00B1047F">
      <w:pPr>
        <w:spacing w:line="360" w:lineRule="auto"/>
        <w:ind w:left="283"/>
        <w:jc w:val="both"/>
        <w:rPr>
          <w:rFonts w:cs="David"/>
          <w:sz w:val="28"/>
          <w:szCs w:val="28"/>
          <w:rtl/>
        </w:rPr>
      </w:pPr>
      <w:r w:rsidRPr="00C44EA8">
        <w:rPr>
          <w:rFonts w:cs="David" w:hint="cs"/>
          <w:sz w:val="28"/>
          <w:szCs w:val="28"/>
          <w:rtl/>
        </w:rPr>
        <w:t xml:space="preserve">בחוות דעתו של </w:t>
      </w:r>
      <w:r w:rsidR="0077264A">
        <w:rPr>
          <w:rFonts w:cs="David" w:hint="cs"/>
          <w:sz w:val="28"/>
          <w:szCs w:val="28"/>
          <w:rtl/>
        </w:rPr>
        <w:t>כבוד השופט</w:t>
      </w:r>
      <w:r w:rsidRPr="00C44EA8">
        <w:rPr>
          <w:rFonts w:cs="David" w:hint="cs"/>
          <w:sz w:val="28"/>
          <w:szCs w:val="28"/>
          <w:rtl/>
        </w:rPr>
        <w:t xml:space="preserve"> ג'ובראן בפסק דינו </w:t>
      </w:r>
      <w:r w:rsidRPr="0012706D">
        <w:rPr>
          <w:rFonts w:cs="David" w:hint="cs"/>
          <w:sz w:val="28"/>
          <w:szCs w:val="28"/>
          <w:rtl/>
        </w:rPr>
        <w:t>בעניין</w:t>
      </w:r>
      <w:r w:rsidRPr="00287C62">
        <w:rPr>
          <w:rFonts w:cs="David" w:hint="cs"/>
          <w:b/>
          <w:bCs/>
          <w:sz w:val="28"/>
          <w:szCs w:val="28"/>
          <w:rtl/>
        </w:rPr>
        <w:t xml:space="preserve"> 'תורת המלך'</w:t>
      </w:r>
      <w:r w:rsidRPr="00C44EA8">
        <w:rPr>
          <w:rFonts w:cs="David" w:hint="cs"/>
          <w:sz w:val="28"/>
          <w:szCs w:val="28"/>
          <w:rtl/>
        </w:rPr>
        <w:t xml:space="preserve"> הוא מפרט כי סעיף 144ב(ב) קובע מפורשות שאין זה משנה האם הפרסום הביא לגזענות או לאו ולכן, הוכחת יסודות העבירה אינה דורשת הוכחה של תוצאה בכלל. מכאן, </w:t>
      </w:r>
      <w:r w:rsidRPr="00C44EA8">
        <w:rPr>
          <w:rFonts w:cs="David" w:hint="cs"/>
          <w:b/>
          <w:bCs/>
          <w:sz w:val="28"/>
          <w:szCs w:val="28"/>
          <w:rtl/>
        </w:rPr>
        <w:t>שגם לא נדרש להוכיח שהמפרסם חפץ בהתממשות מעשי גזענות ואלימות שנגרמו כתוצאה מהפרסום.</w:t>
      </w:r>
      <w:r w:rsidRPr="00C44EA8">
        <w:rPr>
          <w:rFonts w:cs="David" w:hint="cs"/>
          <w:sz w:val="28"/>
          <w:szCs w:val="28"/>
          <w:rtl/>
        </w:rPr>
        <w:t xml:space="preserve"> </w:t>
      </w:r>
      <w:r w:rsidR="0077264A">
        <w:rPr>
          <w:rFonts w:cs="David" w:hint="cs"/>
          <w:sz w:val="28"/>
          <w:szCs w:val="28"/>
          <w:rtl/>
        </w:rPr>
        <w:t>כבוד השופט</w:t>
      </w:r>
      <w:r w:rsidRPr="00C44EA8">
        <w:rPr>
          <w:rFonts w:cs="David" w:hint="cs"/>
          <w:sz w:val="28"/>
          <w:szCs w:val="28"/>
          <w:rtl/>
        </w:rPr>
        <w:t xml:space="preserve"> מסכם ואומר כי כל אלו אינם חלק מיסודות עבירת ההסתה לגזענות. </w:t>
      </w:r>
      <w:r w:rsidRPr="00C44EA8">
        <w:rPr>
          <w:rFonts w:cs="David" w:hint="cs"/>
          <w:b/>
          <w:bCs/>
          <w:sz w:val="28"/>
          <w:szCs w:val="28"/>
          <w:rtl/>
        </w:rPr>
        <w:t>הסכנה הגלומה בעבירה היא בעצם הביטוי</w:t>
      </w:r>
      <w:r w:rsidRPr="00C44EA8">
        <w:rPr>
          <w:rFonts w:cs="David" w:hint="cs"/>
          <w:sz w:val="28"/>
          <w:szCs w:val="28"/>
          <w:rtl/>
        </w:rPr>
        <w:t xml:space="preserve"> </w:t>
      </w:r>
      <w:r w:rsidRPr="00C44EA8">
        <w:rPr>
          <w:rFonts w:cs="David" w:hint="cs"/>
          <w:b/>
          <w:bCs/>
          <w:sz w:val="28"/>
          <w:szCs w:val="28"/>
          <w:rtl/>
        </w:rPr>
        <w:t>המסית</w:t>
      </w:r>
      <w:r w:rsidRPr="00C44EA8">
        <w:rPr>
          <w:rFonts w:cs="David" w:hint="cs"/>
          <w:sz w:val="28"/>
          <w:szCs w:val="28"/>
          <w:rtl/>
        </w:rPr>
        <w:t xml:space="preserve"> ובחינה בדיעבד של השפעות הפרסום המסית חותרת תחת המטרה של עבירת ההסתה, שנועדו למנוע מראש את המעשה ולא בדיעבד לאחר שהתממשו.</w:t>
      </w:r>
      <w:r w:rsidRPr="00C44EA8">
        <w:rPr>
          <w:rStyle w:val="a5"/>
          <w:rFonts w:cs="David"/>
          <w:sz w:val="28"/>
          <w:szCs w:val="28"/>
          <w:rtl/>
        </w:rPr>
        <w:footnoteReference w:id="126"/>
      </w:r>
    </w:p>
    <w:p w:rsidR="00FE2E1C" w:rsidRPr="00DB3D47" w:rsidRDefault="00FE2E1C" w:rsidP="00F119A4">
      <w:pPr>
        <w:spacing w:line="360" w:lineRule="auto"/>
        <w:ind w:left="283"/>
        <w:jc w:val="both"/>
        <w:rPr>
          <w:rFonts w:cs="David"/>
          <w:sz w:val="28"/>
          <w:szCs w:val="28"/>
          <w:rtl/>
        </w:rPr>
      </w:pPr>
      <w:r w:rsidRPr="00DB3D47">
        <w:rPr>
          <w:rFonts w:cs="David" w:hint="cs"/>
          <w:sz w:val="28"/>
          <w:szCs w:val="28"/>
          <w:rtl/>
        </w:rPr>
        <w:t xml:space="preserve">'הלכת הצפיות' </w:t>
      </w:r>
    </w:p>
    <w:p w:rsidR="00FE2E1C" w:rsidRPr="00EF4B4B" w:rsidRDefault="00FE2E1C" w:rsidP="00F119A4">
      <w:pPr>
        <w:spacing w:line="360" w:lineRule="auto"/>
        <w:ind w:left="283"/>
        <w:jc w:val="both"/>
        <w:rPr>
          <w:rFonts w:cs="David"/>
          <w:sz w:val="28"/>
          <w:szCs w:val="28"/>
          <w:rtl/>
        </w:rPr>
      </w:pPr>
      <w:r w:rsidRPr="00EF4B4B">
        <w:rPr>
          <w:rFonts w:cs="David" w:hint="cs"/>
          <w:sz w:val="28"/>
          <w:szCs w:val="28"/>
          <w:rtl/>
        </w:rPr>
        <w:t>התשובה לשאלה האם במסגרת האיסור על הסתה לגזענות, צפייה בהסתברות גבוהה של אפשרות שהביטוי יסית לגזענות</w:t>
      </w:r>
      <w:r>
        <w:rPr>
          <w:rFonts w:cs="David" w:hint="cs"/>
          <w:sz w:val="28"/>
          <w:szCs w:val="28"/>
          <w:rtl/>
        </w:rPr>
        <w:t>,</w:t>
      </w:r>
      <w:r w:rsidRPr="00EF4B4B">
        <w:rPr>
          <w:rFonts w:cs="David" w:hint="cs"/>
          <w:sz w:val="28"/>
          <w:szCs w:val="28"/>
          <w:rtl/>
        </w:rPr>
        <w:t xml:space="preserve"> כמוה כמטרה של הסתה לגזענות, </w:t>
      </w:r>
      <w:r w:rsidRPr="00F0783E">
        <w:rPr>
          <w:rFonts w:cs="David" w:hint="cs"/>
          <w:b/>
          <w:bCs/>
          <w:sz w:val="28"/>
          <w:szCs w:val="28"/>
          <w:rtl/>
        </w:rPr>
        <w:t>אינה ברורה וקיימת בנוגע אליה מחלוקת בפסיקה</w:t>
      </w:r>
      <w:r w:rsidRPr="00EF4B4B">
        <w:rPr>
          <w:rFonts w:cs="David" w:hint="cs"/>
          <w:sz w:val="28"/>
          <w:szCs w:val="28"/>
          <w:rtl/>
        </w:rPr>
        <w:t xml:space="preserve">, החל מפסק הדין </w:t>
      </w:r>
      <w:r w:rsidRPr="0012706D">
        <w:rPr>
          <w:rFonts w:cs="David" w:hint="cs"/>
          <w:sz w:val="28"/>
          <w:szCs w:val="28"/>
          <w:rtl/>
        </w:rPr>
        <w:t>בעניין</w:t>
      </w:r>
      <w:r w:rsidRPr="00D83B6E">
        <w:rPr>
          <w:rFonts w:cs="David" w:hint="cs"/>
          <w:b/>
          <w:bCs/>
          <w:sz w:val="28"/>
          <w:szCs w:val="28"/>
          <w:rtl/>
        </w:rPr>
        <w:t xml:space="preserve"> אלבה</w:t>
      </w:r>
      <w:r w:rsidRPr="00EF4B4B">
        <w:rPr>
          <w:rFonts w:cs="David" w:hint="cs"/>
          <w:sz w:val="28"/>
          <w:szCs w:val="28"/>
          <w:rtl/>
        </w:rPr>
        <w:t xml:space="preserve"> (1996) ועד לפסק</w:t>
      </w:r>
      <w:r>
        <w:rPr>
          <w:rFonts w:cs="David" w:hint="cs"/>
          <w:sz w:val="28"/>
          <w:szCs w:val="28"/>
          <w:rtl/>
        </w:rPr>
        <w:t xml:space="preserve"> הדין </w:t>
      </w:r>
      <w:r w:rsidRPr="0012706D">
        <w:rPr>
          <w:rFonts w:cs="David" w:hint="cs"/>
          <w:sz w:val="28"/>
          <w:szCs w:val="28"/>
          <w:rtl/>
        </w:rPr>
        <w:t>בעניין</w:t>
      </w:r>
      <w:r w:rsidRPr="00D83B6E">
        <w:rPr>
          <w:rFonts w:cs="David" w:hint="cs"/>
          <w:b/>
          <w:bCs/>
          <w:sz w:val="28"/>
          <w:szCs w:val="28"/>
          <w:rtl/>
        </w:rPr>
        <w:t xml:space="preserve"> 'תורת המלך'</w:t>
      </w:r>
      <w:r>
        <w:rPr>
          <w:rFonts w:cs="David" w:hint="cs"/>
          <w:sz w:val="28"/>
          <w:szCs w:val="28"/>
          <w:rtl/>
        </w:rPr>
        <w:t xml:space="preserve"> (2015) ולמעשה עד היום.</w:t>
      </w:r>
    </w:p>
    <w:p w:rsidR="00FE2E1C" w:rsidRDefault="00FE2E1C" w:rsidP="00E10D44">
      <w:pPr>
        <w:spacing w:line="360" w:lineRule="auto"/>
        <w:ind w:left="283"/>
        <w:jc w:val="both"/>
        <w:rPr>
          <w:rFonts w:cs="David"/>
          <w:sz w:val="28"/>
          <w:szCs w:val="28"/>
          <w:rtl/>
        </w:rPr>
      </w:pPr>
      <w:r w:rsidRPr="00EF4B4B">
        <w:rPr>
          <w:rFonts w:cs="David" w:hint="cs"/>
          <w:sz w:val="28"/>
          <w:szCs w:val="28"/>
          <w:rtl/>
        </w:rPr>
        <w:t>הכלל החקוק בסעיף 20</w:t>
      </w:r>
      <w:r>
        <w:rPr>
          <w:rFonts w:cs="David" w:hint="cs"/>
          <w:sz w:val="28"/>
          <w:szCs w:val="28"/>
          <w:rtl/>
        </w:rPr>
        <w:t>(</w:t>
      </w:r>
      <w:r w:rsidRPr="00EF4B4B">
        <w:rPr>
          <w:rFonts w:cs="David" w:hint="cs"/>
          <w:sz w:val="28"/>
          <w:szCs w:val="28"/>
          <w:rtl/>
        </w:rPr>
        <w:t>ב</w:t>
      </w:r>
      <w:r>
        <w:rPr>
          <w:rFonts w:cs="David" w:hint="cs"/>
          <w:sz w:val="28"/>
          <w:szCs w:val="28"/>
          <w:rtl/>
        </w:rPr>
        <w:t>)</w:t>
      </w:r>
      <w:r w:rsidRPr="00EF4B4B">
        <w:rPr>
          <w:rFonts w:cs="David" w:hint="cs"/>
          <w:sz w:val="28"/>
          <w:szCs w:val="28"/>
          <w:rtl/>
        </w:rPr>
        <w:t xml:space="preserve"> לחוק העונשין, שלפיו צפייה בהסתברות גבוהה של תוצאה היא תחליף לכוונה  לגרום תוצאה אינו חל כפשוטו, ורוב </w:t>
      </w:r>
      <w:r w:rsidR="0077264A">
        <w:rPr>
          <w:rFonts w:cs="David" w:hint="cs"/>
          <w:sz w:val="28"/>
          <w:szCs w:val="28"/>
          <w:rtl/>
        </w:rPr>
        <w:t>השופט</w:t>
      </w:r>
      <w:r w:rsidRPr="00EF4B4B">
        <w:rPr>
          <w:rFonts w:cs="David" w:hint="cs"/>
          <w:sz w:val="28"/>
          <w:szCs w:val="28"/>
          <w:rtl/>
        </w:rPr>
        <w:t xml:space="preserve">ים שאימצו את הפרשנות הלשונית של הכלל החקוק לא הכריעו בתחולתה של </w:t>
      </w:r>
      <w:r>
        <w:rPr>
          <w:rFonts w:cs="David" w:hint="cs"/>
          <w:sz w:val="28"/>
          <w:szCs w:val="28"/>
          <w:rtl/>
        </w:rPr>
        <w:t>'</w:t>
      </w:r>
      <w:r w:rsidRPr="00EF4B4B">
        <w:rPr>
          <w:rFonts w:cs="David" w:hint="cs"/>
          <w:sz w:val="28"/>
          <w:szCs w:val="28"/>
          <w:rtl/>
        </w:rPr>
        <w:t>הלכת הצפיות</w:t>
      </w:r>
      <w:r>
        <w:rPr>
          <w:rFonts w:cs="David" w:hint="cs"/>
          <w:sz w:val="28"/>
          <w:szCs w:val="28"/>
          <w:rtl/>
        </w:rPr>
        <w:t>'</w:t>
      </w:r>
      <w:r w:rsidRPr="00EF4B4B">
        <w:rPr>
          <w:rFonts w:cs="David" w:hint="cs"/>
          <w:sz w:val="28"/>
          <w:szCs w:val="28"/>
          <w:rtl/>
        </w:rPr>
        <w:t xml:space="preserve"> בנוגע למטרה של הסתה לגזענות.</w:t>
      </w:r>
      <w:r w:rsidRPr="00EF4B4B">
        <w:rPr>
          <w:rStyle w:val="a5"/>
          <w:rFonts w:cs="David"/>
          <w:sz w:val="28"/>
          <w:szCs w:val="28"/>
          <w:rtl/>
        </w:rPr>
        <w:footnoteReference w:id="127"/>
      </w:r>
      <w:r w:rsidR="00E10D44">
        <w:rPr>
          <w:rFonts w:cs="David" w:hint="cs"/>
          <w:sz w:val="28"/>
          <w:szCs w:val="28"/>
          <w:rtl/>
        </w:rPr>
        <w:t xml:space="preserve"> </w:t>
      </w:r>
      <w:r>
        <w:rPr>
          <w:rFonts w:cs="David" w:hint="cs"/>
          <w:sz w:val="28"/>
          <w:szCs w:val="28"/>
          <w:rtl/>
        </w:rPr>
        <w:t>המתנגדים לשימוש ב'הלכת הצפיות' כתחליף מהותי לרכיב המטרה בעבירה זו טוענים כי הדבר יוביל לפגיעה באיזון בין חופש הביטוי לבין אינטרסים וערכים מתנגשים דוגמת, הסדר הציבורי, תקנת הציבור וכבוד האדם.</w:t>
      </w:r>
      <w:r w:rsidR="00E10D44">
        <w:rPr>
          <w:rFonts w:cs="David" w:hint="cs"/>
          <w:sz w:val="28"/>
          <w:szCs w:val="28"/>
          <w:rtl/>
        </w:rPr>
        <w:t xml:space="preserve"> </w:t>
      </w:r>
      <w:r w:rsidR="0077264A">
        <w:rPr>
          <w:rFonts w:cs="David" w:hint="cs"/>
          <w:sz w:val="28"/>
          <w:szCs w:val="28"/>
          <w:rtl/>
        </w:rPr>
        <w:t>כבוד השופט</w:t>
      </w:r>
      <w:r>
        <w:rPr>
          <w:rFonts w:cs="David" w:hint="cs"/>
          <w:sz w:val="28"/>
          <w:szCs w:val="28"/>
          <w:rtl/>
        </w:rPr>
        <w:t xml:space="preserve"> ג'ובראן מאידך, בחוות דעתו בעניין </w:t>
      </w:r>
      <w:r w:rsidRPr="0012706D">
        <w:rPr>
          <w:rFonts w:cs="David" w:hint="cs"/>
          <w:b/>
          <w:bCs/>
          <w:sz w:val="28"/>
          <w:szCs w:val="28"/>
          <w:rtl/>
        </w:rPr>
        <w:t>'תורת המלך'</w:t>
      </w:r>
      <w:r>
        <w:rPr>
          <w:rFonts w:cs="David" w:hint="cs"/>
          <w:sz w:val="28"/>
          <w:szCs w:val="28"/>
          <w:rtl/>
        </w:rPr>
        <w:t xml:space="preserve"> טוען, כי דווקא ההיסטוריה החקיקתית, כפי שהובאה באריכות לעיל, מצביעה על כך שהוספת רכיב המטרה בעבירת ההסתה לגזענות נועדה כדי להגן קודם כל על חופש </w:t>
      </w:r>
      <w:r>
        <w:rPr>
          <w:rFonts w:cs="David" w:hint="cs"/>
          <w:sz w:val="28"/>
          <w:szCs w:val="28"/>
          <w:rtl/>
        </w:rPr>
        <w:lastRenderedPageBreak/>
        <w:t xml:space="preserve">הדת ולכן, סבור </w:t>
      </w:r>
      <w:r w:rsidR="0077264A">
        <w:rPr>
          <w:rFonts w:cs="David" w:hint="cs"/>
          <w:sz w:val="28"/>
          <w:szCs w:val="28"/>
          <w:rtl/>
        </w:rPr>
        <w:t>כבוד השופט</w:t>
      </w:r>
      <w:r>
        <w:rPr>
          <w:rFonts w:cs="David" w:hint="cs"/>
          <w:sz w:val="28"/>
          <w:szCs w:val="28"/>
          <w:rtl/>
        </w:rPr>
        <w:t xml:space="preserve"> כי החלתה של 'הלכת הצפיות' כתחליף מהותי לרכיב המטרה, איננה מפרה את האיזון הראוי בין חופש הביטוי לאינטרסים האחרים.</w:t>
      </w:r>
      <w:r>
        <w:rPr>
          <w:rStyle w:val="a5"/>
          <w:rFonts w:cs="David"/>
          <w:sz w:val="28"/>
          <w:szCs w:val="28"/>
          <w:rtl/>
        </w:rPr>
        <w:footnoteReference w:id="128"/>
      </w:r>
    </w:p>
    <w:p w:rsidR="00FE2E1C" w:rsidRPr="00EF4B4B" w:rsidRDefault="00FE2E1C" w:rsidP="00F119A4">
      <w:pPr>
        <w:spacing w:line="360" w:lineRule="auto"/>
        <w:ind w:left="283"/>
        <w:jc w:val="both"/>
        <w:rPr>
          <w:rFonts w:cs="David"/>
          <w:sz w:val="28"/>
          <w:szCs w:val="28"/>
          <w:rtl/>
        </w:rPr>
      </w:pPr>
      <w:r>
        <w:rPr>
          <w:rFonts w:cs="David" w:hint="cs"/>
          <w:sz w:val="28"/>
          <w:szCs w:val="28"/>
          <w:rtl/>
        </w:rPr>
        <w:t xml:space="preserve">מעניינת בהקשר זה עמדתו של </w:t>
      </w:r>
      <w:r w:rsidRPr="00EF4B4B">
        <w:rPr>
          <w:rFonts w:cs="David" w:hint="cs"/>
          <w:sz w:val="28"/>
          <w:szCs w:val="28"/>
          <w:rtl/>
        </w:rPr>
        <w:t>קרמניצר</w:t>
      </w:r>
      <w:r>
        <w:rPr>
          <w:rFonts w:cs="David" w:hint="cs"/>
          <w:sz w:val="28"/>
          <w:szCs w:val="28"/>
          <w:rtl/>
        </w:rPr>
        <w:t xml:space="preserve"> שטוען כך</w:t>
      </w:r>
      <w:r>
        <w:rPr>
          <w:rStyle w:val="a5"/>
          <w:rFonts w:cs="David"/>
          <w:sz w:val="28"/>
          <w:szCs w:val="28"/>
          <w:rtl/>
        </w:rPr>
        <w:footnoteReference w:id="129"/>
      </w:r>
      <w:r w:rsidRPr="00EF4B4B">
        <w:rPr>
          <w:rFonts w:cs="David" w:hint="cs"/>
          <w:sz w:val="28"/>
          <w:szCs w:val="28"/>
          <w:rtl/>
        </w:rPr>
        <w:t>:</w:t>
      </w:r>
    </w:p>
    <w:p w:rsidR="00FE2E1C" w:rsidRPr="00C90542" w:rsidRDefault="00FE2E1C" w:rsidP="009C4F60">
      <w:pPr>
        <w:spacing w:line="360" w:lineRule="auto"/>
        <w:ind w:left="720"/>
        <w:jc w:val="both"/>
        <w:rPr>
          <w:rFonts w:cs="David"/>
          <w:sz w:val="24"/>
          <w:szCs w:val="24"/>
          <w:rtl/>
        </w:rPr>
      </w:pPr>
      <w:r w:rsidRPr="00C90542">
        <w:rPr>
          <w:rFonts w:cs="David" w:hint="cs"/>
          <w:sz w:val="24"/>
          <w:szCs w:val="24"/>
          <w:rtl/>
        </w:rPr>
        <w:t xml:space="preserve">נקודת האחיזה הארכימדית המצויה בסעיף (144ב שלעיל </w:t>
      </w:r>
      <w:r w:rsidRPr="00C90542">
        <w:rPr>
          <w:rFonts w:cs="David"/>
          <w:sz w:val="24"/>
          <w:szCs w:val="24"/>
          <w:rtl/>
        </w:rPr>
        <w:t>–</w:t>
      </w:r>
      <w:r w:rsidRPr="00C90542">
        <w:rPr>
          <w:rFonts w:cs="David" w:hint="cs"/>
          <w:sz w:val="24"/>
          <w:szCs w:val="24"/>
          <w:rtl/>
        </w:rPr>
        <w:t xml:space="preserve"> הערת המחבר) היא </w:t>
      </w:r>
      <w:r w:rsidRPr="00C90542">
        <w:rPr>
          <w:rFonts w:cs="David" w:hint="cs"/>
          <w:b/>
          <w:bCs/>
          <w:sz w:val="24"/>
          <w:szCs w:val="24"/>
          <w:rtl/>
        </w:rPr>
        <w:t>מטרת</w:t>
      </w:r>
      <w:r w:rsidRPr="00C90542">
        <w:rPr>
          <w:rFonts w:cs="David" w:hint="cs"/>
          <w:sz w:val="24"/>
          <w:szCs w:val="24"/>
          <w:rtl/>
        </w:rPr>
        <w:t xml:space="preserve"> </w:t>
      </w:r>
      <w:r w:rsidRPr="00A8486B">
        <w:rPr>
          <w:rFonts w:cs="David" w:hint="cs"/>
          <w:b/>
          <w:bCs/>
          <w:sz w:val="24"/>
          <w:szCs w:val="24"/>
          <w:rtl/>
        </w:rPr>
        <w:t xml:space="preserve">המפרסם </w:t>
      </w:r>
      <w:r w:rsidRPr="00C90542">
        <w:rPr>
          <w:rFonts w:cs="David" w:hint="cs"/>
          <w:sz w:val="24"/>
          <w:szCs w:val="24"/>
          <w:rtl/>
        </w:rPr>
        <w:t xml:space="preserve">[...] מבחינת משמעותו הפשוטה של יסוד המטרה [...] </w:t>
      </w:r>
      <w:r w:rsidRPr="009C4F60">
        <w:rPr>
          <w:rFonts w:cs="David" w:hint="cs"/>
          <w:b/>
          <w:bCs/>
          <w:sz w:val="24"/>
          <w:szCs w:val="24"/>
          <w:rtl/>
        </w:rPr>
        <w:t>אין מנוס מלתפוס את 'הלכת הצפיות' כתחליף מהותי ליסוד הרצוני האותנטי.</w:t>
      </w:r>
      <w:r w:rsidRPr="00C90542">
        <w:rPr>
          <w:rFonts w:cs="David" w:hint="cs"/>
          <w:sz w:val="24"/>
          <w:szCs w:val="24"/>
          <w:rtl/>
        </w:rPr>
        <w:t xml:space="preserve"> ודוק: החלפת הרצון במודעות המאופיינת כצפייה בהסתברות גבוהה היא אכן מהותית..[...] (ההדגשות של הח"מ </w:t>
      </w:r>
      <w:r w:rsidRPr="00C90542">
        <w:rPr>
          <w:rFonts w:cs="David"/>
          <w:sz w:val="24"/>
          <w:szCs w:val="24"/>
          <w:rtl/>
        </w:rPr>
        <w:t>–</w:t>
      </w:r>
      <w:r w:rsidRPr="00C90542">
        <w:rPr>
          <w:rFonts w:cs="David" w:hint="cs"/>
          <w:sz w:val="24"/>
          <w:szCs w:val="24"/>
          <w:rtl/>
        </w:rPr>
        <w:t xml:space="preserve"> ר"מ)</w:t>
      </w:r>
    </w:p>
    <w:p w:rsidR="00FE2E1C" w:rsidRDefault="00FE2E1C" w:rsidP="00FE4D8C">
      <w:pPr>
        <w:spacing w:line="360" w:lineRule="auto"/>
        <w:ind w:left="283"/>
        <w:jc w:val="both"/>
        <w:rPr>
          <w:rFonts w:cs="David"/>
          <w:sz w:val="28"/>
          <w:szCs w:val="28"/>
          <w:rtl/>
        </w:rPr>
      </w:pPr>
      <w:r w:rsidRPr="00EF4B4B">
        <w:rPr>
          <w:rFonts w:cs="David" w:hint="cs"/>
          <w:sz w:val="28"/>
          <w:szCs w:val="28"/>
          <w:rtl/>
        </w:rPr>
        <w:t>כך שלטעמו, כפי שאין לדרוש הסתברות בדרגה של 'וודאות קרובה' ביסוד העובדתי כדרישת הנשיא ברק, כך אין לדרו</w:t>
      </w:r>
      <w:r w:rsidR="00FE4D8C">
        <w:rPr>
          <w:rFonts w:cs="David" w:hint="cs"/>
          <w:sz w:val="28"/>
          <w:szCs w:val="28"/>
          <w:rtl/>
        </w:rPr>
        <w:t>ש 'מטרה' במובן הצר ביסוד הנפשי וניתן להסתפק בהחלת 'הילכת הציפיות'.</w:t>
      </w:r>
    </w:p>
    <w:p w:rsidR="0044446F" w:rsidRPr="00EF4B4B" w:rsidRDefault="00A44ED8" w:rsidP="007864AC">
      <w:pPr>
        <w:spacing w:line="360" w:lineRule="auto"/>
        <w:jc w:val="both"/>
        <w:rPr>
          <w:rFonts w:cs="David"/>
          <w:sz w:val="28"/>
          <w:szCs w:val="28"/>
          <w:rtl/>
        </w:rPr>
      </w:pPr>
      <w:r>
        <w:rPr>
          <w:rFonts w:cs="David" w:hint="cs"/>
          <w:sz w:val="28"/>
          <w:szCs w:val="28"/>
          <w:rtl/>
        </w:rPr>
        <w:t>בנוגע ל</w:t>
      </w:r>
      <w:r w:rsidR="0044446F">
        <w:rPr>
          <w:rFonts w:cs="David" w:hint="cs"/>
          <w:sz w:val="28"/>
          <w:szCs w:val="28"/>
          <w:rtl/>
        </w:rPr>
        <w:t xml:space="preserve">יסודות עבירת ההסתה לגזענות, ניתן לומר כי </w:t>
      </w:r>
      <w:r w:rsidR="00666C6B" w:rsidRPr="00D727AF">
        <w:rPr>
          <w:rFonts w:cs="David" w:hint="cs"/>
          <w:b/>
          <w:bCs/>
          <w:sz w:val="28"/>
          <w:szCs w:val="28"/>
          <w:rtl/>
        </w:rPr>
        <w:t>המצב המשפטי אינו מבואר די הצורך הן באשר ליסוד העובדתי והן באשר ליסוד הנפשי של עבירה זו.</w:t>
      </w:r>
      <w:r w:rsidR="00666C6B">
        <w:rPr>
          <w:rFonts w:cs="David" w:hint="cs"/>
          <w:sz w:val="28"/>
          <w:szCs w:val="28"/>
          <w:rtl/>
        </w:rPr>
        <w:t xml:space="preserve"> שאלות משמעותיות </w:t>
      </w:r>
      <w:r w:rsidR="00567400">
        <w:rPr>
          <w:rFonts w:cs="David" w:hint="cs"/>
          <w:sz w:val="28"/>
          <w:szCs w:val="28"/>
          <w:rtl/>
        </w:rPr>
        <w:t>נותרו פתוחות ו</w:t>
      </w:r>
      <w:r w:rsidR="00666C6B">
        <w:rPr>
          <w:rFonts w:cs="David" w:hint="cs"/>
          <w:sz w:val="28"/>
          <w:szCs w:val="28"/>
          <w:rtl/>
        </w:rPr>
        <w:t>נשארו ב'צריך עיון' וד</w:t>
      </w:r>
      <w:r w:rsidR="00E50BE0">
        <w:rPr>
          <w:rFonts w:cs="David" w:hint="cs"/>
          <w:sz w:val="28"/>
          <w:szCs w:val="28"/>
          <w:rtl/>
        </w:rPr>
        <w:t>ומה כי אי-</w:t>
      </w:r>
      <w:r w:rsidR="00666C6B">
        <w:rPr>
          <w:rFonts w:cs="David" w:hint="cs"/>
          <w:sz w:val="28"/>
          <w:szCs w:val="28"/>
          <w:rtl/>
        </w:rPr>
        <w:t xml:space="preserve">ההכרעה בשאלות אלו </w:t>
      </w:r>
      <w:r w:rsidR="00666C6B" w:rsidRPr="00D727AF">
        <w:rPr>
          <w:rFonts w:cs="David" w:hint="cs"/>
          <w:b/>
          <w:bCs/>
          <w:sz w:val="28"/>
          <w:szCs w:val="28"/>
          <w:rtl/>
        </w:rPr>
        <w:t>פוגע בדרישה כי החוק הפלילי יהיה ברור וודאי</w:t>
      </w:r>
      <w:r w:rsidR="00666C6B">
        <w:rPr>
          <w:rFonts w:cs="David" w:hint="cs"/>
          <w:sz w:val="28"/>
          <w:szCs w:val="28"/>
          <w:rtl/>
        </w:rPr>
        <w:t xml:space="preserve">, שכן אם אינו כזה הוא </w:t>
      </w:r>
      <w:r w:rsidR="00666C6B" w:rsidRPr="007F54C7">
        <w:rPr>
          <w:rFonts w:cs="David" w:hint="cs"/>
          <w:b/>
          <w:bCs/>
          <w:sz w:val="28"/>
          <w:szCs w:val="28"/>
          <w:rtl/>
        </w:rPr>
        <w:t>מקשה על הציבור לכלכל את צעדיו</w:t>
      </w:r>
      <w:r w:rsidR="00666C6B">
        <w:rPr>
          <w:rFonts w:cs="David" w:hint="cs"/>
          <w:sz w:val="28"/>
          <w:szCs w:val="28"/>
          <w:rtl/>
        </w:rPr>
        <w:t xml:space="preserve"> בהתאם לנורמות משפטיות ועלול לגרום לאובדן הביטחון המשפטי של הפרט.</w:t>
      </w:r>
      <w:r w:rsidR="00666C6B">
        <w:rPr>
          <w:rStyle w:val="a5"/>
          <w:rFonts w:cs="David"/>
          <w:sz w:val="28"/>
          <w:szCs w:val="28"/>
          <w:rtl/>
        </w:rPr>
        <w:footnoteReference w:id="130"/>
      </w:r>
      <w:r w:rsidR="00E50BE0">
        <w:rPr>
          <w:rFonts w:cs="David" w:hint="cs"/>
          <w:sz w:val="28"/>
          <w:szCs w:val="28"/>
          <w:rtl/>
        </w:rPr>
        <w:t xml:space="preserve"> לא זאת בלבד, </w:t>
      </w:r>
      <w:r w:rsidR="00E50BE0" w:rsidRPr="00D727AF">
        <w:rPr>
          <w:rFonts w:cs="David" w:hint="cs"/>
          <w:b/>
          <w:bCs/>
          <w:sz w:val="28"/>
          <w:szCs w:val="28"/>
          <w:rtl/>
        </w:rPr>
        <w:t>החקיקה המצמצמת בעניין זה, לצד פרשנות משפטית מצמצמת ולא בהירה מציבות רף גבוה להוכחת העבירה.</w:t>
      </w:r>
    </w:p>
    <w:p w:rsidR="00FE2E1C" w:rsidRPr="00FD7E68" w:rsidRDefault="00512C97" w:rsidP="00F119A4">
      <w:pPr>
        <w:spacing w:line="360" w:lineRule="auto"/>
        <w:jc w:val="both"/>
        <w:rPr>
          <w:rFonts w:cs="David"/>
          <w:b/>
          <w:bCs/>
          <w:sz w:val="28"/>
          <w:szCs w:val="28"/>
          <w:rtl/>
        </w:rPr>
      </w:pPr>
      <w:r>
        <w:rPr>
          <w:rFonts w:cs="David" w:hint="cs"/>
          <w:b/>
          <w:bCs/>
          <w:sz w:val="28"/>
          <w:szCs w:val="28"/>
          <w:rtl/>
        </w:rPr>
        <w:t>ד</w:t>
      </w:r>
      <w:r w:rsidR="00FE2E1C">
        <w:rPr>
          <w:rFonts w:cs="David" w:hint="cs"/>
          <w:b/>
          <w:bCs/>
          <w:sz w:val="28"/>
          <w:szCs w:val="28"/>
          <w:rtl/>
        </w:rPr>
        <w:t xml:space="preserve">.2 יסודות </w:t>
      </w:r>
      <w:r w:rsidR="00FE2E1C" w:rsidRPr="00FD7E68">
        <w:rPr>
          <w:rFonts w:cs="David" w:hint="cs"/>
          <w:b/>
          <w:bCs/>
          <w:sz w:val="28"/>
          <w:szCs w:val="28"/>
          <w:rtl/>
        </w:rPr>
        <w:t xml:space="preserve">עבירת </w:t>
      </w:r>
      <w:r w:rsidR="00FE2E1C">
        <w:rPr>
          <w:rFonts w:cs="David" w:hint="cs"/>
          <w:b/>
          <w:bCs/>
          <w:sz w:val="28"/>
          <w:szCs w:val="28"/>
          <w:rtl/>
        </w:rPr>
        <w:t>ה</w:t>
      </w:r>
      <w:r w:rsidR="00FE2E1C" w:rsidRPr="00FD7E68">
        <w:rPr>
          <w:rFonts w:cs="David" w:hint="cs"/>
          <w:b/>
          <w:bCs/>
          <w:sz w:val="28"/>
          <w:szCs w:val="28"/>
          <w:rtl/>
        </w:rPr>
        <w:t>הסתה לאלימות</w:t>
      </w:r>
    </w:p>
    <w:p w:rsidR="00FE2E1C" w:rsidRPr="00EF4B4B" w:rsidRDefault="00355B88" w:rsidP="008D3E6A">
      <w:pPr>
        <w:spacing w:line="360" w:lineRule="auto"/>
        <w:jc w:val="both"/>
        <w:rPr>
          <w:rFonts w:cs="David"/>
          <w:sz w:val="28"/>
          <w:szCs w:val="28"/>
          <w:rtl/>
        </w:rPr>
      </w:pPr>
      <w:r>
        <w:rPr>
          <w:rFonts w:cs="David" w:hint="cs"/>
          <w:sz w:val="28"/>
          <w:szCs w:val="28"/>
          <w:rtl/>
        </w:rPr>
        <w:t xml:space="preserve">כפי שכבר הוזכר, </w:t>
      </w:r>
      <w:r w:rsidR="00FE2E1C" w:rsidRPr="00EF4B4B">
        <w:rPr>
          <w:rFonts w:cs="David" w:hint="cs"/>
          <w:sz w:val="28"/>
          <w:szCs w:val="28"/>
          <w:rtl/>
        </w:rPr>
        <w:t>עבירת ההסתה ל</w:t>
      </w:r>
      <w:r w:rsidR="00C1064A">
        <w:rPr>
          <w:rFonts w:cs="David" w:hint="cs"/>
          <w:sz w:val="28"/>
          <w:szCs w:val="28"/>
          <w:rtl/>
        </w:rPr>
        <w:t>אלימו</w:t>
      </w:r>
      <w:r w:rsidR="00FE2E1C" w:rsidRPr="00EF4B4B">
        <w:rPr>
          <w:rFonts w:cs="David" w:hint="cs"/>
          <w:sz w:val="28"/>
          <w:szCs w:val="28"/>
          <w:rtl/>
        </w:rPr>
        <w:t xml:space="preserve">ת מעוגנת </w:t>
      </w:r>
      <w:r w:rsidR="00BB3F94">
        <w:rPr>
          <w:rFonts w:cs="David" w:hint="cs"/>
          <w:sz w:val="28"/>
          <w:szCs w:val="28"/>
          <w:rtl/>
        </w:rPr>
        <w:t xml:space="preserve">כיום </w:t>
      </w:r>
      <w:r w:rsidR="00FE2E1C" w:rsidRPr="00EF4B4B">
        <w:rPr>
          <w:rFonts w:cs="David" w:hint="cs"/>
          <w:sz w:val="28"/>
          <w:szCs w:val="28"/>
          <w:rtl/>
        </w:rPr>
        <w:t>בסעיף 144ד2 לחוק העונשין</w:t>
      </w:r>
      <w:r w:rsidR="008D3E6A">
        <w:rPr>
          <w:rFonts w:cs="David" w:hint="cs"/>
          <w:sz w:val="28"/>
          <w:szCs w:val="28"/>
          <w:rtl/>
        </w:rPr>
        <w:t>.</w:t>
      </w:r>
      <w:r w:rsidR="0048431B">
        <w:rPr>
          <w:rStyle w:val="a5"/>
          <w:rFonts w:cs="David"/>
          <w:sz w:val="28"/>
          <w:szCs w:val="28"/>
          <w:rtl/>
        </w:rPr>
        <w:footnoteReference w:id="131"/>
      </w:r>
    </w:p>
    <w:p w:rsidR="00FE2E1C" w:rsidRPr="00EF4B4B" w:rsidRDefault="00FE2E1C" w:rsidP="006C5130">
      <w:pPr>
        <w:spacing w:line="360" w:lineRule="auto"/>
        <w:jc w:val="both"/>
        <w:rPr>
          <w:rFonts w:cs="David"/>
          <w:sz w:val="28"/>
          <w:szCs w:val="28"/>
          <w:rtl/>
        </w:rPr>
      </w:pPr>
      <w:r w:rsidRPr="00EF4B4B">
        <w:rPr>
          <w:rFonts w:cs="David" w:hint="cs"/>
          <w:sz w:val="28"/>
          <w:szCs w:val="28"/>
          <w:rtl/>
        </w:rPr>
        <w:t>על פי הסעיף נדרש פרסום, כהגדרתו בסעיף 34כד לחוק,</w:t>
      </w:r>
      <w:r w:rsidRPr="00EF4B4B">
        <w:rPr>
          <w:rStyle w:val="a5"/>
          <w:rFonts w:cs="David"/>
          <w:sz w:val="28"/>
          <w:szCs w:val="28"/>
          <w:rtl/>
        </w:rPr>
        <w:footnoteReference w:id="132"/>
      </w:r>
      <w:r w:rsidRPr="00EF4B4B">
        <w:rPr>
          <w:rFonts w:cs="David" w:hint="cs"/>
          <w:sz w:val="28"/>
          <w:szCs w:val="28"/>
          <w:rtl/>
        </w:rPr>
        <w:t xml:space="preserve"> בשתי חלופות כדי שפרסום יסווג כפרסום מסית לאלימות. האחת, קריאה לעשיית מעשה אלימות והשנייה, </w:t>
      </w:r>
      <w:r w:rsidRPr="00EF4B4B">
        <w:rPr>
          <w:rFonts w:cs="David" w:hint="cs"/>
          <w:sz w:val="28"/>
          <w:szCs w:val="28"/>
          <w:rtl/>
        </w:rPr>
        <w:lastRenderedPageBreak/>
        <w:t xml:space="preserve">שקובעת רף נמוך יותר: דברי שבח, אהדה או עידוד למעשה אלימות, תמיכה או הזדהות עימו. כל אלו הם מעשה העבירה. </w:t>
      </w:r>
    </w:p>
    <w:p w:rsidR="00FE2E1C" w:rsidRPr="00EF4B4B" w:rsidRDefault="00FE2E1C" w:rsidP="00215481">
      <w:pPr>
        <w:spacing w:line="360" w:lineRule="auto"/>
        <w:jc w:val="both"/>
        <w:rPr>
          <w:rFonts w:cs="David"/>
          <w:sz w:val="28"/>
          <w:szCs w:val="28"/>
          <w:rtl/>
        </w:rPr>
      </w:pPr>
      <w:r w:rsidRPr="00EF4B4B">
        <w:rPr>
          <w:rFonts w:cs="David" w:hint="cs"/>
          <w:sz w:val="28"/>
          <w:szCs w:val="28"/>
          <w:rtl/>
        </w:rPr>
        <w:t xml:space="preserve">נסיבות העבירה </w:t>
      </w:r>
      <w:r>
        <w:rPr>
          <w:rFonts w:cs="David" w:hint="cs"/>
          <w:sz w:val="28"/>
          <w:szCs w:val="28"/>
          <w:rtl/>
        </w:rPr>
        <w:t>-</w:t>
      </w:r>
      <w:r w:rsidRPr="00EF4B4B">
        <w:rPr>
          <w:rFonts w:cs="David" w:hint="cs"/>
          <w:sz w:val="28"/>
          <w:szCs w:val="28"/>
          <w:rtl/>
        </w:rPr>
        <w:t xml:space="preserve"> </w:t>
      </w:r>
      <w:r w:rsidR="00DE57D6" w:rsidRPr="00EF4B4B">
        <w:rPr>
          <w:rFonts w:cs="David" w:hint="cs"/>
          <w:sz w:val="28"/>
          <w:szCs w:val="28"/>
          <w:rtl/>
        </w:rPr>
        <w:t>ב</w:t>
      </w:r>
      <w:r w:rsidR="00DE57D6" w:rsidRPr="00215481">
        <w:rPr>
          <w:rFonts w:cs="David" w:hint="cs"/>
          <w:sz w:val="28"/>
          <w:szCs w:val="28"/>
          <w:rtl/>
        </w:rPr>
        <w:t xml:space="preserve">עניין </w:t>
      </w:r>
      <w:r w:rsidR="00DE57D6">
        <w:rPr>
          <w:rFonts w:cs="David" w:hint="cs"/>
          <w:b/>
          <w:bCs/>
          <w:sz w:val="28"/>
          <w:szCs w:val="28"/>
          <w:rtl/>
        </w:rPr>
        <w:t>'</w:t>
      </w:r>
      <w:r w:rsidR="00DE57D6" w:rsidRPr="00EF4B4B">
        <w:rPr>
          <w:rFonts w:cs="David" w:hint="cs"/>
          <w:b/>
          <w:bCs/>
          <w:sz w:val="28"/>
          <w:szCs w:val="28"/>
          <w:rtl/>
        </w:rPr>
        <w:t>בן-חורין</w:t>
      </w:r>
      <w:r w:rsidR="00DE57D6">
        <w:rPr>
          <w:rFonts w:cs="David" w:hint="cs"/>
          <w:b/>
          <w:bCs/>
          <w:sz w:val="28"/>
          <w:szCs w:val="28"/>
          <w:rtl/>
        </w:rPr>
        <w:t>'</w:t>
      </w:r>
      <w:r w:rsidR="00DE57D6">
        <w:rPr>
          <w:rFonts w:cs="David" w:hint="cs"/>
          <w:sz w:val="28"/>
          <w:szCs w:val="28"/>
          <w:rtl/>
        </w:rPr>
        <w:t xml:space="preserve"> קבע </w:t>
      </w:r>
      <w:r w:rsidR="0077264A">
        <w:rPr>
          <w:rFonts w:cs="David" w:hint="cs"/>
          <w:sz w:val="28"/>
          <w:szCs w:val="28"/>
          <w:rtl/>
        </w:rPr>
        <w:t>כבוד השופט</w:t>
      </w:r>
      <w:r w:rsidR="00DE57D6">
        <w:rPr>
          <w:rFonts w:cs="David" w:hint="cs"/>
          <w:sz w:val="28"/>
          <w:szCs w:val="28"/>
          <w:rtl/>
        </w:rPr>
        <w:t xml:space="preserve"> הנדל כי </w:t>
      </w:r>
      <w:r w:rsidRPr="00EF4B4B">
        <w:rPr>
          <w:rFonts w:cs="David" w:hint="cs"/>
          <w:sz w:val="28"/>
          <w:szCs w:val="28"/>
          <w:rtl/>
        </w:rPr>
        <w:t xml:space="preserve">על בית המשפט לבדוק האם על פי תוכן הפרסום ונסיבותיו יש </w:t>
      </w:r>
      <w:r w:rsidRPr="00EF4B4B">
        <w:rPr>
          <w:rFonts w:cs="David" w:hint="cs"/>
          <w:b/>
          <w:bCs/>
          <w:sz w:val="28"/>
          <w:szCs w:val="28"/>
          <w:rtl/>
        </w:rPr>
        <w:t>אפשרות ממשית</w:t>
      </w:r>
      <w:r w:rsidRPr="00EF4B4B">
        <w:rPr>
          <w:rFonts w:cs="David" w:hint="cs"/>
          <w:sz w:val="28"/>
          <w:szCs w:val="28"/>
          <w:rtl/>
        </w:rPr>
        <w:t xml:space="preserve"> </w:t>
      </w:r>
      <w:r w:rsidR="00A4149C">
        <w:rPr>
          <w:rFonts w:cs="David" w:hint="cs"/>
          <w:sz w:val="28"/>
          <w:szCs w:val="28"/>
          <w:rtl/>
        </w:rPr>
        <w:t xml:space="preserve">שתביא </w:t>
      </w:r>
      <w:r w:rsidRPr="00EF4B4B">
        <w:rPr>
          <w:rFonts w:cs="David" w:hint="cs"/>
          <w:sz w:val="28"/>
          <w:szCs w:val="28"/>
          <w:rtl/>
        </w:rPr>
        <w:t xml:space="preserve">לתוצאה של עשיית מעשה אלימות. אמת המידה של אפשרות ממשית מצויה בתווך </w:t>
      </w:r>
      <w:r w:rsidR="00BB3F94">
        <w:rPr>
          <w:rFonts w:cs="David" w:hint="cs"/>
          <w:sz w:val="28"/>
          <w:szCs w:val="28"/>
          <w:rtl/>
        </w:rPr>
        <w:t>ש</w:t>
      </w:r>
      <w:r w:rsidRPr="00EF4B4B">
        <w:rPr>
          <w:rFonts w:cs="David" w:hint="cs"/>
          <w:sz w:val="28"/>
          <w:szCs w:val="28"/>
          <w:rtl/>
        </w:rPr>
        <w:t>בין 'וודאות קרובה' ובין 'אפשרות סבירה' ו'חשש לאפשרות'.</w:t>
      </w:r>
      <w:r w:rsidRPr="00EF4B4B">
        <w:rPr>
          <w:rStyle w:val="a5"/>
          <w:rFonts w:cs="David"/>
          <w:sz w:val="28"/>
          <w:szCs w:val="28"/>
          <w:rtl/>
        </w:rPr>
        <w:footnoteReference w:id="133"/>
      </w:r>
      <w:r w:rsidRPr="00EF4B4B">
        <w:rPr>
          <w:rFonts w:cs="David" w:hint="cs"/>
          <w:sz w:val="28"/>
          <w:szCs w:val="28"/>
          <w:rtl/>
        </w:rPr>
        <w:t xml:space="preserve"> רמה הסתברותית זו שונה מהפסיקה שנתנה דגש ל'וודאות הקרובה', כפי שכבר הוזכר. אם כן, בסעיף נדרש קשר בין פרסום לתוצאה בכוח, אך זאת על פי המבחן של 'אפשרות ממשית' </w:t>
      </w:r>
      <w:r>
        <w:rPr>
          <w:rFonts w:cs="David" w:hint="cs"/>
          <w:sz w:val="28"/>
          <w:szCs w:val="28"/>
          <w:rtl/>
        </w:rPr>
        <w:t>-</w:t>
      </w:r>
      <w:r w:rsidRPr="00EF4B4B">
        <w:rPr>
          <w:rFonts w:cs="David" w:hint="cs"/>
          <w:sz w:val="28"/>
          <w:szCs w:val="28"/>
          <w:rtl/>
        </w:rPr>
        <w:t xml:space="preserve"> "לא מעבר לכך ולא פחות מכך"</w:t>
      </w:r>
      <w:r w:rsidRPr="00EF4B4B">
        <w:rPr>
          <w:rStyle w:val="a5"/>
          <w:rFonts w:cs="David"/>
          <w:sz w:val="28"/>
          <w:szCs w:val="28"/>
          <w:rtl/>
        </w:rPr>
        <w:footnoteReference w:id="134"/>
      </w:r>
      <w:r w:rsidRPr="00EF4B4B">
        <w:rPr>
          <w:rFonts w:cs="David" w:hint="cs"/>
          <w:sz w:val="28"/>
          <w:szCs w:val="28"/>
          <w:rtl/>
        </w:rPr>
        <w:t xml:space="preserve">. </w:t>
      </w:r>
    </w:p>
    <w:p w:rsidR="00FE2E1C" w:rsidRPr="00EF4B4B" w:rsidRDefault="00DE57D6" w:rsidP="00DE57D6">
      <w:pPr>
        <w:spacing w:line="360" w:lineRule="auto"/>
        <w:jc w:val="both"/>
        <w:rPr>
          <w:rFonts w:cs="David"/>
          <w:sz w:val="28"/>
          <w:szCs w:val="28"/>
          <w:rtl/>
        </w:rPr>
      </w:pPr>
      <w:r>
        <w:rPr>
          <w:rFonts w:cs="David" w:hint="cs"/>
          <w:sz w:val="28"/>
          <w:szCs w:val="28"/>
          <w:rtl/>
        </w:rPr>
        <w:t>עוד ק</w:t>
      </w:r>
      <w:r w:rsidR="00FE2E1C" w:rsidRPr="00EF4B4B">
        <w:rPr>
          <w:rFonts w:cs="David" w:hint="cs"/>
          <w:sz w:val="28"/>
          <w:szCs w:val="28"/>
          <w:rtl/>
        </w:rPr>
        <w:t xml:space="preserve">בע </w:t>
      </w:r>
      <w:r w:rsidR="0077264A">
        <w:rPr>
          <w:rFonts w:cs="David" w:hint="cs"/>
          <w:sz w:val="28"/>
          <w:szCs w:val="28"/>
          <w:rtl/>
        </w:rPr>
        <w:t>כבוד השופט</w:t>
      </w:r>
      <w:r w:rsidR="00FE2E1C" w:rsidRPr="00EF4B4B">
        <w:rPr>
          <w:rFonts w:cs="David" w:hint="cs"/>
          <w:sz w:val="28"/>
          <w:szCs w:val="28"/>
          <w:rtl/>
        </w:rPr>
        <w:t xml:space="preserve"> הנדל כי על בית המשפט </w:t>
      </w:r>
      <w:r w:rsidR="00FE2E1C" w:rsidRPr="009356B5">
        <w:rPr>
          <w:rFonts w:cs="David" w:hint="cs"/>
          <w:b/>
          <w:bCs/>
          <w:sz w:val="28"/>
          <w:szCs w:val="28"/>
          <w:rtl/>
        </w:rPr>
        <w:t>לבחון כל מקרה כמכלול, מבלי לקבוע מראש מבחנים ראשיים</w:t>
      </w:r>
      <w:r w:rsidR="00FE2E1C" w:rsidRPr="00EF4B4B">
        <w:rPr>
          <w:rFonts w:cs="David" w:hint="cs"/>
          <w:sz w:val="28"/>
          <w:szCs w:val="28"/>
          <w:rtl/>
        </w:rPr>
        <w:t>. נקבע, כי בין יתר תינתן הדעת ל</w:t>
      </w:r>
      <w:r w:rsidR="00BB3F94">
        <w:rPr>
          <w:rFonts w:cs="David" w:hint="cs"/>
          <w:sz w:val="28"/>
          <w:szCs w:val="28"/>
          <w:rtl/>
        </w:rPr>
        <w:t xml:space="preserve">שאלה מיהו </w:t>
      </w:r>
      <w:r w:rsidR="00FE2E1C" w:rsidRPr="00EF4B4B">
        <w:rPr>
          <w:rFonts w:cs="David" w:hint="cs"/>
          <w:sz w:val="28"/>
          <w:szCs w:val="28"/>
          <w:rtl/>
        </w:rPr>
        <w:t xml:space="preserve">המפרסם ולאווירה השוררת בציבור בעת הפרסום, לסוג האלימות המדוברת, להיקף הקבוצה החשופה לאותה אלימות, להיקף הפרסום ולקהל היעד שלו, להקשר הפרסום, למקומו ולמדיום שבו נעשה שימוש:" יש לשאול בין היתר </w:t>
      </w:r>
      <w:r w:rsidR="00FE2E1C">
        <w:rPr>
          <w:rFonts w:cs="David" w:hint="cs"/>
          <w:sz w:val="28"/>
          <w:szCs w:val="28"/>
          <w:rtl/>
        </w:rPr>
        <w:t>-</w:t>
      </w:r>
      <w:r w:rsidR="00FE2E1C" w:rsidRPr="00EF4B4B">
        <w:rPr>
          <w:rFonts w:cs="David" w:hint="cs"/>
          <w:sz w:val="28"/>
          <w:szCs w:val="28"/>
          <w:rtl/>
        </w:rPr>
        <w:t xml:space="preserve"> מי אמר, מה נאמר, היכן נאמר, באיזה אופן נאמר, למי נאמר ובאיזו מסגרת נאמר".</w:t>
      </w:r>
      <w:r w:rsidR="00FE2E1C" w:rsidRPr="00EF4B4B">
        <w:rPr>
          <w:rStyle w:val="a5"/>
          <w:rFonts w:cs="David"/>
          <w:sz w:val="28"/>
          <w:szCs w:val="28"/>
          <w:rtl/>
        </w:rPr>
        <w:footnoteReference w:id="135"/>
      </w:r>
      <w:r w:rsidR="00FE2E1C" w:rsidRPr="00EF4B4B">
        <w:rPr>
          <w:rFonts w:cs="David" w:hint="cs"/>
          <w:sz w:val="28"/>
          <w:szCs w:val="28"/>
          <w:rtl/>
        </w:rPr>
        <w:t xml:space="preserve"> בית המשפט הדגיש כי הרשימה שכלולה בתיבה "נסיבות" אינה סגורה, אלא פתוחה במכוון. "מתפקידו של בית המשפט להתייחס למקרה שלפניו על מכלול מאפייניו כיחידה אחת המורכבת מתת-יחידות שונות. משקלה היחסי של נסיבה מסוימת עשוי להשתנות בראייה הכוללת של הדברים במקרה הקונקרטי".</w:t>
      </w:r>
      <w:r w:rsidR="00FE2E1C" w:rsidRPr="00EF4B4B">
        <w:rPr>
          <w:rStyle w:val="a5"/>
          <w:rFonts w:cs="David"/>
          <w:sz w:val="28"/>
          <w:szCs w:val="28"/>
          <w:rtl/>
        </w:rPr>
        <w:footnoteReference w:id="136"/>
      </w:r>
    </w:p>
    <w:p w:rsidR="00FE2E1C" w:rsidRPr="00EF4B4B" w:rsidRDefault="00EB5F7A" w:rsidP="00EB5F7A">
      <w:pPr>
        <w:spacing w:line="360" w:lineRule="auto"/>
        <w:jc w:val="both"/>
        <w:rPr>
          <w:rFonts w:cs="David"/>
          <w:sz w:val="28"/>
          <w:szCs w:val="28"/>
          <w:rtl/>
        </w:rPr>
      </w:pPr>
      <w:r>
        <w:rPr>
          <w:rFonts w:cs="David" w:hint="cs"/>
          <w:sz w:val="28"/>
          <w:szCs w:val="28"/>
          <w:rtl/>
        </w:rPr>
        <w:t>הדגיש</w:t>
      </w:r>
      <w:r w:rsidR="00FE2E1C" w:rsidRPr="00EF4B4B">
        <w:rPr>
          <w:rFonts w:cs="David" w:hint="cs"/>
          <w:sz w:val="28"/>
          <w:szCs w:val="28"/>
          <w:rtl/>
        </w:rPr>
        <w:t xml:space="preserve"> בית המשפט </w:t>
      </w:r>
      <w:r w:rsidR="00FE2E1C" w:rsidRPr="00B85F3C">
        <w:rPr>
          <w:rFonts w:cs="David" w:hint="cs"/>
          <w:sz w:val="28"/>
          <w:szCs w:val="28"/>
          <w:rtl/>
        </w:rPr>
        <w:t>בעניין</w:t>
      </w:r>
      <w:r w:rsidR="00FE2E1C" w:rsidRPr="00EB5F7A">
        <w:rPr>
          <w:rFonts w:cs="David" w:hint="cs"/>
          <w:b/>
          <w:bCs/>
          <w:sz w:val="28"/>
          <w:szCs w:val="28"/>
          <w:rtl/>
        </w:rPr>
        <w:t xml:space="preserve"> 'בן-חורין'</w:t>
      </w:r>
      <w:r w:rsidR="00FE2E1C" w:rsidRPr="00EF4B4B">
        <w:rPr>
          <w:rFonts w:cs="David" w:hint="cs"/>
          <w:sz w:val="28"/>
          <w:szCs w:val="28"/>
          <w:rtl/>
        </w:rPr>
        <w:t xml:space="preserve"> כי מעשה האלימות שיש לבחון את האפשרות למימושו, לא חייב להיות מעשה דומה לזה שמופיע בפרסום. כך למשל, פרסום תמיכה ברצח, שעלול להביא לתקיפה "בלבד" עונה על דרישות הסעיף. </w:t>
      </w:r>
    </w:p>
    <w:p w:rsidR="0005391C" w:rsidRPr="00EF4B4B" w:rsidRDefault="0005391C" w:rsidP="005E57ED">
      <w:pPr>
        <w:spacing w:line="360" w:lineRule="auto"/>
        <w:jc w:val="both"/>
        <w:rPr>
          <w:rFonts w:cs="David"/>
          <w:sz w:val="28"/>
          <w:szCs w:val="28"/>
          <w:rtl/>
        </w:rPr>
      </w:pPr>
      <w:r>
        <w:rPr>
          <w:rFonts w:cs="David" w:hint="cs"/>
          <w:sz w:val="28"/>
          <w:szCs w:val="28"/>
          <w:rtl/>
        </w:rPr>
        <w:t xml:space="preserve">בתוך כך </w:t>
      </w:r>
      <w:r w:rsidR="00FE2E1C" w:rsidRPr="00EF4B4B">
        <w:rPr>
          <w:rFonts w:cs="David" w:hint="cs"/>
          <w:sz w:val="28"/>
          <w:szCs w:val="28"/>
          <w:rtl/>
        </w:rPr>
        <w:t xml:space="preserve">ראוי לציין, את עמדת המיעוט של </w:t>
      </w:r>
      <w:r w:rsidR="0077264A">
        <w:rPr>
          <w:rFonts w:cs="David" w:hint="cs"/>
          <w:sz w:val="28"/>
          <w:szCs w:val="28"/>
          <w:rtl/>
        </w:rPr>
        <w:t>כבוד השופט</w:t>
      </w:r>
      <w:r w:rsidR="00FE2E1C" w:rsidRPr="00EF4B4B">
        <w:rPr>
          <w:rFonts w:cs="David" w:hint="cs"/>
          <w:sz w:val="28"/>
          <w:szCs w:val="28"/>
          <w:rtl/>
        </w:rPr>
        <w:t xml:space="preserve"> ג'ובראן </w:t>
      </w:r>
      <w:r w:rsidR="00FE2E1C">
        <w:rPr>
          <w:rFonts w:cs="David" w:hint="cs"/>
          <w:sz w:val="28"/>
          <w:szCs w:val="28"/>
          <w:rtl/>
        </w:rPr>
        <w:t>ב</w:t>
      </w:r>
      <w:r w:rsidR="00FE2E1C" w:rsidRPr="00645459">
        <w:rPr>
          <w:rFonts w:cs="David" w:hint="cs"/>
          <w:b/>
          <w:bCs/>
          <w:sz w:val="28"/>
          <w:szCs w:val="28"/>
          <w:rtl/>
        </w:rPr>
        <w:t>רע"פ</w:t>
      </w:r>
      <w:r w:rsidR="00FE2E1C" w:rsidRPr="00645459">
        <w:rPr>
          <w:rFonts w:cs="David"/>
          <w:b/>
          <w:bCs/>
          <w:sz w:val="28"/>
          <w:szCs w:val="28"/>
        </w:rPr>
        <w:t xml:space="preserve"> </w:t>
      </w:r>
      <w:r w:rsidR="00FE2E1C" w:rsidRPr="00645459">
        <w:rPr>
          <w:rFonts w:cs="David" w:hint="cs"/>
          <w:b/>
          <w:bCs/>
          <w:sz w:val="28"/>
          <w:szCs w:val="28"/>
          <w:rtl/>
        </w:rPr>
        <w:t xml:space="preserve">ראאד סלאח מחאג'נה נ' מדינת ישראל </w:t>
      </w:r>
      <w:r w:rsidR="00FE2E1C" w:rsidRPr="00EF4B4B">
        <w:rPr>
          <w:rFonts w:cs="David" w:hint="cs"/>
          <w:sz w:val="28"/>
          <w:szCs w:val="28"/>
          <w:rtl/>
        </w:rPr>
        <w:t xml:space="preserve">(להלן: </w:t>
      </w:r>
      <w:r w:rsidR="00FE2E1C" w:rsidRPr="00EF4B4B">
        <w:rPr>
          <w:rFonts w:cs="David" w:hint="cs"/>
          <w:b/>
          <w:bCs/>
          <w:sz w:val="28"/>
          <w:szCs w:val="28"/>
          <w:rtl/>
        </w:rPr>
        <w:t>עניין ראאד סלאח</w:t>
      </w:r>
      <w:r w:rsidR="00FE2E1C" w:rsidRPr="00EF4B4B">
        <w:rPr>
          <w:rFonts w:cs="David" w:hint="cs"/>
          <w:sz w:val="28"/>
          <w:szCs w:val="28"/>
          <w:rtl/>
        </w:rPr>
        <w:t>),</w:t>
      </w:r>
      <w:r w:rsidR="00FE2E1C" w:rsidRPr="00EF4B4B">
        <w:rPr>
          <w:rStyle w:val="a5"/>
          <w:rFonts w:cs="David"/>
          <w:sz w:val="28"/>
          <w:szCs w:val="28"/>
          <w:rtl/>
        </w:rPr>
        <w:footnoteReference w:id="137"/>
      </w:r>
      <w:r w:rsidR="00FE2E1C" w:rsidRPr="00EF4B4B">
        <w:rPr>
          <w:rFonts w:cs="David" w:hint="cs"/>
          <w:sz w:val="28"/>
          <w:szCs w:val="28"/>
          <w:rtl/>
        </w:rPr>
        <w:t xml:space="preserve"> </w:t>
      </w:r>
      <w:r>
        <w:rPr>
          <w:rFonts w:cs="David" w:hint="cs"/>
          <w:sz w:val="28"/>
          <w:szCs w:val="28"/>
          <w:rtl/>
        </w:rPr>
        <w:t>לפיה</w:t>
      </w:r>
      <w:r w:rsidR="00FE2E1C" w:rsidRPr="00EF4B4B">
        <w:rPr>
          <w:rFonts w:cs="David" w:hint="cs"/>
          <w:sz w:val="28"/>
          <w:szCs w:val="28"/>
          <w:rtl/>
        </w:rPr>
        <w:t xml:space="preserve"> במסגרת שקלול בחינת נסיבות הפרסום ישנה חשיבות רבה לאוניברסאליות של הקהל הנמען בהבנת משמעות</w:t>
      </w:r>
      <w:r w:rsidR="006726FD">
        <w:rPr>
          <w:rFonts w:cs="David" w:hint="cs"/>
          <w:sz w:val="28"/>
          <w:szCs w:val="28"/>
          <w:rtl/>
        </w:rPr>
        <w:t>ו</w:t>
      </w:r>
      <w:r w:rsidR="00FE2E1C" w:rsidRPr="00EF4B4B">
        <w:rPr>
          <w:rFonts w:cs="David" w:hint="cs"/>
          <w:sz w:val="28"/>
          <w:szCs w:val="28"/>
          <w:rtl/>
        </w:rPr>
        <w:t xml:space="preserve"> של הדבר המפו</w:t>
      </w:r>
      <w:r w:rsidR="00FE2E1C">
        <w:rPr>
          <w:rFonts w:cs="David" w:hint="cs"/>
          <w:sz w:val="28"/>
          <w:szCs w:val="28"/>
          <w:rtl/>
        </w:rPr>
        <w:t>ר</w:t>
      </w:r>
      <w:r w:rsidR="00FE2E1C" w:rsidRPr="00EF4B4B">
        <w:rPr>
          <w:rFonts w:cs="David" w:hint="cs"/>
          <w:sz w:val="28"/>
          <w:szCs w:val="28"/>
          <w:rtl/>
        </w:rPr>
        <w:t xml:space="preserve">סם. לטעמו, אם המפרסם </w:t>
      </w:r>
      <w:r w:rsidR="005E57ED">
        <w:rPr>
          <w:rFonts w:cs="David" w:hint="cs"/>
          <w:sz w:val="28"/>
          <w:szCs w:val="28"/>
          <w:rtl/>
        </w:rPr>
        <w:t>אינו</w:t>
      </w:r>
      <w:r w:rsidR="00FE2E1C" w:rsidRPr="00EF4B4B">
        <w:rPr>
          <w:rFonts w:cs="David" w:hint="cs"/>
          <w:sz w:val="28"/>
          <w:szCs w:val="28"/>
          <w:rtl/>
        </w:rPr>
        <w:t xml:space="preserve"> מדבר אל קהל ספציפי, להוט ופוליטי</w:t>
      </w:r>
      <w:r w:rsidR="00FE2E1C">
        <w:rPr>
          <w:rFonts w:cs="David" w:hint="cs"/>
          <w:sz w:val="28"/>
          <w:szCs w:val="28"/>
          <w:rtl/>
        </w:rPr>
        <w:t>,</w:t>
      </w:r>
      <w:r w:rsidR="00FE2E1C" w:rsidRPr="00EF4B4B">
        <w:rPr>
          <w:rFonts w:cs="David" w:hint="cs"/>
          <w:sz w:val="28"/>
          <w:szCs w:val="28"/>
          <w:rtl/>
        </w:rPr>
        <w:t xml:space="preserve"> אלא לקהל כללי</w:t>
      </w:r>
      <w:r w:rsidR="00FE2E1C">
        <w:rPr>
          <w:rFonts w:cs="David" w:hint="cs"/>
          <w:sz w:val="28"/>
          <w:szCs w:val="28"/>
          <w:rtl/>
        </w:rPr>
        <w:t>,</w:t>
      </w:r>
      <w:r w:rsidR="00FE2E1C" w:rsidRPr="00EF4B4B">
        <w:rPr>
          <w:rFonts w:cs="David" w:hint="cs"/>
          <w:sz w:val="28"/>
          <w:szCs w:val="28"/>
          <w:rtl/>
        </w:rPr>
        <w:t xml:space="preserve"> </w:t>
      </w:r>
      <w:r w:rsidR="006726FD">
        <w:rPr>
          <w:rFonts w:cs="David" w:hint="cs"/>
          <w:sz w:val="28"/>
          <w:szCs w:val="28"/>
          <w:rtl/>
        </w:rPr>
        <w:t xml:space="preserve">פוחתת </w:t>
      </w:r>
      <w:r w:rsidR="00FE2E1C" w:rsidRPr="00EF4B4B">
        <w:rPr>
          <w:rFonts w:cs="David" w:hint="cs"/>
          <w:sz w:val="28"/>
          <w:szCs w:val="28"/>
          <w:rtl/>
        </w:rPr>
        <w:t>ספציפיות הקריאה</w:t>
      </w:r>
      <w:r w:rsidR="00CE4EBA">
        <w:rPr>
          <w:rFonts w:cs="David" w:hint="cs"/>
          <w:sz w:val="28"/>
          <w:szCs w:val="28"/>
          <w:rtl/>
        </w:rPr>
        <w:t>,</w:t>
      </w:r>
      <w:r w:rsidR="00FE2E1C" w:rsidRPr="00EF4B4B">
        <w:rPr>
          <w:rFonts w:cs="David" w:hint="cs"/>
          <w:sz w:val="28"/>
          <w:szCs w:val="28"/>
          <w:rtl/>
        </w:rPr>
        <w:t xml:space="preserve"> וכפועל יוצא </w:t>
      </w:r>
      <w:r w:rsidR="006726FD" w:rsidRPr="006A23C7">
        <w:rPr>
          <w:rFonts w:cs="David" w:hint="cs"/>
          <w:b/>
          <w:bCs/>
          <w:sz w:val="28"/>
          <w:szCs w:val="28"/>
          <w:rtl/>
        </w:rPr>
        <w:t>פוחתת</w:t>
      </w:r>
      <w:r w:rsidR="006726FD">
        <w:rPr>
          <w:rFonts w:cs="David" w:hint="cs"/>
          <w:sz w:val="28"/>
          <w:szCs w:val="28"/>
          <w:rtl/>
        </w:rPr>
        <w:t xml:space="preserve"> </w:t>
      </w:r>
      <w:r w:rsidR="00FE2E1C" w:rsidRPr="00EF4B4B">
        <w:rPr>
          <w:rFonts w:cs="David" w:hint="cs"/>
          <w:sz w:val="28"/>
          <w:szCs w:val="28"/>
          <w:rtl/>
        </w:rPr>
        <w:lastRenderedPageBreak/>
        <w:t>האפשרות כי אותה קריאה תביא 'כאפשרות ממשית' לעשיית מעשה אלימות.</w:t>
      </w:r>
      <w:r>
        <w:rPr>
          <w:rFonts w:cs="David" w:hint="cs"/>
          <w:sz w:val="28"/>
          <w:szCs w:val="28"/>
          <w:rtl/>
        </w:rPr>
        <w:t xml:space="preserve"> בכך  מרחיב </w:t>
      </w:r>
      <w:r w:rsidR="0077264A">
        <w:rPr>
          <w:rFonts w:cs="David" w:hint="cs"/>
          <w:sz w:val="28"/>
          <w:szCs w:val="28"/>
          <w:rtl/>
        </w:rPr>
        <w:t>כבוד השופט</w:t>
      </w:r>
      <w:r>
        <w:rPr>
          <w:rFonts w:cs="David" w:hint="cs"/>
          <w:sz w:val="28"/>
          <w:szCs w:val="28"/>
          <w:rtl/>
        </w:rPr>
        <w:t xml:space="preserve"> ג'ובראן את הגנת חופש הביטוי</w:t>
      </w:r>
      <w:r w:rsidR="006A23C7">
        <w:rPr>
          <w:rFonts w:cs="David" w:hint="cs"/>
          <w:sz w:val="28"/>
          <w:szCs w:val="28"/>
          <w:rtl/>
        </w:rPr>
        <w:t xml:space="preserve"> של המפרסם.</w:t>
      </w:r>
    </w:p>
    <w:p w:rsidR="00FE2E1C" w:rsidRDefault="00FE2E1C" w:rsidP="009D1ADC">
      <w:pPr>
        <w:spacing w:line="360" w:lineRule="auto"/>
        <w:jc w:val="both"/>
        <w:rPr>
          <w:rFonts w:cs="David"/>
          <w:sz w:val="28"/>
          <w:szCs w:val="28"/>
          <w:rtl/>
        </w:rPr>
      </w:pPr>
      <w:r w:rsidRPr="00EF4B4B">
        <w:rPr>
          <w:rFonts w:cs="David" w:hint="cs"/>
          <w:sz w:val="28"/>
          <w:szCs w:val="28"/>
          <w:rtl/>
        </w:rPr>
        <w:t>באשר ליסוד הנפשי</w:t>
      </w:r>
      <w:r w:rsidR="00057A59">
        <w:rPr>
          <w:rFonts w:cs="David" w:hint="cs"/>
          <w:sz w:val="28"/>
          <w:szCs w:val="28"/>
          <w:rtl/>
        </w:rPr>
        <w:t xml:space="preserve"> בעבירה זו</w:t>
      </w:r>
      <w:r w:rsidRPr="00EF4B4B">
        <w:rPr>
          <w:rFonts w:cs="David" w:hint="cs"/>
          <w:sz w:val="28"/>
          <w:szCs w:val="28"/>
          <w:rtl/>
        </w:rPr>
        <w:t xml:space="preserve">, </w:t>
      </w:r>
      <w:r w:rsidR="00057A59">
        <w:rPr>
          <w:rFonts w:cs="David" w:hint="cs"/>
          <w:sz w:val="28"/>
          <w:szCs w:val="28"/>
          <w:rtl/>
        </w:rPr>
        <w:t xml:space="preserve">יש לומר כי </w:t>
      </w:r>
      <w:r w:rsidRPr="00EF4B4B">
        <w:rPr>
          <w:rFonts w:cs="David" w:hint="cs"/>
          <w:sz w:val="28"/>
          <w:szCs w:val="28"/>
          <w:rtl/>
        </w:rPr>
        <w:t xml:space="preserve">הכוונה הדרושה הינה כוונה רגילה, כלומר מודעות לטיב המעשה והתקיימות </w:t>
      </w:r>
      <w:r w:rsidR="009D1ADC">
        <w:rPr>
          <w:rFonts w:cs="David" w:hint="cs"/>
          <w:sz w:val="28"/>
          <w:szCs w:val="28"/>
          <w:rtl/>
        </w:rPr>
        <w:t>ה</w:t>
      </w:r>
      <w:r w:rsidRPr="00EF4B4B">
        <w:rPr>
          <w:rFonts w:cs="David" w:hint="cs"/>
          <w:sz w:val="28"/>
          <w:szCs w:val="28"/>
          <w:rtl/>
        </w:rPr>
        <w:t>נסיבות.</w:t>
      </w:r>
    </w:p>
    <w:p w:rsidR="004C1CA2" w:rsidRPr="00EF4B4B" w:rsidRDefault="004C1CA2" w:rsidP="00C7546B">
      <w:pPr>
        <w:spacing w:line="360" w:lineRule="auto"/>
        <w:jc w:val="both"/>
        <w:rPr>
          <w:rFonts w:cs="David"/>
          <w:sz w:val="28"/>
          <w:szCs w:val="28"/>
          <w:rtl/>
        </w:rPr>
      </w:pPr>
      <w:r>
        <w:rPr>
          <w:rFonts w:cs="David" w:hint="cs"/>
          <w:sz w:val="28"/>
          <w:szCs w:val="28"/>
          <w:rtl/>
        </w:rPr>
        <w:t xml:space="preserve">נראה כי כאן, בשונה מעבירת ההסתה לגזענות, המצב המשפטי ברור יותר, </w:t>
      </w:r>
      <w:r w:rsidRPr="00CC5825">
        <w:rPr>
          <w:rFonts w:cs="David" w:hint="cs"/>
          <w:b/>
          <w:bCs/>
          <w:sz w:val="28"/>
          <w:szCs w:val="28"/>
          <w:rtl/>
        </w:rPr>
        <w:t>אך עדיין נדרש מבחן הסתברותי לא מבוטל כדי למלא את יסודות העבירה ועמידה במבחנים שקבעה הפסיקה, שאינם מבחנים 'סגורים'</w:t>
      </w:r>
      <w:r w:rsidR="002C5F09" w:rsidRPr="00CC5825">
        <w:rPr>
          <w:rFonts w:cs="David" w:hint="cs"/>
          <w:b/>
          <w:bCs/>
          <w:sz w:val="28"/>
          <w:szCs w:val="28"/>
          <w:rtl/>
        </w:rPr>
        <w:t>.</w:t>
      </w:r>
      <w:r>
        <w:rPr>
          <w:rFonts w:cs="David" w:hint="cs"/>
          <w:sz w:val="28"/>
          <w:szCs w:val="28"/>
          <w:rtl/>
        </w:rPr>
        <w:t xml:space="preserve"> לכן</w:t>
      </w:r>
      <w:r w:rsidR="002C5F09">
        <w:rPr>
          <w:rFonts w:cs="David" w:hint="cs"/>
          <w:sz w:val="28"/>
          <w:szCs w:val="28"/>
          <w:rtl/>
        </w:rPr>
        <w:t>,</w:t>
      </w:r>
      <w:r>
        <w:rPr>
          <w:rFonts w:cs="David" w:hint="cs"/>
          <w:sz w:val="28"/>
          <w:szCs w:val="28"/>
          <w:rtl/>
        </w:rPr>
        <w:t xml:space="preserve"> </w:t>
      </w:r>
      <w:r w:rsidR="00BC6884">
        <w:rPr>
          <w:rFonts w:cs="David" w:hint="cs"/>
          <w:sz w:val="28"/>
          <w:szCs w:val="28"/>
          <w:rtl/>
        </w:rPr>
        <w:t xml:space="preserve">מבחן "האפשרות הממשית" הינו </w:t>
      </w:r>
      <w:r w:rsidR="00BC6884" w:rsidRPr="00CC5825">
        <w:rPr>
          <w:rFonts w:cs="David" w:hint="cs"/>
          <w:b/>
          <w:bCs/>
          <w:sz w:val="28"/>
          <w:szCs w:val="28"/>
          <w:rtl/>
        </w:rPr>
        <w:t>קשה להערכה ולהוכחה</w:t>
      </w:r>
      <w:r w:rsidR="00BC6884">
        <w:rPr>
          <w:rFonts w:cs="David" w:hint="cs"/>
          <w:sz w:val="28"/>
          <w:szCs w:val="28"/>
          <w:rtl/>
        </w:rPr>
        <w:t xml:space="preserve"> ואין ביטחון כי הוא מאפשר הגנה מספקת על הערכים המוגנים על ידי האיסור שבעבירת ההסתה לאלימות, כפי שיובאו בהמשך.</w:t>
      </w:r>
    </w:p>
    <w:p w:rsidR="00FE2E1C" w:rsidRPr="00633912" w:rsidRDefault="00512C97" w:rsidP="00F119A4">
      <w:pPr>
        <w:spacing w:line="360" w:lineRule="auto"/>
        <w:jc w:val="both"/>
        <w:rPr>
          <w:rFonts w:cs="David"/>
          <w:b/>
          <w:bCs/>
          <w:sz w:val="28"/>
          <w:szCs w:val="28"/>
          <w:rtl/>
        </w:rPr>
      </w:pPr>
      <w:r>
        <w:rPr>
          <w:rFonts w:cs="David" w:hint="cs"/>
          <w:b/>
          <w:bCs/>
          <w:sz w:val="28"/>
          <w:szCs w:val="28"/>
          <w:rtl/>
        </w:rPr>
        <w:t>ד</w:t>
      </w:r>
      <w:r w:rsidR="00FE2E1C">
        <w:rPr>
          <w:rFonts w:cs="David" w:hint="cs"/>
          <w:b/>
          <w:bCs/>
          <w:sz w:val="28"/>
          <w:szCs w:val="28"/>
          <w:rtl/>
        </w:rPr>
        <w:t xml:space="preserve">.3 </w:t>
      </w:r>
      <w:r w:rsidR="00FE2E1C" w:rsidRPr="00633912">
        <w:rPr>
          <w:rFonts w:cs="David" w:hint="cs"/>
          <w:b/>
          <w:bCs/>
          <w:sz w:val="28"/>
          <w:szCs w:val="28"/>
          <w:rtl/>
        </w:rPr>
        <w:t>מה בין הסתה לגזענות להסתה לאלימות</w:t>
      </w:r>
    </w:p>
    <w:p w:rsidR="00FE2E1C" w:rsidRPr="00EF4B4B" w:rsidRDefault="006D3DDE" w:rsidP="004C6FED">
      <w:pPr>
        <w:spacing w:line="360" w:lineRule="auto"/>
        <w:jc w:val="both"/>
        <w:rPr>
          <w:rFonts w:cs="David"/>
          <w:sz w:val="28"/>
          <w:szCs w:val="28"/>
          <w:rtl/>
        </w:rPr>
      </w:pPr>
      <w:r>
        <w:rPr>
          <w:rFonts w:cs="David" w:hint="cs"/>
          <w:sz w:val="28"/>
          <w:szCs w:val="28"/>
          <w:rtl/>
        </w:rPr>
        <w:t xml:space="preserve">בפסק הדין </w:t>
      </w:r>
      <w:r w:rsidR="00FE2E1C" w:rsidRPr="00EF4B4B">
        <w:rPr>
          <w:rFonts w:cs="David" w:hint="cs"/>
          <w:sz w:val="28"/>
          <w:szCs w:val="28"/>
          <w:rtl/>
        </w:rPr>
        <w:t xml:space="preserve">בעניין </w:t>
      </w:r>
      <w:r w:rsidR="00FE2E1C" w:rsidRPr="0012706D">
        <w:rPr>
          <w:rFonts w:cs="David" w:hint="cs"/>
          <w:b/>
          <w:bCs/>
          <w:sz w:val="28"/>
          <w:szCs w:val="28"/>
          <w:rtl/>
        </w:rPr>
        <w:t>'תורת המלך'</w:t>
      </w:r>
      <w:r w:rsidR="00FE2E1C" w:rsidRPr="00EF4B4B">
        <w:rPr>
          <w:rFonts w:cs="David" w:hint="cs"/>
          <w:sz w:val="28"/>
          <w:szCs w:val="28"/>
          <w:rtl/>
        </w:rPr>
        <w:t xml:space="preserve"> </w:t>
      </w:r>
      <w:r>
        <w:rPr>
          <w:rFonts w:cs="David" w:hint="cs"/>
          <w:sz w:val="28"/>
          <w:szCs w:val="28"/>
          <w:rtl/>
        </w:rPr>
        <w:t xml:space="preserve">דן בית המשפט </w:t>
      </w:r>
      <w:r w:rsidR="00FE2E1C" w:rsidRPr="00EF4B4B">
        <w:rPr>
          <w:rFonts w:cs="David" w:hint="cs"/>
          <w:sz w:val="28"/>
          <w:szCs w:val="28"/>
          <w:rtl/>
        </w:rPr>
        <w:t>באופן נרחב ביסודות עבירת ההסתה לגזענות וההסתה לאלימות</w:t>
      </w:r>
      <w:r>
        <w:rPr>
          <w:rFonts w:cs="David" w:hint="cs"/>
          <w:sz w:val="28"/>
          <w:szCs w:val="28"/>
          <w:rtl/>
        </w:rPr>
        <w:t xml:space="preserve">, ולאחר שהשווה </w:t>
      </w:r>
      <w:r w:rsidR="00FE2E1C" w:rsidRPr="00EF4B4B">
        <w:rPr>
          <w:rFonts w:cs="David" w:hint="cs"/>
          <w:sz w:val="28"/>
          <w:szCs w:val="28"/>
          <w:rtl/>
        </w:rPr>
        <w:t xml:space="preserve">בין שתי עבירות אלו </w:t>
      </w:r>
      <w:r>
        <w:rPr>
          <w:rFonts w:cs="David" w:hint="cs"/>
          <w:sz w:val="28"/>
          <w:szCs w:val="28"/>
          <w:rtl/>
        </w:rPr>
        <w:t>קבע</w:t>
      </w:r>
      <w:r w:rsidR="00FE2E1C" w:rsidRPr="00EF4B4B">
        <w:rPr>
          <w:rFonts w:cs="David" w:hint="cs"/>
          <w:sz w:val="28"/>
          <w:szCs w:val="28"/>
          <w:rtl/>
        </w:rPr>
        <w:t xml:space="preserve"> כי שתי העבירות דומות ביסודן. עם זאת, ישנם שני הבדלים מרכזיים, </w:t>
      </w:r>
      <w:r>
        <w:rPr>
          <w:rFonts w:cs="David" w:hint="cs"/>
          <w:sz w:val="28"/>
          <w:szCs w:val="28"/>
          <w:rtl/>
        </w:rPr>
        <w:t>שכבר הובאו לעיל, אך יחודדו להלן:</w:t>
      </w:r>
    </w:p>
    <w:p w:rsidR="00FE2E1C" w:rsidRPr="00EF4B4B" w:rsidRDefault="00FE2E1C" w:rsidP="00A028B7">
      <w:pPr>
        <w:spacing w:line="360" w:lineRule="auto"/>
        <w:jc w:val="both"/>
        <w:rPr>
          <w:rFonts w:cs="David"/>
          <w:sz w:val="28"/>
          <w:szCs w:val="28"/>
          <w:rtl/>
        </w:rPr>
      </w:pPr>
      <w:r w:rsidRPr="002C4AC7">
        <w:rPr>
          <w:rFonts w:cs="David" w:hint="cs"/>
          <w:b/>
          <w:bCs/>
          <w:sz w:val="28"/>
          <w:szCs w:val="28"/>
          <w:rtl/>
        </w:rPr>
        <w:t>ההבדל הראשון, הוא בקיומו של רכיב הסתברותי כחלק מיסודות העבירה</w:t>
      </w:r>
      <w:r w:rsidRPr="00EF4B4B">
        <w:rPr>
          <w:rFonts w:cs="David" w:hint="cs"/>
          <w:sz w:val="28"/>
          <w:szCs w:val="28"/>
          <w:rtl/>
        </w:rPr>
        <w:t xml:space="preserve">. כפי שכבר צוין, בעבירת ההסתה לאלימות החוק מציין במפורש כי נדרשת 'אפשרות ממשית' שהפרסום יוביל לאלימות, בעוד </w:t>
      </w:r>
      <w:r>
        <w:rPr>
          <w:rFonts w:cs="David" w:hint="cs"/>
          <w:sz w:val="28"/>
          <w:szCs w:val="28"/>
          <w:rtl/>
        </w:rPr>
        <w:t>ש</w:t>
      </w:r>
      <w:r w:rsidR="00A028B7">
        <w:rPr>
          <w:rFonts w:cs="David" w:hint="cs"/>
          <w:sz w:val="28"/>
          <w:szCs w:val="28"/>
          <w:rtl/>
        </w:rPr>
        <w:t xml:space="preserve">ביחס </w:t>
      </w:r>
      <w:r>
        <w:rPr>
          <w:rFonts w:cs="David" w:hint="cs"/>
          <w:sz w:val="28"/>
          <w:szCs w:val="28"/>
          <w:rtl/>
        </w:rPr>
        <w:t>ל</w:t>
      </w:r>
      <w:r w:rsidRPr="00EF4B4B">
        <w:rPr>
          <w:rFonts w:cs="David" w:hint="cs"/>
          <w:sz w:val="28"/>
          <w:szCs w:val="28"/>
          <w:rtl/>
        </w:rPr>
        <w:t>עבירת ההסתה לגזענות, נדחתה</w:t>
      </w:r>
      <w:r>
        <w:rPr>
          <w:rFonts w:cs="David" w:hint="cs"/>
          <w:sz w:val="28"/>
          <w:szCs w:val="28"/>
          <w:rtl/>
        </w:rPr>
        <w:t xml:space="preserve"> </w:t>
      </w:r>
      <w:r w:rsidR="00A028B7">
        <w:rPr>
          <w:rFonts w:cs="David" w:hint="cs"/>
          <w:sz w:val="28"/>
          <w:szCs w:val="28"/>
          <w:rtl/>
        </w:rPr>
        <w:t>(</w:t>
      </w:r>
      <w:r>
        <w:rPr>
          <w:rFonts w:cs="David" w:hint="cs"/>
          <w:sz w:val="28"/>
          <w:szCs w:val="28"/>
          <w:rtl/>
        </w:rPr>
        <w:t>בדעת רוב</w:t>
      </w:r>
      <w:r w:rsidR="00A028B7">
        <w:rPr>
          <w:rFonts w:cs="David" w:hint="cs"/>
          <w:sz w:val="28"/>
          <w:szCs w:val="28"/>
          <w:rtl/>
        </w:rPr>
        <w:t>)</w:t>
      </w:r>
      <w:r w:rsidRPr="00EF4B4B">
        <w:rPr>
          <w:rFonts w:cs="David" w:hint="cs"/>
          <w:sz w:val="28"/>
          <w:szCs w:val="28"/>
          <w:rtl/>
        </w:rPr>
        <w:t xml:space="preserve"> העמדה הגורסת קיומו של מבחן הסתברותי כלשהו בעבירה.</w:t>
      </w:r>
    </w:p>
    <w:p w:rsidR="00434156" w:rsidRPr="00EF4B4B" w:rsidRDefault="00FE2E1C" w:rsidP="004C6FED">
      <w:pPr>
        <w:spacing w:line="360" w:lineRule="auto"/>
        <w:jc w:val="both"/>
        <w:rPr>
          <w:rFonts w:cs="David"/>
          <w:sz w:val="28"/>
          <w:szCs w:val="28"/>
          <w:rtl/>
        </w:rPr>
      </w:pPr>
      <w:r w:rsidRPr="002C4AC7">
        <w:rPr>
          <w:rFonts w:cs="David" w:hint="cs"/>
          <w:b/>
          <w:bCs/>
          <w:sz w:val="28"/>
          <w:szCs w:val="28"/>
          <w:rtl/>
        </w:rPr>
        <w:t>ההבדל השני בין שתי העבירות טמון ביסוד הנפשי הנדרש בהן</w:t>
      </w:r>
      <w:r w:rsidRPr="00EF4B4B">
        <w:rPr>
          <w:rFonts w:cs="David" w:hint="cs"/>
          <w:sz w:val="28"/>
          <w:szCs w:val="28"/>
          <w:rtl/>
        </w:rPr>
        <w:t>. בעוד שבעבירת ההסתה לגזענות היסוד הנפשי הוא מיוחד של מטרה, הדורש את קיומה של מטרה מצדו של המפרסם לכך שדבריו יסיתו לגזענות</w:t>
      </w:r>
      <w:r>
        <w:rPr>
          <w:rFonts w:cs="David" w:hint="cs"/>
          <w:sz w:val="28"/>
          <w:szCs w:val="28"/>
          <w:rtl/>
        </w:rPr>
        <w:t>,</w:t>
      </w:r>
      <w:r w:rsidR="004C6FED">
        <w:rPr>
          <w:rFonts w:cs="David" w:hint="cs"/>
          <w:sz w:val="28"/>
          <w:szCs w:val="28"/>
          <w:rtl/>
        </w:rPr>
        <w:t xml:space="preserve"> הרי שב</w:t>
      </w:r>
      <w:r w:rsidRPr="00EF4B4B">
        <w:rPr>
          <w:rFonts w:cs="David" w:hint="cs"/>
          <w:sz w:val="28"/>
          <w:szCs w:val="28"/>
          <w:rtl/>
        </w:rPr>
        <w:t>עבירת ההסתה לאלימות אין דרישה של מטרה להסית לאלימות ו"המדובר בעבירה התנהגותית 'רגילה', אשר דורשת יסוד נפשי של מודעות לטיב המעשה ולהתקיימות הנסיבות.</w:t>
      </w:r>
      <w:r>
        <w:rPr>
          <w:rFonts w:cs="David" w:hint="cs"/>
          <w:sz w:val="28"/>
          <w:szCs w:val="28"/>
          <w:rtl/>
        </w:rPr>
        <w:t>"</w:t>
      </w:r>
      <w:r w:rsidRPr="00EF4B4B">
        <w:rPr>
          <w:rStyle w:val="a5"/>
          <w:rFonts w:cs="David"/>
          <w:sz w:val="28"/>
          <w:szCs w:val="28"/>
          <w:rtl/>
        </w:rPr>
        <w:footnoteReference w:id="138"/>
      </w:r>
    </w:p>
    <w:p w:rsidR="00474A35" w:rsidRPr="00DD336A" w:rsidRDefault="009516F7" w:rsidP="00F119A4">
      <w:pPr>
        <w:spacing w:line="360" w:lineRule="auto"/>
        <w:jc w:val="both"/>
        <w:rPr>
          <w:rFonts w:cs="David"/>
          <w:b/>
          <w:bCs/>
          <w:sz w:val="32"/>
          <w:szCs w:val="32"/>
          <w:rtl/>
        </w:rPr>
      </w:pPr>
      <w:r>
        <w:rPr>
          <w:rFonts w:cs="David" w:hint="cs"/>
          <w:b/>
          <w:bCs/>
          <w:sz w:val="32"/>
          <w:szCs w:val="32"/>
          <w:rtl/>
        </w:rPr>
        <w:t>ה</w:t>
      </w:r>
      <w:r w:rsidR="0096181A">
        <w:rPr>
          <w:rFonts w:cs="David" w:hint="cs"/>
          <w:b/>
          <w:bCs/>
          <w:sz w:val="32"/>
          <w:szCs w:val="32"/>
          <w:rtl/>
        </w:rPr>
        <w:t>. ההתנגשות בין חופש הביטוי ובין האיסורים שבעבירות ההסתה</w:t>
      </w:r>
    </w:p>
    <w:p w:rsidR="004458A0" w:rsidRDefault="002F13FE" w:rsidP="00736E07">
      <w:pPr>
        <w:spacing w:line="360" w:lineRule="auto"/>
        <w:jc w:val="both"/>
        <w:rPr>
          <w:rFonts w:cs="David"/>
          <w:sz w:val="28"/>
          <w:szCs w:val="28"/>
          <w:rtl/>
        </w:rPr>
      </w:pPr>
      <w:r>
        <w:rPr>
          <w:rFonts w:cs="David" w:hint="cs"/>
          <w:sz w:val="28"/>
          <w:szCs w:val="28"/>
          <w:rtl/>
        </w:rPr>
        <w:t xml:space="preserve">העיסוק </w:t>
      </w:r>
      <w:r w:rsidR="004458A0">
        <w:rPr>
          <w:rFonts w:cs="David" w:hint="cs"/>
          <w:sz w:val="28"/>
          <w:szCs w:val="28"/>
          <w:rtl/>
        </w:rPr>
        <w:t xml:space="preserve">במהות האיסורים הפליליים שבעבירות ההסתה לגזענות ולאלימות, </w:t>
      </w:r>
      <w:r>
        <w:rPr>
          <w:rFonts w:cs="David" w:hint="cs"/>
          <w:sz w:val="28"/>
          <w:szCs w:val="28"/>
          <w:rtl/>
        </w:rPr>
        <w:t>מוביל בהקשרי העבודה ל</w:t>
      </w:r>
      <w:r w:rsidR="004458A0" w:rsidRPr="00EF4B4B">
        <w:rPr>
          <w:rFonts w:cs="David" w:hint="cs"/>
          <w:sz w:val="28"/>
          <w:szCs w:val="28"/>
          <w:rtl/>
        </w:rPr>
        <w:t xml:space="preserve">דיון פרטני הנוגע להתנגשות </w:t>
      </w:r>
      <w:r>
        <w:rPr>
          <w:rFonts w:cs="David" w:hint="cs"/>
          <w:sz w:val="28"/>
          <w:szCs w:val="28"/>
          <w:rtl/>
        </w:rPr>
        <w:t>ש</w:t>
      </w:r>
      <w:r w:rsidR="004458A0" w:rsidRPr="00EF4B4B">
        <w:rPr>
          <w:rFonts w:cs="David" w:hint="cs"/>
          <w:sz w:val="28"/>
          <w:szCs w:val="28"/>
          <w:rtl/>
        </w:rPr>
        <w:t>בין זכות חופש הביטוי ובין ה</w:t>
      </w:r>
      <w:r w:rsidR="004458A0">
        <w:rPr>
          <w:rFonts w:cs="David" w:hint="cs"/>
          <w:sz w:val="28"/>
          <w:szCs w:val="28"/>
          <w:rtl/>
        </w:rPr>
        <w:t>אינטרסים וה</w:t>
      </w:r>
      <w:r w:rsidR="004458A0" w:rsidRPr="00EF4B4B">
        <w:rPr>
          <w:rFonts w:cs="David" w:hint="cs"/>
          <w:sz w:val="28"/>
          <w:szCs w:val="28"/>
          <w:rtl/>
        </w:rPr>
        <w:t>ערכים הספציפיים המוגנים באיסור</w:t>
      </w:r>
      <w:r w:rsidR="004458A0">
        <w:rPr>
          <w:rFonts w:cs="David" w:hint="cs"/>
          <w:sz w:val="28"/>
          <w:szCs w:val="28"/>
          <w:rtl/>
        </w:rPr>
        <w:t>ים</w:t>
      </w:r>
      <w:r w:rsidR="004458A0" w:rsidRPr="00EF4B4B">
        <w:rPr>
          <w:rFonts w:cs="David" w:hint="cs"/>
          <w:sz w:val="28"/>
          <w:szCs w:val="28"/>
          <w:rtl/>
        </w:rPr>
        <w:t xml:space="preserve"> הפלילי</w:t>
      </w:r>
      <w:r w:rsidR="004458A0">
        <w:rPr>
          <w:rFonts w:cs="David" w:hint="cs"/>
          <w:sz w:val="28"/>
          <w:szCs w:val="28"/>
          <w:rtl/>
        </w:rPr>
        <w:t xml:space="preserve">ם הללו. </w:t>
      </w:r>
    </w:p>
    <w:p w:rsidR="00D351C9" w:rsidRPr="00EF4B4B" w:rsidRDefault="002B0A4A" w:rsidP="00F119A4">
      <w:pPr>
        <w:spacing w:line="360" w:lineRule="auto"/>
        <w:jc w:val="both"/>
        <w:rPr>
          <w:rFonts w:cs="David"/>
          <w:sz w:val="28"/>
          <w:szCs w:val="28"/>
          <w:rtl/>
        </w:rPr>
      </w:pPr>
      <w:r w:rsidRPr="00EF4B4B">
        <w:rPr>
          <w:rFonts w:cs="David" w:hint="cs"/>
          <w:sz w:val="28"/>
          <w:szCs w:val="28"/>
          <w:rtl/>
        </w:rPr>
        <w:lastRenderedPageBreak/>
        <w:t>עבירות ההסתה לגזענות ולאלימות נועדו לייצר איזון בין מספר תכליות וערכים</w:t>
      </w:r>
      <w:r w:rsidR="003274CC">
        <w:rPr>
          <w:rFonts w:cs="David" w:hint="cs"/>
          <w:sz w:val="28"/>
          <w:szCs w:val="28"/>
          <w:rtl/>
        </w:rPr>
        <w:t>,</w:t>
      </w:r>
      <w:r w:rsidRPr="00EF4B4B">
        <w:rPr>
          <w:rFonts w:cs="David" w:hint="cs"/>
          <w:sz w:val="28"/>
          <w:szCs w:val="28"/>
          <w:rtl/>
        </w:rPr>
        <w:t xml:space="preserve"> המתנגשים זה בזה. </w:t>
      </w:r>
      <w:r w:rsidR="00D351C9" w:rsidRPr="00EF4B4B">
        <w:rPr>
          <w:rFonts w:cs="David" w:hint="cs"/>
          <w:sz w:val="28"/>
          <w:szCs w:val="28"/>
          <w:rtl/>
        </w:rPr>
        <w:t xml:space="preserve">מצד אחד, הרשעת "המפרסם" כתוארו בסעיפי החוק בעבירות ההסתה לגזענות ולאלימות, </w:t>
      </w:r>
      <w:r w:rsidR="00D351C9" w:rsidRPr="00EF4B4B">
        <w:rPr>
          <w:rFonts w:cs="David" w:hint="cs"/>
          <w:b/>
          <w:bCs/>
          <w:sz w:val="28"/>
          <w:szCs w:val="28"/>
          <w:rtl/>
        </w:rPr>
        <w:t>מגבילה ופוגעת בחופש הביטוי שלו</w:t>
      </w:r>
      <w:r w:rsidR="00D351C9" w:rsidRPr="00EF4B4B">
        <w:rPr>
          <w:rFonts w:cs="David" w:hint="cs"/>
          <w:sz w:val="28"/>
          <w:szCs w:val="28"/>
          <w:rtl/>
        </w:rPr>
        <w:t xml:space="preserve">. מצד שני, עבירות אלו מגינות על </w:t>
      </w:r>
      <w:r w:rsidR="000877B4" w:rsidRPr="00EF4B4B">
        <w:rPr>
          <w:rFonts w:cs="David" w:hint="cs"/>
          <w:b/>
          <w:bCs/>
          <w:sz w:val="28"/>
          <w:szCs w:val="28"/>
          <w:rtl/>
        </w:rPr>
        <w:t xml:space="preserve">קיומה של מדינת ישראל כמדינה יהודית ודמוקרטית, על </w:t>
      </w:r>
      <w:r w:rsidR="00D351C9" w:rsidRPr="00EF4B4B">
        <w:rPr>
          <w:rFonts w:cs="David" w:hint="cs"/>
          <w:b/>
          <w:bCs/>
          <w:sz w:val="28"/>
          <w:szCs w:val="28"/>
          <w:rtl/>
        </w:rPr>
        <w:t>הסדר הציבורי ו</w:t>
      </w:r>
      <w:r w:rsidR="003274CC">
        <w:rPr>
          <w:rFonts w:cs="David" w:hint="cs"/>
          <w:b/>
          <w:bCs/>
          <w:sz w:val="28"/>
          <w:szCs w:val="28"/>
          <w:rtl/>
        </w:rPr>
        <w:t xml:space="preserve">על </w:t>
      </w:r>
      <w:r w:rsidR="00D351C9" w:rsidRPr="00EF4B4B">
        <w:rPr>
          <w:rFonts w:cs="David" w:hint="cs"/>
          <w:b/>
          <w:bCs/>
          <w:sz w:val="28"/>
          <w:szCs w:val="28"/>
          <w:rtl/>
        </w:rPr>
        <w:t>תקנת הציבור</w:t>
      </w:r>
      <w:r w:rsidR="00D351C9" w:rsidRPr="00EF4B4B">
        <w:rPr>
          <w:rFonts w:cs="David" w:hint="cs"/>
          <w:sz w:val="28"/>
          <w:szCs w:val="28"/>
          <w:rtl/>
        </w:rPr>
        <w:t xml:space="preserve">, כמו גם על </w:t>
      </w:r>
      <w:r w:rsidR="00D351C9" w:rsidRPr="00EF4B4B">
        <w:rPr>
          <w:rFonts w:cs="David" w:hint="cs"/>
          <w:b/>
          <w:bCs/>
          <w:sz w:val="28"/>
          <w:szCs w:val="28"/>
          <w:rtl/>
        </w:rPr>
        <w:t>ערך כבוד האדם</w:t>
      </w:r>
      <w:r w:rsidR="00D351C9" w:rsidRPr="00EF4B4B">
        <w:rPr>
          <w:rFonts w:cs="David" w:hint="cs"/>
          <w:sz w:val="28"/>
          <w:szCs w:val="28"/>
          <w:rtl/>
        </w:rPr>
        <w:t xml:space="preserve"> במובנו הבסיסי והגרעיני. ההסתה לגזענות שוללת מבני האדם את התכונות האנ</w:t>
      </w:r>
      <w:r w:rsidR="002652AE" w:rsidRPr="00EF4B4B">
        <w:rPr>
          <w:rFonts w:cs="David" w:hint="cs"/>
          <w:sz w:val="28"/>
          <w:szCs w:val="28"/>
          <w:rtl/>
        </w:rPr>
        <w:t>ו</w:t>
      </w:r>
      <w:r w:rsidR="00D351C9" w:rsidRPr="00EF4B4B">
        <w:rPr>
          <w:rFonts w:cs="David" w:hint="cs"/>
          <w:sz w:val="28"/>
          <w:szCs w:val="28"/>
          <w:rtl/>
        </w:rPr>
        <w:t xml:space="preserve">שיות בשל שיוכם הגזעי, הדתי, האתני או הלאומי והיא פוגעת </w:t>
      </w:r>
      <w:r w:rsidR="00D351C9" w:rsidRPr="00EF4B4B">
        <w:rPr>
          <w:rFonts w:cs="David" w:hint="cs"/>
          <w:b/>
          <w:bCs/>
          <w:sz w:val="28"/>
          <w:szCs w:val="28"/>
          <w:rtl/>
        </w:rPr>
        <w:t>בזכות הבסיסית לשוויון</w:t>
      </w:r>
      <w:r w:rsidR="002652AE" w:rsidRPr="00EF4B4B">
        <w:rPr>
          <w:rFonts w:cs="David" w:hint="cs"/>
          <w:b/>
          <w:bCs/>
          <w:sz w:val="28"/>
          <w:szCs w:val="28"/>
          <w:rtl/>
        </w:rPr>
        <w:t xml:space="preserve"> ולערך הכבוד האנושי</w:t>
      </w:r>
      <w:r w:rsidR="002652AE" w:rsidRPr="00EF4B4B">
        <w:rPr>
          <w:rFonts w:cs="David" w:hint="cs"/>
          <w:sz w:val="28"/>
          <w:szCs w:val="28"/>
          <w:rtl/>
        </w:rPr>
        <w:t xml:space="preserve"> של הברואים באשר הם.</w:t>
      </w:r>
      <w:r w:rsidR="00E7035B" w:rsidRPr="00EF4B4B">
        <w:rPr>
          <w:rStyle w:val="a5"/>
          <w:rFonts w:cs="David"/>
          <w:sz w:val="28"/>
          <w:szCs w:val="28"/>
          <w:rtl/>
        </w:rPr>
        <w:footnoteReference w:id="139"/>
      </w:r>
    </w:p>
    <w:p w:rsidR="002A0859" w:rsidRPr="00EF4B4B" w:rsidRDefault="00B86F6D" w:rsidP="00667CA3">
      <w:pPr>
        <w:spacing w:line="360" w:lineRule="auto"/>
        <w:jc w:val="both"/>
        <w:rPr>
          <w:rFonts w:cs="David"/>
          <w:sz w:val="28"/>
          <w:szCs w:val="28"/>
          <w:rtl/>
        </w:rPr>
      </w:pPr>
      <w:r w:rsidRPr="00EF4B4B">
        <w:rPr>
          <w:rFonts w:cs="David" w:hint="cs"/>
          <w:sz w:val="28"/>
          <w:szCs w:val="28"/>
          <w:rtl/>
        </w:rPr>
        <w:t>על הערכים המצוינים, ניתן להוסיף את דברי</w:t>
      </w:r>
      <w:r w:rsidR="00966C01" w:rsidRPr="00EF4B4B">
        <w:rPr>
          <w:rFonts w:cs="David" w:hint="cs"/>
          <w:sz w:val="28"/>
          <w:szCs w:val="28"/>
          <w:rtl/>
        </w:rPr>
        <w:t>ו של</w:t>
      </w:r>
      <w:r w:rsidRPr="00EF4B4B">
        <w:rPr>
          <w:rFonts w:cs="David" w:hint="cs"/>
          <w:sz w:val="28"/>
          <w:szCs w:val="28"/>
          <w:rtl/>
        </w:rPr>
        <w:t xml:space="preserve"> </w:t>
      </w:r>
      <w:r w:rsidR="0077264A">
        <w:rPr>
          <w:rFonts w:cs="David" w:hint="cs"/>
          <w:sz w:val="28"/>
          <w:szCs w:val="28"/>
          <w:rtl/>
        </w:rPr>
        <w:t>כבוד השופט</w:t>
      </w:r>
      <w:r w:rsidRPr="00EF4B4B">
        <w:rPr>
          <w:rFonts w:cs="David" w:hint="cs"/>
          <w:sz w:val="28"/>
          <w:szCs w:val="28"/>
          <w:rtl/>
        </w:rPr>
        <w:t xml:space="preserve"> אור</w:t>
      </w:r>
      <w:r w:rsidR="002B51FF">
        <w:rPr>
          <w:rFonts w:cs="David" w:hint="cs"/>
          <w:sz w:val="28"/>
          <w:szCs w:val="28"/>
          <w:rtl/>
        </w:rPr>
        <w:t>, שכתב את דעת הרוב,</w:t>
      </w:r>
      <w:r w:rsidRPr="00EF4B4B">
        <w:rPr>
          <w:rFonts w:cs="David" w:hint="cs"/>
          <w:sz w:val="28"/>
          <w:szCs w:val="28"/>
          <w:rtl/>
        </w:rPr>
        <w:t xml:space="preserve"> ב</w:t>
      </w:r>
      <w:r w:rsidRPr="000004A9">
        <w:rPr>
          <w:rFonts w:cs="David" w:hint="cs"/>
          <w:b/>
          <w:bCs/>
          <w:sz w:val="28"/>
          <w:szCs w:val="28"/>
          <w:rtl/>
        </w:rPr>
        <w:t xml:space="preserve">דנ"פ מדינת ישראל נ' כהנא </w:t>
      </w:r>
      <w:r w:rsidRPr="00EF4B4B">
        <w:rPr>
          <w:rFonts w:cs="David" w:hint="cs"/>
          <w:sz w:val="28"/>
          <w:szCs w:val="28"/>
          <w:rtl/>
        </w:rPr>
        <w:t xml:space="preserve">(להלן: </w:t>
      </w:r>
      <w:r w:rsidRPr="00EF4B4B">
        <w:rPr>
          <w:rFonts w:cs="David" w:hint="cs"/>
          <w:b/>
          <w:bCs/>
          <w:sz w:val="28"/>
          <w:szCs w:val="28"/>
          <w:rtl/>
        </w:rPr>
        <w:t>עניין כהנא [2]</w:t>
      </w:r>
      <w:r w:rsidRPr="00EF4B4B">
        <w:rPr>
          <w:rFonts w:cs="David" w:hint="cs"/>
          <w:sz w:val="28"/>
          <w:szCs w:val="28"/>
          <w:rtl/>
        </w:rPr>
        <w:t>),</w:t>
      </w:r>
      <w:r w:rsidRPr="00EF4B4B">
        <w:rPr>
          <w:rStyle w:val="a5"/>
          <w:rFonts w:cs="David"/>
          <w:sz w:val="28"/>
          <w:szCs w:val="28"/>
          <w:rtl/>
        </w:rPr>
        <w:footnoteReference w:id="140"/>
      </w:r>
      <w:r w:rsidRPr="00EF4B4B">
        <w:rPr>
          <w:rFonts w:cs="David" w:hint="cs"/>
          <w:sz w:val="28"/>
          <w:szCs w:val="28"/>
          <w:rtl/>
        </w:rPr>
        <w:t xml:space="preserve"> </w:t>
      </w:r>
      <w:r w:rsidR="00DA251B" w:rsidRPr="00EF4B4B">
        <w:rPr>
          <w:rFonts w:cs="David" w:hint="cs"/>
          <w:sz w:val="28"/>
          <w:szCs w:val="28"/>
          <w:rtl/>
        </w:rPr>
        <w:t>אשר אמנם עוסקים בעבירות ההמרדה</w:t>
      </w:r>
      <w:r w:rsidR="0071133D" w:rsidRPr="00EF4B4B">
        <w:rPr>
          <w:rFonts w:cs="David" w:hint="cs"/>
          <w:sz w:val="28"/>
          <w:szCs w:val="28"/>
          <w:rtl/>
        </w:rPr>
        <w:t>,</w:t>
      </w:r>
      <w:r w:rsidR="00DA251B" w:rsidRPr="00EF4B4B">
        <w:rPr>
          <w:rStyle w:val="a5"/>
          <w:rFonts w:cs="David"/>
          <w:sz w:val="28"/>
          <w:szCs w:val="28"/>
          <w:rtl/>
        </w:rPr>
        <w:footnoteReference w:id="141"/>
      </w:r>
      <w:r w:rsidR="00DA251B" w:rsidRPr="00EF4B4B">
        <w:rPr>
          <w:rFonts w:cs="David" w:hint="cs"/>
          <w:sz w:val="28"/>
          <w:szCs w:val="28"/>
          <w:rtl/>
        </w:rPr>
        <w:t xml:space="preserve"> </w:t>
      </w:r>
      <w:r w:rsidR="0071133D" w:rsidRPr="00EF4B4B">
        <w:rPr>
          <w:rFonts w:cs="David" w:hint="cs"/>
          <w:sz w:val="28"/>
          <w:szCs w:val="28"/>
          <w:rtl/>
        </w:rPr>
        <w:t xml:space="preserve">אך </w:t>
      </w:r>
      <w:r w:rsidR="00DA251B" w:rsidRPr="00EF4B4B">
        <w:rPr>
          <w:rFonts w:cs="David" w:hint="cs"/>
          <w:sz w:val="28"/>
          <w:szCs w:val="28"/>
          <w:rtl/>
        </w:rPr>
        <w:t>טובים גם לעניין עבירת ההסתה לגזענות</w:t>
      </w:r>
      <w:r w:rsidR="002B51FF">
        <w:rPr>
          <w:rFonts w:cs="David" w:hint="cs"/>
          <w:sz w:val="28"/>
          <w:szCs w:val="28"/>
          <w:rtl/>
        </w:rPr>
        <w:t>.</w:t>
      </w:r>
      <w:r w:rsidR="00E226C7">
        <w:rPr>
          <w:rStyle w:val="a5"/>
          <w:rFonts w:cs="David"/>
          <w:sz w:val="28"/>
          <w:szCs w:val="28"/>
          <w:rtl/>
        </w:rPr>
        <w:footnoteReference w:id="142"/>
      </w:r>
      <w:r w:rsidR="0071133D" w:rsidRPr="00EF4B4B">
        <w:rPr>
          <w:rFonts w:cs="David" w:hint="cs"/>
          <w:sz w:val="28"/>
          <w:szCs w:val="28"/>
          <w:rtl/>
        </w:rPr>
        <w:t xml:space="preserve"> ל</w:t>
      </w:r>
      <w:r w:rsidR="00B06031" w:rsidRPr="00EF4B4B">
        <w:rPr>
          <w:rFonts w:cs="David" w:hint="cs"/>
          <w:sz w:val="28"/>
          <w:szCs w:val="28"/>
          <w:rtl/>
        </w:rPr>
        <w:t xml:space="preserve">שיטתו, </w:t>
      </w:r>
      <w:r w:rsidR="0071133D" w:rsidRPr="00EF4B4B">
        <w:rPr>
          <w:rFonts w:cs="David" w:hint="cs"/>
          <w:sz w:val="28"/>
          <w:szCs w:val="28"/>
          <w:rtl/>
        </w:rPr>
        <w:t>בין שתי העבירות קיים תחום חפיפה רחב</w:t>
      </w:r>
      <w:r w:rsidR="00AC082A">
        <w:rPr>
          <w:rFonts w:cs="David" w:hint="cs"/>
          <w:sz w:val="28"/>
          <w:szCs w:val="28"/>
          <w:rtl/>
        </w:rPr>
        <w:t>,</w:t>
      </w:r>
      <w:r w:rsidR="002B51FF">
        <w:rPr>
          <w:rFonts w:cs="David" w:hint="cs"/>
          <w:sz w:val="28"/>
          <w:szCs w:val="28"/>
          <w:rtl/>
        </w:rPr>
        <w:t xml:space="preserve"> ואף מילות החוק זהות בחלק מהסעיף לאלו המופיעות בסעיף הגדרת מונח הגזענות</w:t>
      </w:r>
      <w:r w:rsidR="0011050F">
        <w:rPr>
          <w:rFonts w:cs="David" w:hint="cs"/>
          <w:sz w:val="28"/>
          <w:szCs w:val="28"/>
          <w:rtl/>
        </w:rPr>
        <w:t>.</w:t>
      </w:r>
      <w:r w:rsidR="00B15071" w:rsidRPr="00EF4B4B">
        <w:rPr>
          <w:rStyle w:val="a5"/>
          <w:rFonts w:cs="David"/>
          <w:sz w:val="28"/>
          <w:szCs w:val="28"/>
          <w:rtl/>
        </w:rPr>
        <w:footnoteReference w:id="143"/>
      </w:r>
      <w:r w:rsidR="00667CA3">
        <w:rPr>
          <w:rFonts w:cs="David" w:hint="cs"/>
          <w:sz w:val="28"/>
          <w:szCs w:val="28"/>
          <w:rtl/>
        </w:rPr>
        <w:t xml:space="preserve"> </w:t>
      </w:r>
      <w:r w:rsidR="0011050F">
        <w:rPr>
          <w:rFonts w:cs="David" w:hint="cs"/>
          <w:sz w:val="28"/>
          <w:szCs w:val="28"/>
          <w:rtl/>
        </w:rPr>
        <w:t>ו</w:t>
      </w:r>
      <w:r w:rsidR="00907B88" w:rsidRPr="00EF4B4B">
        <w:rPr>
          <w:rFonts w:cs="David" w:hint="cs"/>
          <w:sz w:val="28"/>
          <w:szCs w:val="28"/>
          <w:rtl/>
        </w:rPr>
        <w:t>כך</w:t>
      </w:r>
      <w:r w:rsidR="0011050F">
        <w:rPr>
          <w:rFonts w:cs="David" w:hint="cs"/>
          <w:sz w:val="28"/>
          <w:szCs w:val="28"/>
          <w:rtl/>
        </w:rPr>
        <w:t xml:space="preserve"> </w:t>
      </w:r>
      <w:r w:rsidR="00E83148">
        <w:rPr>
          <w:rFonts w:cs="David" w:hint="cs"/>
          <w:sz w:val="28"/>
          <w:szCs w:val="28"/>
          <w:rtl/>
        </w:rPr>
        <w:t xml:space="preserve">טוען </w:t>
      </w:r>
      <w:r w:rsidR="0077264A">
        <w:rPr>
          <w:rFonts w:cs="David" w:hint="cs"/>
          <w:sz w:val="28"/>
          <w:szCs w:val="28"/>
          <w:rtl/>
        </w:rPr>
        <w:t>כבוד השופט</w:t>
      </w:r>
      <w:r w:rsidR="00E83148">
        <w:rPr>
          <w:rFonts w:cs="David" w:hint="cs"/>
          <w:sz w:val="28"/>
          <w:szCs w:val="28"/>
          <w:rtl/>
        </w:rPr>
        <w:t>:</w:t>
      </w:r>
      <w:r w:rsidR="003C5F7D">
        <w:rPr>
          <w:rStyle w:val="a5"/>
          <w:rFonts w:cs="David"/>
          <w:sz w:val="28"/>
          <w:szCs w:val="28"/>
          <w:rtl/>
        </w:rPr>
        <w:footnoteReference w:id="144"/>
      </w:r>
      <w:r w:rsidR="0086148A" w:rsidRPr="00EF4B4B">
        <w:rPr>
          <w:rFonts w:cs="David" w:hint="cs"/>
          <w:sz w:val="28"/>
          <w:szCs w:val="28"/>
          <w:rtl/>
        </w:rPr>
        <w:t xml:space="preserve"> </w:t>
      </w:r>
    </w:p>
    <w:p w:rsidR="0086148A" w:rsidRPr="00A9303D" w:rsidRDefault="0086148A" w:rsidP="00047E63">
      <w:pPr>
        <w:spacing w:line="360" w:lineRule="auto"/>
        <w:ind w:left="720"/>
        <w:jc w:val="both"/>
        <w:rPr>
          <w:rFonts w:cs="David"/>
          <w:sz w:val="24"/>
          <w:szCs w:val="24"/>
          <w:rtl/>
        </w:rPr>
      </w:pPr>
      <w:r w:rsidRPr="00A9303D">
        <w:rPr>
          <w:rFonts w:cs="David" w:hint="cs"/>
          <w:sz w:val="24"/>
          <w:szCs w:val="24"/>
          <w:rtl/>
        </w:rPr>
        <w:t>נראה לי כי הערך העומד ביסוד חלופה זו הוא שמירת היכולת של חלקי אוכלוסי</w:t>
      </w:r>
      <w:r w:rsidR="00FE3E42" w:rsidRPr="00A9303D">
        <w:rPr>
          <w:rFonts w:cs="David" w:hint="cs"/>
          <w:sz w:val="24"/>
          <w:szCs w:val="24"/>
          <w:rtl/>
        </w:rPr>
        <w:t>י</w:t>
      </w:r>
      <w:r w:rsidRPr="00A9303D">
        <w:rPr>
          <w:rFonts w:cs="David" w:hint="cs"/>
          <w:sz w:val="24"/>
          <w:szCs w:val="24"/>
          <w:rtl/>
        </w:rPr>
        <w:t xml:space="preserve">ה שונים במדינה לחיות זה בצד זה בשלום ובביטחון, ערך אשר נכנהו להלן </w:t>
      </w:r>
      <w:r w:rsidR="00665638" w:rsidRPr="00A9303D">
        <w:rPr>
          <w:rFonts w:cs="David" w:hint="cs"/>
          <w:sz w:val="24"/>
          <w:szCs w:val="24"/>
          <w:rtl/>
        </w:rPr>
        <w:t>-</w:t>
      </w:r>
      <w:r w:rsidRPr="00A9303D">
        <w:rPr>
          <w:rFonts w:cs="David" w:hint="cs"/>
          <w:sz w:val="24"/>
          <w:szCs w:val="24"/>
          <w:rtl/>
        </w:rPr>
        <w:t xml:space="preserve"> </w:t>
      </w:r>
      <w:r w:rsidRPr="00A9303D">
        <w:rPr>
          <w:rFonts w:cs="David" w:hint="cs"/>
          <w:b/>
          <w:bCs/>
          <w:sz w:val="24"/>
          <w:szCs w:val="24"/>
          <w:rtl/>
        </w:rPr>
        <w:t>לכידות חברתית</w:t>
      </w:r>
      <w:r w:rsidRPr="00A9303D">
        <w:rPr>
          <w:rFonts w:cs="David" w:hint="cs"/>
          <w:sz w:val="24"/>
          <w:szCs w:val="24"/>
          <w:rtl/>
        </w:rPr>
        <w:t xml:space="preserve"> [...] הסתה המופנית נגד קבוצת אוכלוסייה על רק גזעי או אידיאולוגי המלבה נגדה איבה וקוראת לנקוט נגדה, כקבוצה, אמצעי אלימות, </w:t>
      </w:r>
      <w:r w:rsidRPr="00C557E0">
        <w:rPr>
          <w:rFonts w:cs="David" w:hint="cs"/>
          <w:b/>
          <w:bCs/>
          <w:sz w:val="24"/>
          <w:szCs w:val="24"/>
          <w:rtl/>
        </w:rPr>
        <w:t xml:space="preserve">מהווה פגיעה באותו ערך של לכידות חברתית </w:t>
      </w:r>
      <w:r w:rsidRPr="00A9303D">
        <w:rPr>
          <w:rFonts w:cs="David" w:hint="cs"/>
          <w:sz w:val="24"/>
          <w:szCs w:val="24"/>
          <w:rtl/>
        </w:rPr>
        <w:t>במובן האמור [...] בנסיבות קיצוניות עלולה הסתה כזו לרופף לחלוטין את "הדבק" המ</w:t>
      </w:r>
      <w:r w:rsidR="002A0859" w:rsidRPr="00A9303D">
        <w:rPr>
          <w:rFonts w:cs="David" w:hint="cs"/>
          <w:sz w:val="24"/>
          <w:szCs w:val="24"/>
          <w:rtl/>
        </w:rPr>
        <w:t>י</w:t>
      </w:r>
      <w:r w:rsidRPr="00A9303D">
        <w:rPr>
          <w:rFonts w:cs="David" w:hint="cs"/>
          <w:sz w:val="24"/>
          <w:szCs w:val="24"/>
          <w:rtl/>
        </w:rPr>
        <w:t>נ</w:t>
      </w:r>
      <w:r w:rsidR="002A0859" w:rsidRPr="00A9303D">
        <w:rPr>
          <w:rFonts w:cs="David" w:hint="cs"/>
          <w:sz w:val="24"/>
          <w:szCs w:val="24"/>
          <w:rtl/>
        </w:rPr>
        <w:t>י</w:t>
      </w:r>
      <w:r w:rsidRPr="00A9303D">
        <w:rPr>
          <w:rFonts w:cs="David" w:hint="cs"/>
          <w:sz w:val="24"/>
          <w:szCs w:val="24"/>
          <w:rtl/>
        </w:rPr>
        <w:t>מלי המחבר בין חלקיה השונים של האוכלוסי</w:t>
      </w:r>
      <w:r w:rsidR="002A0859" w:rsidRPr="00A9303D">
        <w:rPr>
          <w:rFonts w:cs="David" w:hint="cs"/>
          <w:sz w:val="24"/>
          <w:szCs w:val="24"/>
          <w:rtl/>
        </w:rPr>
        <w:t>י</w:t>
      </w:r>
      <w:r w:rsidRPr="00A9303D">
        <w:rPr>
          <w:rFonts w:cs="David" w:hint="cs"/>
          <w:sz w:val="24"/>
          <w:szCs w:val="24"/>
          <w:rtl/>
        </w:rPr>
        <w:t>ה ולמנוע חיים משותפים באותה המדינה.</w:t>
      </w:r>
      <w:r w:rsidRPr="00A9303D">
        <w:rPr>
          <w:rStyle w:val="a5"/>
          <w:rFonts w:cs="David"/>
          <w:sz w:val="24"/>
          <w:szCs w:val="24"/>
          <w:rtl/>
        </w:rPr>
        <w:footnoteReference w:id="145"/>
      </w:r>
      <w:r w:rsidR="00C557E0">
        <w:rPr>
          <w:rFonts w:cs="David" w:hint="cs"/>
          <w:sz w:val="24"/>
          <w:szCs w:val="24"/>
          <w:rtl/>
        </w:rPr>
        <w:t xml:space="preserve">(ההדגשות של הח"מ </w:t>
      </w:r>
      <w:r w:rsidR="00C557E0">
        <w:rPr>
          <w:rFonts w:cs="David"/>
          <w:sz w:val="24"/>
          <w:szCs w:val="24"/>
          <w:rtl/>
        </w:rPr>
        <w:t>–</w:t>
      </w:r>
      <w:r w:rsidR="00C557E0">
        <w:rPr>
          <w:rFonts w:cs="David" w:hint="cs"/>
          <w:sz w:val="24"/>
          <w:szCs w:val="24"/>
          <w:rtl/>
        </w:rPr>
        <w:t xml:space="preserve"> ר"מ)</w:t>
      </w:r>
    </w:p>
    <w:p w:rsidR="00AC082A" w:rsidRDefault="000E51DC" w:rsidP="003274CC">
      <w:pPr>
        <w:spacing w:line="360" w:lineRule="auto"/>
        <w:jc w:val="both"/>
        <w:rPr>
          <w:rFonts w:cs="David"/>
          <w:sz w:val="28"/>
          <w:szCs w:val="28"/>
          <w:rtl/>
        </w:rPr>
      </w:pPr>
      <w:r w:rsidRPr="00776429">
        <w:rPr>
          <w:rFonts w:cs="David" w:hint="cs"/>
          <w:sz w:val="28"/>
          <w:szCs w:val="28"/>
          <w:rtl/>
        </w:rPr>
        <w:t>לאורך השנים חלה התפתחות בחקיקה ובהתגבשות תפיסתו של בית המשפט העליון בנושא המתחים שבין חופש הביטוי והאיסורים הפליליים</w:t>
      </w:r>
      <w:r w:rsidR="00C557E0" w:rsidRPr="00776429">
        <w:rPr>
          <w:rFonts w:cs="David" w:hint="cs"/>
          <w:sz w:val="28"/>
          <w:szCs w:val="28"/>
          <w:rtl/>
        </w:rPr>
        <w:t xml:space="preserve"> שבעבירות ההסתה לגזענות ולאלימות</w:t>
      </w:r>
      <w:r w:rsidR="003274CC">
        <w:rPr>
          <w:rFonts w:cs="David" w:hint="cs"/>
          <w:sz w:val="28"/>
          <w:szCs w:val="28"/>
          <w:rtl/>
        </w:rPr>
        <w:t>.</w:t>
      </w:r>
      <w:r w:rsidRPr="00EF4B4B">
        <w:rPr>
          <w:rFonts w:cs="David" w:hint="cs"/>
          <w:sz w:val="28"/>
          <w:szCs w:val="28"/>
          <w:rtl/>
        </w:rPr>
        <w:t xml:space="preserve"> אם אפשר לצייר את קו השינוי, נ</w:t>
      </w:r>
      <w:r w:rsidR="00D422D0">
        <w:rPr>
          <w:rFonts w:cs="David" w:hint="cs"/>
          <w:sz w:val="28"/>
          <w:szCs w:val="28"/>
          <w:rtl/>
        </w:rPr>
        <w:t>י</w:t>
      </w:r>
      <w:r w:rsidRPr="00EF4B4B">
        <w:rPr>
          <w:rFonts w:cs="David" w:hint="cs"/>
          <w:sz w:val="28"/>
          <w:szCs w:val="28"/>
          <w:rtl/>
        </w:rPr>
        <w:t xml:space="preserve">תן לומר כי היה זה </w:t>
      </w:r>
      <w:r w:rsidRPr="00AC273D">
        <w:rPr>
          <w:rFonts w:cs="David" w:hint="cs"/>
          <w:b/>
          <w:bCs/>
          <w:sz w:val="28"/>
          <w:szCs w:val="28"/>
          <w:rtl/>
        </w:rPr>
        <w:t>לאחר רצח ראש הממשלה יצחק רבין</w:t>
      </w:r>
      <w:r w:rsidR="00DE4312">
        <w:rPr>
          <w:rFonts w:cs="David" w:hint="cs"/>
          <w:b/>
          <w:bCs/>
          <w:sz w:val="28"/>
          <w:szCs w:val="28"/>
          <w:rtl/>
        </w:rPr>
        <w:t xml:space="preserve"> ז"ל</w:t>
      </w:r>
      <w:r w:rsidRPr="00EF4B4B">
        <w:rPr>
          <w:rFonts w:cs="David" w:hint="cs"/>
          <w:sz w:val="28"/>
          <w:szCs w:val="28"/>
          <w:rtl/>
        </w:rPr>
        <w:t>, בנובמבר 1995, אשר שינה את יחסה של החברה הישראלית להסתה ואת הבנת הסכנות הטמונות בה</w:t>
      </w:r>
      <w:r w:rsidR="003F094B" w:rsidRPr="00EF4B4B">
        <w:rPr>
          <w:rFonts w:cs="David" w:hint="cs"/>
          <w:sz w:val="28"/>
          <w:szCs w:val="28"/>
          <w:rtl/>
        </w:rPr>
        <w:t>,</w:t>
      </w:r>
      <w:r w:rsidRPr="00EF4B4B">
        <w:rPr>
          <w:rFonts w:cs="David" w:hint="cs"/>
          <w:sz w:val="28"/>
          <w:szCs w:val="28"/>
          <w:rtl/>
        </w:rPr>
        <w:t xml:space="preserve"> וכך גם את ההתייחסות המשפטית להוראות החוק האוסרות הסתה.</w:t>
      </w:r>
    </w:p>
    <w:p w:rsidR="006B3D08" w:rsidRDefault="006B3D08" w:rsidP="00F119A4">
      <w:pPr>
        <w:spacing w:line="360" w:lineRule="auto"/>
        <w:jc w:val="both"/>
        <w:rPr>
          <w:rFonts w:cs="David"/>
          <w:b/>
          <w:bCs/>
          <w:sz w:val="28"/>
          <w:szCs w:val="28"/>
          <w:rtl/>
        </w:rPr>
      </w:pPr>
    </w:p>
    <w:p w:rsidR="00DA27BE" w:rsidRPr="00D422D0" w:rsidRDefault="009516F7" w:rsidP="00F119A4">
      <w:pPr>
        <w:spacing w:line="360" w:lineRule="auto"/>
        <w:jc w:val="both"/>
        <w:rPr>
          <w:rFonts w:cs="David"/>
          <w:b/>
          <w:bCs/>
          <w:sz w:val="28"/>
          <w:szCs w:val="28"/>
          <w:rtl/>
        </w:rPr>
      </w:pPr>
      <w:r>
        <w:rPr>
          <w:rFonts w:cs="David" w:hint="cs"/>
          <w:b/>
          <w:bCs/>
          <w:sz w:val="28"/>
          <w:szCs w:val="28"/>
          <w:rtl/>
        </w:rPr>
        <w:lastRenderedPageBreak/>
        <w:t>ה</w:t>
      </w:r>
      <w:r w:rsidR="006775F5">
        <w:rPr>
          <w:rFonts w:cs="David" w:hint="cs"/>
          <w:b/>
          <w:bCs/>
          <w:sz w:val="28"/>
          <w:szCs w:val="28"/>
          <w:rtl/>
        </w:rPr>
        <w:t xml:space="preserve">.1 </w:t>
      </w:r>
      <w:r w:rsidR="007C1EC3" w:rsidRPr="00D422D0">
        <w:rPr>
          <w:rFonts w:cs="David" w:hint="cs"/>
          <w:b/>
          <w:bCs/>
          <w:sz w:val="28"/>
          <w:szCs w:val="28"/>
          <w:rtl/>
        </w:rPr>
        <w:t>התפתחות הפסיקה</w:t>
      </w:r>
      <w:r w:rsidR="004D2A73">
        <w:rPr>
          <w:rFonts w:cs="David" w:hint="cs"/>
          <w:b/>
          <w:bCs/>
          <w:sz w:val="28"/>
          <w:szCs w:val="28"/>
          <w:rtl/>
        </w:rPr>
        <w:t xml:space="preserve"> במתח בין חופש הביטוי ועבירת ההסתה לגזענות</w:t>
      </w:r>
    </w:p>
    <w:p w:rsidR="00B15DA7" w:rsidRPr="00EF4B4B" w:rsidRDefault="007A64CF" w:rsidP="00F119A4">
      <w:pPr>
        <w:spacing w:line="360" w:lineRule="auto"/>
        <w:jc w:val="both"/>
        <w:rPr>
          <w:rFonts w:cs="David"/>
          <w:sz w:val="28"/>
          <w:szCs w:val="28"/>
          <w:rtl/>
        </w:rPr>
      </w:pPr>
      <w:r w:rsidRPr="00087644">
        <w:rPr>
          <w:rFonts w:cs="David" w:hint="cs"/>
          <w:b/>
          <w:bCs/>
          <w:sz w:val="28"/>
          <w:szCs w:val="28"/>
          <w:rtl/>
        </w:rPr>
        <w:t>טרם הרצח</w:t>
      </w:r>
      <w:r w:rsidRPr="00EF4B4B">
        <w:rPr>
          <w:rFonts w:cs="David" w:hint="cs"/>
          <w:sz w:val="28"/>
          <w:szCs w:val="28"/>
          <w:rtl/>
        </w:rPr>
        <w:t>, עלתה סוגי</w:t>
      </w:r>
      <w:r w:rsidR="00C106CE" w:rsidRPr="00EF4B4B">
        <w:rPr>
          <w:rFonts w:cs="David" w:hint="cs"/>
          <w:sz w:val="28"/>
          <w:szCs w:val="28"/>
          <w:rtl/>
        </w:rPr>
        <w:t>ת המתח בין חופש הביטוי והערכים האחרים</w:t>
      </w:r>
      <w:r w:rsidRPr="00EF4B4B">
        <w:rPr>
          <w:rFonts w:cs="David" w:hint="cs"/>
          <w:sz w:val="28"/>
          <w:szCs w:val="28"/>
          <w:rtl/>
        </w:rPr>
        <w:t xml:space="preserve"> בעוצמה  ב</w:t>
      </w:r>
      <w:r w:rsidRPr="007751F2">
        <w:rPr>
          <w:rFonts w:cs="David" w:hint="cs"/>
          <w:b/>
          <w:bCs/>
          <w:sz w:val="28"/>
          <w:szCs w:val="28"/>
          <w:rtl/>
        </w:rPr>
        <w:t>בג"צ כהנא נ' הוועד המנהל של רשות השידור</w:t>
      </w:r>
      <w:r w:rsidRPr="00EF4B4B">
        <w:rPr>
          <w:rFonts w:cs="David" w:hint="cs"/>
          <w:sz w:val="28"/>
          <w:szCs w:val="28"/>
          <w:rtl/>
        </w:rPr>
        <w:t xml:space="preserve"> (להלן: </w:t>
      </w:r>
      <w:r w:rsidRPr="00EF4B4B">
        <w:rPr>
          <w:rFonts w:cs="David" w:hint="cs"/>
          <w:b/>
          <w:bCs/>
          <w:sz w:val="28"/>
          <w:szCs w:val="28"/>
          <w:rtl/>
        </w:rPr>
        <w:t>עניין כהנא</w:t>
      </w:r>
      <w:r w:rsidR="00B86F6D" w:rsidRPr="00EF4B4B">
        <w:rPr>
          <w:rFonts w:cs="David" w:hint="cs"/>
          <w:b/>
          <w:bCs/>
          <w:sz w:val="28"/>
          <w:szCs w:val="28"/>
          <w:rtl/>
        </w:rPr>
        <w:t xml:space="preserve"> [1]</w:t>
      </w:r>
      <w:r w:rsidRPr="00EF4B4B">
        <w:rPr>
          <w:rFonts w:cs="David" w:hint="cs"/>
          <w:sz w:val="28"/>
          <w:szCs w:val="28"/>
          <w:rtl/>
        </w:rPr>
        <w:t>)</w:t>
      </w:r>
      <w:r w:rsidR="00C3127B" w:rsidRPr="00EF4B4B">
        <w:rPr>
          <w:rStyle w:val="a5"/>
          <w:rFonts w:cs="David"/>
          <w:sz w:val="28"/>
          <w:szCs w:val="28"/>
          <w:rtl/>
        </w:rPr>
        <w:footnoteReference w:id="146"/>
      </w:r>
      <w:r w:rsidR="00E654C2" w:rsidRPr="00EF4B4B">
        <w:rPr>
          <w:rFonts w:cs="David" w:hint="cs"/>
          <w:sz w:val="28"/>
          <w:szCs w:val="28"/>
          <w:rtl/>
        </w:rPr>
        <w:t xml:space="preserve"> שם נפסק כי חרף העובדה שהדיבור הגזעני סותר את יסודות השיח הדמוקרטי ופוגע בו, </w:t>
      </w:r>
      <w:r w:rsidR="00277AB0" w:rsidRPr="00EF4B4B">
        <w:rPr>
          <w:rFonts w:cs="David" w:hint="cs"/>
          <w:sz w:val="28"/>
          <w:szCs w:val="28"/>
          <w:rtl/>
        </w:rPr>
        <w:t xml:space="preserve">אין לפסלו על הסף וכי </w:t>
      </w:r>
      <w:r w:rsidR="00E654C2" w:rsidRPr="00EF4B4B">
        <w:rPr>
          <w:rFonts w:cs="David" w:hint="cs"/>
          <w:sz w:val="28"/>
          <w:szCs w:val="28"/>
          <w:rtl/>
        </w:rPr>
        <w:t>יש להפעיל גם על הדיבור הגזעני נוסחת איזון</w:t>
      </w:r>
      <w:r w:rsidR="00447196" w:rsidRPr="00EF4B4B">
        <w:rPr>
          <w:rFonts w:cs="David" w:hint="cs"/>
          <w:sz w:val="28"/>
          <w:szCs w:val="28"/>
          <w:rtl/>
        </w:rPr>
        <w:t>,</w:t>
      </w:r>
      <w:r w:rsidR="00E654C2" w:rsidRPr="00EF4B4B">
        <w:rPr>
          <w:rFonts w:cs="David" w:hint="cs"/>
          <w:sz w:val="28"/>
          <w:szCs w:val="28"/>
          <w:rtl/>
        </w:rPr>
        <w:t xml:space="preserve"> </w:t>
      </w:r>
      <w:r w:rsidR="00277AB0" w:rsidRPr="00EF4B4B">
        <w:rPr>
          <w:rFonts w:cs="David" w:hint="cs"/>
          <w:sz w:val="28"/>
          <w:szCs w:val="28"/>
          <w:rtl/>
        </w:rPr>
        <w:t>בין החופש לבטאו ובין הפגיעה בערכים מוגנים אחרים.</w:t>
      </w:r>
      <w:r w:rsidR="00E654C2" w:rsidRPr="00EF4B4B">
        <w:rPr>
          <w:rFonts w:cs="David" w:hint="cs"/>
          <w:sz w:val="28"/>
          <w:szCs w:val="28"/>
          <w:rtl/>
        </w:rPr>
        <w:t xml:space="preserve"> </w:t>
      </w:r>
      <w:r w:rsidR="00DD336A">
        <w:rPr>
          <w:rFonts w:cs="David" w:hint="cs"/>
          <w:sz w:val="28"/>
          <w:szCs w:val="28"/>
          <w:rtl/>
        </w:rPr>
        <w:t xml:space="preserve">וכך ציין </w:t>
      </w:r>
      <w:r w:rsidR="0077264A">
        <w:rPr>
          <w:rFonts w:cs="David" w:hint="cs"/>
          <w:sz w:val="28"/>
          <w:szCs w:val="28"/>
          <w:rtl/>
        </w:rPr>
        <w:t>כבוד השופט</w:t>
      </w:r>
      <w:r w:rsidR="00DD336A">
        <w:rPr>
          <w:rFonts w:cs="David" w:hint="cs"/>
          <w:sz w:val="28"/>
          <w:szCs w:val="28"/>
          <w:rtl/>
        </w:rPr>
        <w:t xml:space="preserve"> ברק (כתוארו אז)</w:t>
      </w:r>
      <w:r w:rsidR="008C7D63">
        <w:rPr>
          <w:rFonts w:cs="David" w:hint="cs"/>
          <w:sz w:val="28"/>
          <w:szCs w:val="28"/>
          <w:rtl/>
        </w:rPr>
        <w:t>:</w:t>
      </w:r>
      <w:r w:rsidR="00DD336A">
        <w:rPr>
          <w:rStyle w:val="a5"/>
          <w:rFonts w:cs="David"/>
          <w:sz w:val="28"/>
          <w:szCs w:val="28"/>
          <w:rtl/>
        </w:rPr>
        <w:footnoteReference w:id="147"/>
      </w:r>
      <w:r w:rsidR="008C7D63">
        <w:rPr>
          <w:rFonts w:cs="David" w:hint="cs"/>
          <w:sz w:val="28"/>
          <w:szCs w:val="28"/>
          <w:rtl/>
        </w:rPr>
        <w:t xml:space="preserve"> </w:t>
      </w:r>
    </w:p>
    <w:p w:rsidR="003D4731" w:rsidRPr="00A9303D" w:rsidRDefault="00E654C2" w:rsidP="00F119A4">
      <w:pPr>
        <w:spacing w:line="360" w:lineRule="auto"/>
        <w:ind w:left="720"/>
        <w:jc w:val="both"/>
        <w:rPr>
          <w:rFonts w:cs="David"/>
          <w:color w:val="FF0000"/>
          <w:sz w:val="24"/>
          <w:szCs w:val="24"/>
          <w:rtl/>
        </w:rPr>
      </w:pPr>
      <w:r w:rsidRPr="00A9303D">
        <w:rPr>
          <w:rFonts w:cs="David" w:hint="cs"/>
          <w:sz w:val="24"/>
          <w:szCs w:val="24"/>
          <w:rtl/>
        </w:rPr>
        <w:t>אכן הגזענות בשקר יסודה, אך האמת תצא לאור רק באותה התמודדות חופשית של רעיונות ודעות [...] לא האמת בגזענות תומכת בחופש לבטאה, אלא ההתמודדות החופשית של דעות והשקפות, שתוקיע את השקר שבה</w:t>
      </w:r>
      <w:r w:rsidR="00DD336A" w:rsidRPr="00A9303D">
        <w:rPr>
          <w:rFonts w:cs="David" w:hint="cs"/>
          <w:sz w:val="24"/>
          <w:szCs w:val="24"/>
          <w:rtl/>
        </w:rPr>
        <w:t>.</w:t>
      </w:r>
      <w:r w:rsidR="00277AB0" w:rsidRPr="00A9303D">
        <w:rPr>
          <w:rFonts w:cs="David" w:hint="cs"/>
          <w:sz w:val="24"/>
          <w:szCs w:val="24"/>
          <w:rtl/>
        </w:rPr>
        <w:t xml:space="preserve"> [...] לשם הגשמת עצמנו עלינו להקשיב וללמוד ולהיות מודעים גם לדעות גזעניות. רק בדרך זו נדע להילחם נגדן</w:t>
      </w:r>
      <w:r w:rsidRPr="00A9303D">
        <w:rPr>
          <w:rFonts w:cs="David" w:hint="cs"/>
          <w:sz w:val="24"/>
          <w:szCs w:val="24"/>
          <w:rtl/>
        </w:rPr>
        <w:t>.</w:t>
      </w:r>
    </w:p>
    <w:p w:rsidR="003D4731" w:rsidRPr="00EF4B4B" w:rsidRDefault="00BD26BC" w:rsidP="00F119A4">
      <w:pPr>
        <w:spacing w:line="360" w:lineRule="auto"/>
        <w:jc w:val="both"/>
        <w:rPr>
          <w:rFonts w:cs="David"/>
          <w:sz w:val="28"/>
          <w:szCs w:val="28"/>
          <w:rtl/>
        </w:rPr>
      </w:pPr>
      <w:r w:rsidRPr="00EF4B4B">
        <w:rPr>
          <w:rFonts w:cs="David" w:hint="cs"/>
          <w:sz w:val="28"/>
          <w:szCs w:val="28"/>
          <w:rtl/>
        </w:rPr>
        <w:t xml:space="preserve">לצד האמור, הכיר </w:t>
      </w:r>
      <w:r w:rsidR="0077264A">
        <w:rPr>
          <w:rFonts w:cs="David" w:hint="cs"/>
          <w:sz w:val="28"/>
          <w:szCs w:val="28"/>
          <w:rtl/>
        </w:rPr>
        <w:t>כבוד השופט</w:t>
      </w:r>
      <w:r w:rsidRPr="00EF4B4B">
        <w:rPr>
          <w:rFonts w:cs="David" w:hint="cs"/>
          <w:sz w:val="28"/>
          <w:szCs w:val="28"/>
          <w:rtl/>
        </w:rPr>
        <w:t xml:space="preserve"> ברק באותו פסק הדין בעובדה כי חופש הביטוי, אשר בא להגן על הדמוקרטיה, יכול גם לפגוע בה וכך יכול להתרחש כאשר הביטוי הוא גזעני. לכן, גם </w:t>
      </w:r>
      <w:r w:rsidR="00447196" w:rsidRPr="00EF4B4B">
        <w:rPr>
          <w:rFonts w:cs="David" w:hint="cs"/>
          <w:sz w:val="28"/>
          <w:szCs w:val="28"/>
          <w:rtl/>
        </w:rPr>
        <w:t>לדידו</w:t>
      </w:r>
      <w:r w:rsidR="00D95DA2">
        <w:rPr>
          <w:rFonts w:cs="David" w:hint="cs"/>
          <w:sz w:val="28"/>
          <w:szCs w:val="28"/>
          <w:rtl/>
        </w:rPr>
        <w:t>,</w:t>
      </w:r>
      <w:r w:rsidR="00447196" w:rsidRPr="00EF4B4B">
        <w:rPr>
          <w:rFonts w:cs="David" w:hint="cs"/>
          <w:sz w:val="28"/>
          <w:szCs w:val="28"/>
          <w:rtl/>
        </w:rPr>
        <w:t xml:space="preserve"> </w:t>
      </w:r>
      <w:r w:rsidRPr="00E81D99">
        <w:rPr>
          <w:rFonts w:cs="David" w:hint="cs"/>
          <w:b/>
          <w:bCs/>
          <w:sz w:val="28"/>
          <w:szCs w:val="28"/>
          <w:rtl/>
        </w:rPr>
        <w:t>שיח ציבורי פתוח, נוקב וקשה אינו יכול להיות משולל רסן לחלוטין</w:t>
      </w:r>
      <w:r w:rsidRPr="00EF4B4B">
        <w:rPr>
          <w:rFonts w:cs="David" w:hint="cs"/>
          <w:sz w:val="28"/>
          <w:szCs w:val="28"/>
          <w:rtl/>
        </w:rPr>
        <w:t xml:space="preserve">. נוסחת האיזון אותה התווה הנשיא </w:t>
      </w:r>
      <w:r w:rsidR="00D12E28" w:rsidRPr="00EF4B4B">
        <w:rPr>
          <w:rFonts w:cs="David" w:hint="cs"/>
          <w:sz w:val="28"/>
          <w:szCs w:val="28"/>
          <w:rtl/>
        </w:rPr>
        <w:t xml:space="preserve">באותה העת, </w:t>
      </w:r>
      <w:r w:rsidRPr="00EF4B4B">
        <w:rPr>
          <w:rFonts w:cs="David" w:hint="cs"/>
          <w:sz w:val="28"/>
          <w:szCs w:val="28"/>
          <w:rtl/>
        </w:rPr>
        <w:t xml:space="preserve">הינה נוסחת האיזון העקרונית של </w:t>
      </w:r>
      <w:r w:rsidR="00447196" w:rsidRPr="00EF4B4B">
        <w:rPr>
          <w:rFonts w:cs="David" w:hint="cs"/>
          <w:sz w:val="28"/>
          <w:szCs w:val="28"/>
          <w:rtl/>
        </w:rPr>
        <w:t>'</w:t>
      </w:r>
      <w:r w:rsidRPr="00EF4B4B">
        <w:rPr>
          <w:rFonts w:cs="David" w:hint="cs"/>
          <w:sz w:val="28"/>
          <w:szCs w:val="28"/>
          <w:rtl/>
        </w:rPr>
        <w:t>הוודאות הקרובה</w:t>
      </w:r>
      <w:r w:rsidR="00447196" w:rsidRPr="00EF4B4B">
        <w:rPr>
          <w:rFonts w:cs="David" w:hint="cs"/>
          <w:sz w:val="28"/>
          <w:szCs w:val="28"/>
          <w:rtl/>
        </w:rPr>
        <w:t>'</w:t>
      </w:r>
      <w:r w:rsidRPr="00EF4B4B">
        <w:rPr>
          <w:rFonts w:cs="David" w:hint="cs"/>
          <w:sz w:val="28"/>
          <w:szCs w:val="28"/>
          <w:rtl/>
        </w:rPr>
        <w:t xml:space="preserve"> לפגיעה ממשית בשלום הציבור.</w:t>
      </w:r>
      <w:r w:rsidR="00D12E28" w:rsidRPr="00EF4B4B">
        <w:rPr>
          <w:rStyle w:val="a5"/>
          <w:rFonts w:cs="David"/>
          <w:sz w:val="28"/>
          <w:szCs w:val="28"/>
          <w:rtl/>
        </w:rPr>
        <w:footnoteReference w:id="148"/>
      </w:r>
    </w:p>
    <w:p w:rsidR="00B439AF" w:rsidRPr="00EF4B4B" w:rsidRDefault="001A55F6" w:rsidP="006D07B4">
      <w:pPr>
        <w:spacing w:line="360" w:lineRule="auto"/>
        <w:jc w:val="both"/>
        <w:rPr>
          <w:rFonts w:cs="David"/>
          <w:sz w:val="28"/>
          <w:szCs w:val="28"/>
          <w:rtl/>
        </w:rPr>
      </w:pPr>
      <w:r>
        <w:rPr>
          <w:rFonts w:cs="David" w:hint="cs"/>
          <w:b/>
          <w:bCs/>
          <w:sz w:val="28"/>
          <w:szCs w:val="28"/>
          <w:rtl/>
        </w:rPr>
        <w:t xml:space="preserve">רק </w:t>
      </w:r>
      <w:r w:rsidR="003D4731" w:rsidRPr="006D07B4">
        <w:rPr>
          <w:rFonts w:cs="David" w:hint="cs"/>
          <w:b/>
          <w:bCs/>
          <w:sz w:val="28"/>
          <w:szCs w:val="28"/>
          <w:rtl/>
        </w:rPr>
        <w:t>ר</w:t>
      </w:r>
      <w:r w:rsidR="00A53E95" w:rsidRPr="006D07B4">
        <w:rPr>
          <w:rFonts w:cs="David" w:hint="cs"/>
          <w:b/>
          <w:bCs/>
          <w:sz w:val="28"/>
          <w:szCs w:val="28"/>
          <w:rtl/>
        </w:rPr>
        <w:t>צח ראש הממשלה</w:t>
      </w:r>
      <w:r w:rsidR="000004A9">
        <w:rPr>
          <w:rFonts w:cs="David" w:hint="cs"/>
          <w:sz w:val="28"/>
          <w:szCs w:val="28"/>
          <w:rtl/>
        </w:rPr>
        <w:t xml:space="preserve">, </w:t>
      </w:r>
      <w:r w:rsidR="00A53E95" w:rsidRPr="00EF4B4B">
        <w:rPr>
          <w:rFonts w:cs="David" w:hint="cs"/>
          <w:sz w:val="28"/>
          <w:szCs w:val="28"/>
          <w:rtl/>
        </w:rPr>
        <w:t>חידד את המחלוקת בנושא גבולות חופש הביטוי בהקשרי ההסתה לגזענות ולאלימות, על רקע הטענה כי ביטויי הסתה שנשמעו בציבור עובר למקרה הכשירו את הקרקע לקראתו.</w:t>
      </w:r>
      <w:r w:rsidR="00231062" w:rsidRPr="00EF4B4B">
        <w:rPr>
          <w:rStyle w:val="a5"/>
          <w:rFonts w:cs="David"/>
          <w:sz w:val="28"/>
          <w:szCs w:val="28"/>
          <w:rtl/>
        </w:rPr>
        <w:footnoteReference w:id="149"/>
      </w:r>
      <w:r w:rsidR="002A4908" w:rsidRPr="00EF4B4B">
        <w:rPr>
          <w:rFonts w:cs="David" w:hint="cs"/>
          <w:sz w:val="28"/>
          <w:szCs w:val="28"/>
          <w:rtl/>
        </w:rPr>
        <w:t xml:space="preserve"> מחלוקת זו עוררה דיון ער </w:t>
      </w:r>
      <w:r w:rsidR="003E03C8" w:rsidRPr="00EF4B4B">
        <w:rPr>
          <w:rFonts w:cs="David" w:hint="cs"/>
          <w:sz w:val="28"/>
          <w:szCs w:val="28"/>
          <w:rtl/>
        </w:rPr>
        <w:t xml:space="preserve">בזירה המשפטית </w:t>
      </w:r>
      <w:r w:rsidR="001436CC" w:rsidRPr="00EF4B4B">
        <w:rPr>
          <w:rFonts w:cs="David" w:hint="cs"/>
          <w:sz w:val="28"/>
          <w:szCs w:val="28"/>
          <w:rtl/>
        </w:rPr>
        <w:t xml:space="preserve">ובאה לידי ביטוי </w:t>
      </w:r>
      <w:r w:rsidR="003E03C8" w:rsidRPr="00EF4B4B">
        <w:rPr>
          <w:rFonts w:cs="David" w:hint="cs"/>
          <w:sz w:val="28"/>
          <w:szCs w:val="28"/>
          <w:rtl/>
        </w:rPr>
        <w:t>בשורה של פס</w:t>
      </w:r>
      <w:r w:rsidR="001436CC" w:rsidRPr="00EF4B4B">
        <w:rPr>
          <w:rFonts w:cs="David" w:hint="cs"/>
          <w:sz w:val="28"/>
          <w:szCs w:val="28"/>
          <w:rtl/>
        </w:rPr>
        <w:t>קי דין של בית המשפט העליון.</w:t>
      </w:r>
    </w:p>
    <w:p w:rsidR="00E10365" w:rsidRDefault="00EB5DB4" w:rsidP="0077264A">
      <w:pPr>
        <w:spacing w:line="360" w:lineRule="auto"/>
        <w:jc w:val="both"/>
        <w:rPr>
          <w:rFonts w:cs="David"/>
          <w:sz w:val="28"/>
          <w:szCs w:val="28"/>
          <w:rtl/>
        </w:rPr>
      </w:pPr>
      <w:r w:rsidRPr="00EF4B4B">
        <w:rPr>
          <w:rFonts w:cs="David" w:hint="cs"/>
          <w:sz w:val="28"/>
          <w:szCs w:val="28"/>
          <w:rtl/>
        </w:rPr>
        <w:t xml:space="preserve">כאמור לעיל, </w:t>
      </w:r>
      <w:r w:rsidR="007C1EC3" w:rsidRPr="00EF4B4B">
        <w:rPr>
          <w:rFonts w:cs="David" w:hint="cs"/>
          <w:sz w:val="28"/>
          <w:szCs w:val="28"/>
          <w:rtl/>
        </w:rPr>
        <w:t xml:space="preserve">פסק הדין </w:t>
      </w:r>
      <w:r w:rsidRPr="00EF4B4B">
        <w:rPr>
          <w:rFonts w:cs="David" w:hint="cs"/>
          <w:sz w:val="28"/>
          <w:szCs w:val="28"/>
          <w:rtl/>
        </w:rPr>
        <w:t xml:space="preserve">המשמעותי </w:t>
      </w:r>
      <w:r w:rsidR="007C1EC3" w:rsidRPr="00EF4B4B">
        <w:rPr>
          <w:rFonts w:cs="David" w:hint="cs"/>
          <w:sz w:val="28"/>
          <w:szCs w:val="28"/>
          <w:rtl/>
        </w:rPr>
        <w:t>הראשון</w:t>
      </w:r>
      <w:r w:rsidR="00AC082A">
        <w:rPr>
          <w:rFonts w:cs="David" w:hint="cs"/>
          <w:sz w:val="28"/>
          <w:szCs w:val="28"/>
          <w:rtl/>
        </w:rPr>
        <w:t>,</w:t>
      </w:r>
      <w:r w:rsidR="007C1EC3" w:rsidRPr="00EF4B4B">
        <w:rPr>
          <w:rFonts w:cs="David" w:hint="cs"/>
          <w:sz w:val="28"/>
          <w:szCs w:val="28"/>
          <w:rtl/>
        </w:rPr>
        <w:t xml:space="preserve"> שנתן בית המשפט העליון </w:t>
      </w:r>
      <w:r w:rsidR="007C1EC3" w:rsidRPr="00087644">
        <w:rPr>
          <w:rFonts w:cs="David" w:hint="cs"/>
          <w:b/>
          <w:bCs/>
          <w:sz w:val="28"/>
          <w:szCs w:val="28"/>
          <w:rtl/>
        </w:rPr>
        <w:t xml:space="preserve">לאחר הרצח </w:t>
      </w:r>
      <w:r w:rsidRPr="00EF4B4B">
        <w:rPr>
          <w:rFonts w:cs="David" w:hint="cs"/>
          <w:sz w:val="28"/>
          <w:szCs w:val="28"/>
          <w:rtl/>
        </w:rPr>
        <w:t xml:space="preserve">בנושא ההסתה לגזענות </w:t>
      </w:r>
      <w:r w:rsidR="00105162" w:rsidRPr="00EF4B4B">
        <w:rPr>
          <w:rFonts w:cs="David" w:hint="cs"/>
          <w:sz w:val="28"/>
          <w:szCs w:val="28"/>
          <w:rtl/>
        </w:rPr>
        <w:t xml:space="preserve">היה בעניין </w:t>
      </w:r>
      <w:r w:rsidR="00105162" w:rsidRPr="0012706D">
        <w:rPr>
          <w:rFonts w:cs="David" w:hint="cs"/>
          <w:b/>
          <w:bCs/>
          <w:sz w:val="28"/>
          <w:szCs w:val="28"/>
          <w:rtl/>
        </w:rPr>
        <w:t>אלבה</w:t>
      </w:r>
      <w:r w:rsidR="00105162" w:rsidRPr="00EF4B4B">
        <w:rPr>
          <w:rFonts w:cs="David" w:hint="cs"/>
          <w:sz w:val="28"/>
          <w:szCs w:val="28"/>
          <w:rtl/>
        </w:rPr>
        <w:t xml:space="preserve">, אשר קבע בדעת רוב </w:t>
      </w:r>
      <w:r w:rsidR="0077264A">
        <w:rPr>
          <w:rFonts w:cs="David" w:hint="cs"/>
          <w:sz w:val="28"/>
          <w:szCs w:val="28"/>
          <w:rtl/>
        </w:rPr>
        <w:t>השופט</w:t>
      </w:r>
      <w:r w:rsidR="00105162" w:rsidRPr="00EF4B4B">
        <w:rPr>
          <w:rFonts w:cs="David" w:hint="cs"/>
          <w:sz w:val="28"/>
          <w:szCs w:val="28"/>
          <w:rtl/>
        </w:rPr>
        <w:t xml:space="preserve">ים (הנשיא ברק, </w:t>
      </w:r>
      <w:r w:rsidR="0077264A">
        <w:rPr>
          <w:rFonts w:cs="David" w:hint="cs"/>
          <w:sz w:val="28"/>
          <w:szCs w:val="28"/>
          <w:rtl/>
        </w:rPr>
        <w:t>כבוד השופט</w:t>
      </w:r>
      <w:r w:rsidR="00105162" w:rsidRPr="00EF4B4B">
        <w:rPr>
          <w:rFonts w:cs="David" w:hint="cs"/>
          <w:sz w:val="28"/>
          <w:szCs w:val="28"/>
          <w:rtl/>
        </w:rPr>
        <w:t xml:space="preserve"> בך, </w:t>
      </w:r>
      <w:r w:rsidR="0077264A">
        <w:rPr>
          <w:rFonts w:cs="David" w:hint="cs"/>
          <w:sz w:val="28"/>
          <w:szCs w:val="28"/>
          <w:rtl/>
        </w:rPr>
        <w:t>כבוד השופט</w:t>
      </w:r>
      <w:r w:rsidR="00105162" w:rsidRPr="00EF4B4B">
        <w:rPr>
          <w:rFonts w:cs="David" w:hint="cs"/>
          <w:sz w:val="28"/>
          <w:szCs w:val="28"/>
          <w:rtl/>
        </w:rPr>
        <w:t xml:space="preserve"> גולדברג, </w:t>
      </w:r>
      <w:r w:rsidR="0077264A">
        <w:rPr>
          <w:rFonts w:cs="David" w:hint="cs"/>
          <w:sz w:val="28"/>
          <w:szCs w:val="28"/>
          <w:rtl/>
        </w:rPr>
        <w:t>כבוד השופט</w:t>
      </w:r>
      <w:r w:rsidR="00105162" w:rsidRPr="00EF4B4B">
        <w:rPr>
          <w:rFonts w:cs="David" w:hint="cs"/>
          <w:sz w:val="28"/>
          <w:szCs w:val="28"/>
          <w:rtl/>
        </w:rPr>
        <w:t>ת דורנר ו</w:t>
      </w:r>
      <w:r w:rsidR="0077264A">
        <w:rPr>
          <w:rFonts w:cs="David" w:hint="cs"/>
          <w:sz w:val="28"/>
          <w:szCs w:val="28"/>
          <w:rtl/>
        </w:rPr>
        <w:t>כבוד השופט</w:t>
      </w:r>
      <w:r w:rsidR="00105162" w:rsidRPr="00EF4B4B">
        <w:rPr>
          <w:rFonts w:cs="David" w:hint="cs"/>
          <w:sz w:val="28"/>
          <w:szCs w:val="28"/>
          <w:rtl/>
        </w:rPr>
        <w:t xml:space="preserve"> טירקל) כי </w:t>
      </w:r>
      <w:r w:rsidR="00105162" w:rsidRPr="007B47C0">
        <w:rPr>
          <w:rFonts w:cs="David" w:hint="cs"/>
          <w:b/>
          <w:bCs/>
          <w:sz w:val="28"/>
          <w:szCs w:val="28"/>
          <w:rtl/>
        </w:rPr>
        <w:t>ע</w:t>
      </w:r>
      <w:r w:rsidR="0065087B" w:rsidRPr="007B47C0">
        <w:rPr>
          <w:rFonts w:cs="David" w:hint="cs"/>
          <w:b/>
          <w:bCs/>
          <w:sz w:val="28"/>
          <w:szCs w:val="28"/>
          <w:rtl/>
        </w:rPr>
        <w:t>י</w:t>
      </w:r>
      <w:r w:rsidR="00105162" w:rsidRPr="007B47C0">
        <w:rPr>
          <w:rFonts w:cs="David" w:hint="cs"/>
          <w:b/>
          <w:bCs/>
          <w:sz w:val="28"/>
          <w:szCs w:val="28"/>
          <w:rtl/>
        </w:rPr>
        <w:t>קרון חופש הביטוי חל גם על התבטאויות גזעניות.</w:t>
      </w:r>
      <w:r w:rsidR="00105162" w:rsidRPr="00EF4B4B">
        <w:rPr>
          <w:rFonts w:cs="David" w:hint="cs"/>
          <w:sz w:val="28"/>
          <w:szCs w:val="28"/>
          <w:rtl/>
        </w:rPr>
        <w:t xml:space="preserve"> </w:t>
      </w:r>
      <w:r w:rsidR="0077264A">
        <w:rPr>
          <w:rFonts w:cs="David" w:hint="cs"/>
          <w:sz w:val="28"/>
          <w:szCs w:val="28"/>
          <w:rtl/>
        </w:rPr>
        <w:t>כבוד השופט</w:t>
      </w:r>
      <w:r w:rsidR="00105162" w:rsidRPr="00EF4B4B">
        <w:rPr>
          <w:rFonts w:cs="David" w:hint="cs"/>
          <w:sz w:val="28"/>
          <w:szCs w:val="28"/>
          <w:rtl/>
        </w:rPr>
        <w:t xml:space="preserve"> מצא (כתוארו אז), אשר אמנם כתב את דעת</w:t>
      </w:r>
      <w:r w:rsidR="009B6465" w:rsidRPr="00EF4B4B">
        <w:rPr>
          <w:rFonts w:cs="David" w:hint="cs"/>
          <w:sz w:val="28"/>
          <w:szCs w:val="28"/>
          <w:rtl/>
        </w:rPr>
        <w:t xml:space="preserve"> הרוב, חשב אחרת</w:t>
      </w:r>
      <w:r w:rsidR="00E10365">
        <w:rPr>
          <w:rFonts w:cs="David" w:hint="cs"/>
          <w:sz w:val="28"/>
          <w:szCs w:val="28"/>
          <w:rtl/>
        </w:rPr>
        <w:t xml:space="preserve"> וטען שעיקרון חופש הביטוי אינו חל על התבטאויות גזעניות </w:t>
      </w:r>
      <w:r w:rsidR="0065087B">
        <w:rPr>
          <w:rStyle w:val="a5"/>
          <w:rFonts w:cs="David"/>
          <w:sz w:val="28"/>
          <w:szCs w:val="28"/>
          <w:rtl/>
        </w:rPr>
        <w:footnoteReference w:id="150"/>
      </w:r>
      <w:r w:rsidR="009B6465" w:rsidRPr="00EF4B4B">
        <w:rPr>
          <w:rFonts w:cs="David" w:hint="cs"/>
          <w:sz w:val="28"/>
          <w:szCs w:val="28"/>
          <w:rtl/>
        </w:rPr>
        <w:t xml:space="preserve"> - </w:t>
      </w:r>
    </w:p>
    <w:p w:rsidR="003D4731" w:rsidRPr="00A9303D" w:rsidRDefault="008862F2" w:rsidP="00F119A4">
      <w:pPr>
        <w:spacing w:line="360" w:lineRule="auto"/>
        <w:ind w:left="720"/>
        <w:jc w:val="both"/>
        <w:rPr>
          <w:rFonts w:cs="David"/>
          <w:sz w:val="24"/>
          <w:szCs w:val="24"/>
          <w:rtl/>
        </w:rPr>
      </w:pPr>
      <w:r w:rsidRPr="00A9303D">
        <w:rPr>
          <w:rFonts w:cs="David" w:hint="cs"/>
          <w:sz w:val="24"/>
          <w:szCs w:val="24"/>
          <w:rtl/>
        </w:rPr>
        <w:t xml:space="preserve">נקודת המוצא היא, שבמסגרת חופש הביטוי נתונה לכל אדם זכות רחבה להביע ולפרסם את דעותיו. אך לשום אדם אין זכות לבטא דעה שמטרתה להסית לגזענות. ואין </w:t>
      </w:r>
      <w:r w:rsidR="009B6465" w:rsidRPr="00A9303D">
        <w:rPr>
          <w:rFonts w:cs="David" w:hint="cs"/>
          <w:sz w:val="24"/>
          <w:szCs w:val="24"/>
          <w:rtl/>
        </w:rPr>
        <w:t xml:space="preserve">דבר </w:t>
      </w:r>
      <w:r w:rsidRPr="00A9303D">
        <w:rPr>
          <w:rFonts w:cs="David" w:hint="cs"/>
          <w:sz w:val="24"/>
          <w:szCs w:val="24"/>
          <w:rtl/>
        </w:rPr>
        <w:lastRenderedPageBreak/>
        <w:t>באיסור הפלילי על פרסום הסתה לגזענות הסותר את חופש הביטוי [...] הביטוי הגזעני אינו נמנה עם צורות הביטוי הפוגעניות, המרג</w:t>
      </w:r>
      <w:r w:rsidR="009B6465" w:rsidRPr="00A9303D">
        <w:rPr>
          <w:rFonts w:cs="David" w:hint="cs"/>
          <w:sz w:val="24"/>
          <w:szCs w:val="24"/>
          <w:rtl/>
        </w:rPr>
        <w:t>י</w:t>
      </w:r>
      <w:r w:rsidRPr="00A9303D">
        <w:rPr>
          <w:rFonts w:cs="David" w:hint="cs"/>
          <w:sz w:val="24"/>
          <w:szCs w:val="24"/>
          <w:rtl/>
        </w:rPr>
        <w:t xml:space="preserve">זות או המקוממות, שעל חברה להשלים עם קיומן [...] </w:t>
      </w:r>
      <w:r w:rsidRPr="001A55F6">
        <w:rPr>
          <w:rFonts w:cs="David" w:hint="cs"/>
          <w:b/>
          <w:bCs/>
          <w:sz w:val="24"/>
          <w:szCs w:val="24"/>
          <w:rtl/>
        </w:rPr>
        <w:t>הביטוי הגזעני הוא חריג [...] ושערי חופש הביטוי נעולים בפניו</w:t>
      </w:r>
      <w:r w:rsidRPr="00A9303D">
        <w:rPr>
          <w:rFonts w:cs="David" w:hint="cs"/>
          <w:sz w:val="24"/>
          <w:szCs w:val="24"/>
          <w:rtl/>
        </w:rPr>
        <w:t>.</w:t>
      </w:r>
      <w:r w:rsidR="001A55F6">
        <w:rPr>
          <w:rFonts w:cs="David" w:hint="cs"/>
          <w:sz w:val="24"/>
          <w:szCs w:val="24"/>
          <w:rtl/>
        </w:rPr>
        <w:t xml:space="preserve">(ההדגשה של הח"מ </w:t>
      </w:r>
      <w:r w:rsidR="001A55F6">
        <w:rPr>
          <w:rFonts w:cs="David"/>
          <w:sz w:val="24"/>
          <w:szCs w:val="24"/>
          <w:rtl/>
        </w:rPr>
        <w:t>–</w:t>
      </w:r>
      <w:r w:rsidR="001A55F6">
        <w:rPr>
          <w:rFonts w:cs="David" w:hint="cs"/>
          <w:sz w:val="24"/>
          <w:szCs w:val="24"/>
          <w:rtl/>
        </w:rPr>
        <w:t xml:space="preserve"> ר"מ)</w:t>
      </w:r>
    </w:p>
    <w:p w:rsidR="00A87E76" w:rsidRPr="00EF4B4B" w:rsidRDefault="00A87E76" w:rsidP="00856A06">
      <w:pPr>
        <w:spacing w:line="360" w:lineRule="auto"/>
        <w:jc w:val="both"/>
        <w:rPr>
          <w:rFonts w:cs="David"/>
          <w:sz w:val="28"/>
          <w:szCs w:val="28"/>
          <w:rtl/>
        </w:rPr>
      </w:pPr>
      <w:r w:rsidRPr="00EF4B4B">
        <w:rPr>
          <w:rFonts w:cs="David" w:hint="cs"/>
          <w:sz w:val="28"/>
          <w:szCs w:val="28"/>
          <w:rtl/>
        </w:rPr>
        <w:t xml:space="preserve">תמיכה בדברי </w:t>
      </w:r>
      <w:r w:rsidR="0077264A">
        <w:rPr>
          <w:rFonts w:cs="David" w:hint="cs"/>
          <w:sz w:val="28"/>
          <w:szCs w:val="28"/>
          <w:rtl/>
        </w:rPr>
        <w:t>כבוד השופט</w:t>
      </w:r>
      <w:r w:rsidRPr="00EF4B4B">
        <w:rPr>
          <w:rFonts w:cs="David" w:hint="cs"/>
          <w:sz w:val="28"/>
          <w:szCs w:val="28"/>
          <w:rtl/>
        </w:rPr>
        <w:t xml:space="preserve"> מצא, ניתן למצוא בדברי </w:t>
      </w:r>
      <w:r w:rsidR="0077264A">
        <w:rPr>
          <w:rFonts w:cs="David" w:hint="cs"/>
          <w:sz w:val="28"/>
          <w:szCs w:val="28"/>
          <w:rtl/>
        </w:rPr>
        <w:t>כבוד השופט</w:t>
      </w:r>
      <w:r w:rsidRPr="00EF4B4B">
        <w:rPr>
          <w:rFonts w:cs="David" w:hint="cs"/>
          <w:sz w:val="28"/>
          <w:szCs w:val="28"/>
          <w:rtl/>
        </w:rPr>
        <w:t xml:space="preserve"> רובינשטיין בפס</w:t>
      </w:r>
      <w:r w:rsidR="00856A06">
        <w:rPr>
          <w:rFonts w:cs="David" w:hint="cs"/>
          <w:sz w:val="28"/>
          <w:szCs w:val="28"/>
          <w:rtl/>
        </w:rPr>
        <w:t>ק הדין</w:t>
      </w:r>
      <w:r w:rsidRPr="00EF4B4B">
        <w:rPr>
          <w:rFonts w:cs="David" w:hint="cs"/>
          <w:sz w:val="28"/>
          <w:szCs w:val="28"/>
          <w:rtl/>
        </w:rPr>
        <w:t xml:space="preserve"> העדכני בעניין </w:t>
      </w:r>
      <w:r w:rsidRPr="0012706D">
        <w:rPr>
          <w:rFonts w:cs="David" w:hint="cs"/>
          <w:b/>
          <w:bCs/>
          <w:sz w:val="28"/>
          <w:szCs w:val="28"/>
          <w:rtl/>
        </w:rPr>
        <w:t>'תורת המלך'</w:t>
      </w:r>
      <w:r w:rsidRPr="00EF4B4B">
        <w:rPr>
          <w:rStyle w:val="a5"/>
          <w:rFonts w:cs="David"/>
          <w:sz w:val="28"/>
          <w:szCs w:val="28"/>
          <w:rtl/>
        </w:rPr>
        <w:footnoteReference w:id="151"/>
      </w:r>
      <w:r w:rsidRPr="00EF4B4B">
        <w:rPr>
          <w:rFonts w:cs="David" w:hint="cs"/>
          <w:sz w:val="28"/>
          <w:szCs w:val="28"/>
          <w:rtl/>
        </w:rPr>
        <w:t xml:space="preserve"> -</w:t>
      </w:r>
    </w:p>
    <w:p w:rsidR="00A87E76" w:rsidRPr="00A9303D" w:rsidRDefault="00A87E76" w:rsidP="00F119A4">
      <w:pPr>
        <w:spacing w:line="360" w:lineRule="auto"/>
        <w:ind w:left="720"/>
        <w:jc w:val="both"/>
        <w:rPr>
          <w:rFonts w:cs="David"/>
          <w:sz w:val="24"/>
          <w:szCs w:val="24"/>
          <w:rtl/>
        </w:rPr>
      </w:pPr>
      <w:r w:rsidRPr="00A9303D">
        <w:rPr>
          <w:rFonts w:cs="David" w:hint="cs"/>
          <w:sz w:val="24"/>
          <w:szCs w:val="24"/>
          <w:rtl/>
        </w:rPr>
        <w:t>[...] כבר ציינתי שאני כשלעצמי חולק על האמירה, המצויה גם בפסיקתו של בית משפט זה, כי חופש הביטוי חל גם על ביטוי גזעני.</w:t>
      </w:r>
    </w:p>
    <w:p w:rsidR="004A59E9" w:rsidRDefault="001A0EE4" w:rsidP="00BD1F01">
      <w:pPr>
        <w:spacing w:line="360" w:lineRule="auto"/>
        <w:jc w:val="both"/>
        <w:rPr>
          <w:rFonts w:cs="David"/>
          <w:sz w:val="28"/>
          <w:szCs w:val="28"/>
          <w:rtl/>
        </w:rPr>
      </w:pPr>
      <w:r w:rsidRPr="00EF4B4B">
        <w:rPr>
          <w:rFonts w:cs="David" w:hint="cs"/>
          <w:sz w:val="28"/>
          <w:szCs w:val="28"/>
          <w:rtl/>
        </w:rPr>
        <w:t>נראה</w:t>
      </w:r>
      <w:r w:rsidR="003274CC">
        <w:rPr>
          <w:rFonts w:cs="David" w:hint="cs"/>
          <w:sz w:val="28"/>
          <w:szCs w:val="28"/>
          <w:rtl/>
        </w:rPr>
        <w:t>,</w:t>
      </w:r>
      <w:r w:rsidRPr="00EF4B4B">
        <w:rPr>
          <w:rFonts w:cs="David" w:hint="cs"/>
          <w:sz w:val="28"/>
          <w:szCs w:val="28"/>
          <w:rtl/>
        </w:rPr>
        <w:t xml:space="preserve"> כי </w:t>
      </w:r>
      <w:r w:rsidR="001E5960" w:rsidRPr="00EF4B4B">
        <w:rPr>
          <w:rFonts w:cs="David" w:hint="cs"/>
          <w:sz w:val="28"/>
          <w:szCs w:val="28"/>
          <w:rtl/>
        </w:rPr>
        <w:t xml:space="preserve">נכון להיום </w:t>
      </w:r>
      <w:r w:rsidRPr="00EF4B4B">
        <w:rPr>
          <w:rFonts w:cs="David" w:hint="cs"/>
          <w:sz w:val="28"/>
          <w:szCs w:val="28"/>
          <w:rtl/>
        </w:rPr>
        <w:t>סוגיה זו הוכרע</w:t>
      </w:r>
      <w:r w:rsidR="001E5960" w:rsidRPr="00EF4B4B">
        <w:rPr>
          <w:rFonts w:cs="David" w:hint="cs"/>
          <w:sz w:val="28"/>
          <w:szCs w:val="28"/>
          <w:rtl/>
        </w:rPr>
        <w:t>ה</w:t>
      </w:r>
      <w:r w:rsidR="00BD1F01">
        <w:rPr>
          <w:rFonts w:cs="David" w:hint="cs"/>
          <w:sz w:val="28"/>
          <w:szCs w:val="28"/>
          <w:rtl/>
        </w:rPr>
        <w:t xml:space="preserve"> בפסיקה וזכתה לתמיכה </w:t>
      </w:r>
      <w:r w:rsidR="003274CC">
        <w:rPr>
          <w:rFonts w:cs="David" w:hint="cs"/>
          <w:sz w:val="28"/>
          <w:szCs w:val="28"/>
          <w:rtl/>
        </w:rPr>
        <w:t>ג</w:t>
      </w:r>
      <w:r w:rsidRPr="00EF4B4B">
        <w:rPr>
          <w:rFonts w:cs="David" w:hint="cs"/>
          <w:sz w:val="28"/>
          <w:szCs w:val="28"/>
          <w:rtl/>
        </w:rPr>
        <w:t>ם בספרות המשפטית</w:t>
      </w:r>
      <w:r w:rsidR="00BD1F01">
        <w:rPr>
          <w:rFonts w:cs="David" w:hint="cs"/>
          <w:sz w:val="28"/>
          <w:szCs w:val="28"/>
          <w:rtl/>
        </w:rPr>
        <w:t>.</w:t>
      </w:r>
      <w:r w:rsidRPr="00EF4B4B">
        <w:rPr>
          <w:rFonts w:cs="David" w:hint="cs"/>
          <w:sz w:val="28"/>
          <w:szCs w:val="28"/>
          <w:rtl/>
        </w:rPr>
        <w:t xml:space="preserve"> </w:t>
      </w:r>
      <w:r w:rsidR="004A59E9" w:rsidRPr="00EF4B4B">
        <w:rPr>
          <w:rFonts w:cs="David" w:hint="cs"/>
          <w:sz w:val="28"/>
          <w:szCs w:val="28"/>
          <w:rtl/>
        </w:rPr>
        <w:t>רפאל כהן-אלמגור</w:t>
      </w:r>
      <w:r w:rsidR="003D1564" w:rsidRPr="00EF4B4B">
        <w:rPr>
          <w:rFonts w:cs="David" w:hint="cs"/>
          <w:sz w:val="28"/>
          <w:szCs w:val="28"/>
          <w:rtl/>
        </w:rPr>
        <w:t xml:space="preserve"> </w:t>
      </w:r>
      <w:r w:rsidR="00AB7586">
        <w:rPr>
          <w:rFonts w:cs="David" w:hint="cs"/>
          <w:sz w:val="28"/>
          <w:szCs w:val="28"/>
          <w:rtl/>
        </w:rPr>
        <w:t xml:space="preserve">סבור </w:t>
      </w:r>
      <w:r w:rsidR="00AB7586" w:rsidRPr="008C7D63">
        <w:rPr>
          <w:rFonts w:cs="David" w:hint="cs"/>
          <w:b/>
          <w:bCs/>
          <w:sz w:val="28"/>
          <w:szCs w:val="28"/>
          <w:rtl/>
        </w:rPr>
        <w:t>כי עיקרון חופש הביטוי חל גם על התבטאויות גזעניות</w:t>
      </w:r>
      <w:r w:rsidR="00AB7586">
        <w:rPr>
          <w:rFonts w:cs="David" w:hint="cs"/>
          <w:sz w:val="28"/>
          <w:szCs w:val="28"/>
          <w:rtl/>
        </w:rPr>
        <w:t xml:space="preserve"> ו</w:t>
      </w:r>
      <w:r w:rsidR="003D1564" w:rsidRPr="00EF4B4B">
        <w:rPr>
          <w:rFonts w:cs="David" w:hint="cs"/>
          <w:sz w:val="28"/>
          <w:szCs w:val="28"/>
          <w:rtl/>
        </w:rPr>
        <w:t>טוען כי עקרונית גם התבטאויות מילוליות הנוגעות לגזע, לצבע, לדת וכו' ראויות להגנה ואינו רואה סיבה לכך שביטויים גזעניים צריכים להיחשב שונים מהתקפות מילוליות הנוגעות לזכויות אחרות השומרות על פגיעה בכבוד האדם.</w:t>
      </w:r>
      <w:r w:rsidR="00C37FCE" w:rsidRPr="00EF4B4B">
        <w:rPr>
          <w:rStyle w:val="a5"/>
          <w:rFonts w:cs="David"/>
          <w:sz w:val="28"/>
          <w:szCs w:val="28"/>
          <w:rtl/>
        </w:rPr>
        <w:footnoteReference w:id="152"/>
      </w:r>
      <w:r w:rsidR="007B47C0">
        <w:rPr>
          <w:rFonts w:cs="David" w:hint="cs"/>
          <w:sz w:val="28"/>
          <w:szCs w:val="28"/>
          <w:rtl/>
        </w:rPr>
        <w:t xml:space="preserve"> יחד עם זאת, לטעמו אסור לו לעקרון חופש הביטוי שיכלול הגנה על </w:t>
      </w:r>
      <w:r w:rsidR="007B47C0" w:rsidRPr="007B47C0">
        <w:rPr>
          <w:rFonts w:cs="David" w:hint="cs"/>
          <w:b/>
          <w:bCs/>
          <w:sz w:val="28"/>
          <w:szCs w:val="28"/>
          <w:rtl/>
        </w:rPr>
        <w:t>ביטויי הסתה</w:t>
      </w:r>
      <w:r w:rsidR="007B47C0">
        <w:rPr>
          <w:rFonts w:cs="David" w:hint="cs"/>
          <w:sz w:val="28"/>
          <w:szCs w:val="28"/>
          <w:rtl/>
        </w:rPr>
        <w:t xml:space="preserve"> וכי "אין לסבול ביטויי הסתה המכשירים פגיעה פיזית מוחשית באדם או בקבוצה, או מקדמים אותה".</w:t>
      </w:r>
      <w:r w:rsidR="007B47C0">
        <w:rPr>
          <w:rStyle w:val="a5"/>
          <w:rFonts w:cs="David"/>
          <w:sz w:val="28"/>
          <w:szCs w:val="28"/>
          <w:rtl/>
        </w:rPr>
        <w:footnoteReference w:id="153"/>
      </w:r>
    </w:p>
    <w:p w:rsidR="00A9303D" w:rsidRDefault="00CF3054" w:rsidP="008C3B9E">
      <w:pPr>
        <w:spacing w:line="360" w:lineRule="auto"/>
        <w:jc w:val="both"/>
        <w:rPr>
          <w:rFonts w:cs="David"/>
          <w:sz w:val="28"/>
          <w:szCs w:val="28"/>
          <w:rtl/>
        </w:rPr>
      </w:pPr>
      <w:r w:rsidRPr="00EF4B4B">
        <w:rPr>
          <w:rFonts w:cs="David" w:hint="cs"/>
          <w:sz w:val="28"/>
          <w:szCs w:val="28"/>
          <w:rtl/>
        </w:rPr>
        <w:t xml:space="preserve">גם סוגיית </w:t>
      </w:r>
      <w:r w:rsidR="00D636C2">
        <w:rPr>
          <w:rFonts w:cs="David" w:hint="cs"/>
          <w:sz w:val="28"/>
          <w:szCs w:val="28"/>
          <w:rtl/>
        </w:rPr>
        <w:t xml:space="preserve">'מבחן </w:t>
      </w:r>
      <w:r w:rsidRPr="00EF4B4B">
        <w:rPr>
          <w:rFonts w:cs="David" w:hint="cs"/>
          <w:sz w:val="28"/>
          <w:szCs w:val="28"/>
          <w:rtl/>
        </w:rPr>
        <w:t>הוודאות הקרובה' עברה שינוי ואין כבר הדבר ברור כפי שהיה טרם רצח</w:t>
      </w:r>
      <w:r w:rsidR="009B6465" w:rsidRPr="00EF4B4B">
        <w:rPr>
          <w:rFonts w:cs="David" w:hint="cs"/>
          <w:sz w:val="28"/>
          <w:szCs w:val="28"/>
          <w:rtl/>
        </w:rPr>
        <w:t xml:space="preserve"> ראש הממשלה רבין</w:t>
      </w:r>
      <w:r w:rsidR="00890DA2">
        <w:rPr>
          <w:rFonts w:cs="David" w:hint="cs"/>
          <w:sz w:val="28"/>
          <w:szCs w:val="28"/>
          <w:rtl/>
        </w:rPr>
        <w:t xml:space="preserve"> ז"ל</w:t>
      </w:r>
      <w:r w:rsidRPr="00EF4B4B">
        <w:rPr>
          <w:rFonts w:cs="David" w:hint="cs"/>
          <w:sz w:val="28"/>
          <w:szCs w:val="28"/>
          <w:rtl/>
        </w:rPr>
        <w:t>. הדברים</w:t>
      </w:r>
      <w:r w:rsidR="00AC082A">
        <w:rPr>
          <w:rFonts w:cs="David" w:hint="cs"/>
          <w:sz w:val="28"/>
          <w:szCs w:val="28"/>
          <w:rtl/>
        </w:rPr>
        <w:t>,</w:t>
      </w:r>
      <w:r w:rsidRPr="00EF4B4B">
        <w:rPr>
          <w:rFonts w:cs="David" w:hint="cs"/>
          <w:sz w:val="28"/>
          <w:szCs w:val="28"/>
          <w:rtl/>
        </w:rPr>
        <w:t xml:space="preserve"> שהובאו לעיל בשאלת </w:t>
      </w:r>
      <w:r w:rsidR="00233D1D" w:rsidRPr="00EF4B4B">
        <w:rPr>
          <w:rFonts w:cs="David" w:hint="cs"/>
          <w:sz w:val="28"/>
          <w:szCs w:val="28"/>
          <w:rtl/>
        </w:rPr>
        <w:t xml:space="preserve">מעמד דרישת 'הוודאות הקרובה' </w:t>
      </w:r>
      <w:r w:rsidRPr="00EF4B4B">
        <w:rPr>
          <w:rFonts w:cs="David" w:hint="cs"/>
          <w:sz w:val="28"/>
          <w:szCs w:val="28"/>
          <w:rtl/>
        </w:rPr>
        <w:t>טובים גם לכאן. כזכו</w:t>
      </w:r>
      <w:r w:rsidR="009B6465" w:rsidRPr="00EF4B4B">
        <w:rPr>
          <w:rFonts w:cs="David" w:hint="cs"/>
          <w:sz w:val="28"/>
          <w:szCs w:val="28"/>
          <w:rtl/>
        </w:rPr>
        <w:t xml:space="preserve">ר, </w:t>
      </w:r>
      <w:r w:rsidR="008C3B9E" w:rsidRPr="00EF4B4B">
        <w:rPr>
          <w:rFonts w:cs="David" w:hint="cs"/>
          <w:sz w:val="28"/>
          <w:szCs w:val="28"/>
          <w:rtl/>
        </w:rPr>
        <w:t>לדעתו של קרמניצר, פס</w:t>
      </w:r>
      <w:r w:rsidR="008C3B9E">
        <w:rPr>
          <w:rFonts w:cs="David" w:hint="cs"/>
          <w:sz w:val="28"/>
          <w:szCs w:val="28"/>
          <w:rtl/>
        </w:rPr>
        <w:t>ק</w:t>
      </w:r>
      <w:r w:rsidR="008C3B9E" w:rsidRPr="00EF4B4B">
        <w:rPr>
          <w:rFonts w:cs="David" w:hint="cs"/>
          <w:sz w:val="28"/>
          <w:szCs w:val="28"/>
          <w:rtl/>
        </w:rPr>
        <w:t xml:space="preserve"> הדין בעניין </w:t>
      </w:r>
      <w:r w:rsidR="008C3B9E" w:rsidRPr="0012706D">
        <w:rPr>
          <w:rFonts w:cs="David" w:hint="cs"/>
          <w:b/>
          <w:bCs/>
          <w:sz w:val="28"/>
          <w:szCs w:val="28"/>
          <w:rtl/>
        </w:rPr>
        <w:t>אלבה</w:t>
      </w:r>
      <w:r w:rsidR="008C3B9E" w:rsidRPr="00EF4B4B">
        <w:rPr>
          <w:rFonts w:cs="David" w:hint="cs"/>
          <w:sz w:val="28"/>
          <w:szCs w:val="28"/>
          <w:rtl/>
        </w:rPr>
        <w:t xml:space="preserve"> סתם את </w:t>
      </w:r>
      <w:r w:rsidR="008C3B9E">
        <w:rPr>
          <w:rFonts w:cs="David" w:hint="cs"/>
          <w:sz w:val="28"/>
          <w:szCs w:val="28"/>
          <w:rtl/>
        </w:rPr>
        <w:t xml:space="preserve">הגולל על דרישת ה'וודאות הקרובה', אך נכון להיום </w:t>
      </w:r>
      <w:r w:rsidR="009B6465" w:rsidRPr="005535D9">
        <w:rPr>
          <w:rFonts w:cs="David" w:hint="cs"/>
          <w:b/>
          <w:bCs/>
          <w:sz w:val="28"/>
          <w:szCs w:val="28"/>
          <w:rtl/>
        </w:rPr>
        <w:t>השאלה אינה מוכרעת</w:t>
      </w:r>
      <w:r w:rsidR="009B6465" w:rsidRPr="00EF4B4B">
        <w:rPr>
          <w:rFonts w:cs="David" w:hint="cs"/>
          <w:sz w:val="28"/>
          <w:szCs w:val="28"/>
          <w:rtl/>
        </w:rPr>
        <w:t xml:space="preserve"> בפסיקת בית המשפט העליון</w:t>
      </w:r>
      <w:r w:rsidR="008C3B9E">
        <w:rPr>
          <w:rFonts w:cs="David" w:hint="cs"/>
          <w:sz w:val="28"/>
          <w:szCs w:val="28"/>
          <w:rtl/>
        </w:rPr>
        <w:t>.</w:t>
      </w:r>
    </w:p>
    <w:p w:rsidR="003B6877" w:rsidRPr="00D626A9" w:rsidRDefault="002066AE" w:rsidP="005A7B7E">
      <w:pPr>
        <w:spacing w:line="360" w:lineRule="auto"/>
        <w:jc w:val="both"/>
        <w:rPr>
          <w:rFonts w:cs="David"/>
          <w:sz w:val="28"/>
          <w:szCs w:val="28"/>
          <w:rtl/>
        </w:rPr>
      </w:pPr>
      <w:r w:rsidRPr="00D626A9">
        <w:rPr>
          <w:rFonts w:cs="David" w:hint="cs"/>
          <w:sz w:val="28"/>
          <w:szCs w:val="28"/>
          <w:rtl/>
        </w:rPr>
        <w:t>משמעות הדברים אם כן, כי</w:t>
      </w:r>
      <w:r w:rsidR="00FD21AF">
        <w:rPr>
          <w:rFonts w:cs="David" w:hint="cs"/>
          <w:sz w:val="28"/>
          <w:szCs w:val="28"/>
          <w:rtl/>
        </w:rPr>
        <w:t xml:space="preserve"> כל עוד המחוקק לא אמר את דברו מפורשות,</w:t>
      </w:r>
      <w:r w:rsidRPr="00D626A9">
        <w:rPr>
          <w:rFonts w:cs="David" w:hint="cs"/>
          <w:sz w:val="28"/>
          <w:szCs w:val="28"/>
          <w:rtl/>
        </w:rPr>
        <w:t xml:space="preserve"> </w:t>
      </w:r>
      <w:r w:rsidRPr="000632C6">
        <w:rPr>
          <w:rFonts w:cs="David" w:hint="cs"/>
          <w:b/>
          <w:bCs/>
          <w:sz w:val="28"/>
          <w:szCs w:val="28"/>
          <w:rtl/>
        </w:rPr>
        <w:t>התבט</w:t>
      </w:r>
      <w:r w:rsidR="00FD21AF">
        <w:rPr>
          <w:rFonts w:cs="David" w:hint="cs"/>
          <w:b/>
          <w:bCs/>
          <w:sz w:val="28"/>
          <w:szCs w:val="28"/>
          <w:rtl/>
        </w:rPr>
        <w:t xml:space="preserve">אויות והתגרויות גזעניות כשלעצמן </w:t>
      </w:r>
      <w:r w:rsidR="00DF5F1D">
        <w:rPr>
          <w:rFonts w:cs="David" w:hint="cs"/>
          <w:b/>
          <w:bCs/>
          <w:sz w:val="28"/>
          <w:szCs w:val="28"/>
          <w:rtl/>
        </w:rPr>
        <w:t>חוסות</w:t>
      </w:r>
      <w:r w:rsidR="00FD21AF">
        <w:rPr>
          <w:rFonts w:cs="David" w:hint="cs"/>
          <w:b/>
          <w:bCs/>
          <w:sz w:val="28"/>
          <w:szCs w:val="28"/>
          <w:rtl/>
        </w:rPr>
        <w:t xml:space="preserve"> תחת כנפי הגנת חופש הביטוי.</w:t>
      </w:r>
      <w:r w:rsidR="00CA4C33">
        <w:rPr>
          <w:rFonts w:cs="David" w:hint="cs"/>
          <w:sz w:val="28"/>
          <w:szCs w:val="28"/>
          <w:rtl/>
        </w:rPr>
        <w:t xml:space="preserve"> </w:t>
      </w:r>
      <w:r w:rsidR="00D626A9" w:rsidRPr="00D626A9">
        <w:rPr>
          <w:rFonts w:cs="David" w:hint="cs"/>
          <w:sz w:val="28"/>
          <w:szCs w:val="28"/>
          <w:rtl/>
        </w:rPr>
        <w:t xml:space="preserve">כמובן, </w:t>
      </w:r>
      <w:r w:rsidR="00FD21AF">
        <w:rPr>
          <w:rFonts w:cs="David" w:hint="cs"/>
          <w:b/>
          <w:bCs/>
          <w:sz w:val="28"/>
          <w:szCs w:val="28"/>
          <w:rtl/>
        </w:rPr>
        <w:t>שיש בכך כדי להדגיש (שוב) את הקושי ו</w:t>
      </w:r>
      <w:r w:rsidR="003B6877">
        <w:rPr>
          <w:rFonts w:cs="David" w:hint="cs"/>
          <w:b/>
          <w:bCs/>
          <w:sz w:val="28"/>
          <w:szCs w:val="28"/>
          <w:rtl/>
        </w:rPr>
        <w:t>ה</w:t>
      </w:r>
      <w:r w:rsidR="00FD21AF">
        <w:rPr>
          <w:rFonts w:cs="David" w:hint="cs"/>
          <w:b/>
          <w:bCs/>
          <w:sz w:val="28"/>
          <w:szCs w:val="28"/>
          <w:rtl/>
        </w:rPr>
        <w:t>מורכבות בטיפול משפטי אפקטיבי ב</w:t>
      </w:r>
      <w:r w:rsidR="00D626A9" w:rsidRPr="006A4C50">
        <w:rPr>
          <w:rFonts w:cs="David" w:hint="cs"/>
          <w:b/>
          <w:bCs/>
          <w:sz w:val="28"/>
          <w:szCs w:val="28"/>
          <w:rtl/>
        </w:rPr>
        <w:t>תופעת ה</w:t>
      </w:r>
      <w:r w:rsidR="00260A45" w:rsidRPr="006A4C50">
        <w:rPr>
          <w:rFonts w:cs="David" w:hint="cs"/>
          <w:b/>
          <w:bCs/>
          <w:sz w:val="28"/>
          <w:szCs w:val="28"/>
          <w:rtl/>
        </w:rPr>
        <w:t>התבטאויות ה</w:t>
      </w:r>
      <w:r w:rsidR="00D626A9" w:rsidRPr="006A4C50">
        <w:rPr>
          <w:rFonts w:cs="David" w:hint="cs"/>
          <w:b/>
          <w:bCs/>
          <w:sz w:val="28"/>
          <w:szCs w:val="28"/>
          <w:rtl/>
        </w:rPr>
        <w:t>גזענ</w:t>
      </w:r>
      <w:r w:rsidR="00260A45" w:rsidRPr="006A4C50">
        <w:rPr>
          <w:rFonts w:cs="David" w:hint="cs"/>
          <w:b/>
          <w:bCs/>
          <w:sz w:val="28"/>
          <w:szCs w:val="28"/>
          <w:rtl/>
        </w:rPr>
        <w:t>י</w:t>
      </w:r>
      <w:r w:rsidR="00D626A9" w:rsidRPr="006A4C50">
        <w:rPr>
          <w:rFonts w:cs="David" w:hint="cs"/>
          <w:b/>
          <w:bCs/>
          <w:sz w:val="28"/>
          <w:szCs w:val="28"/>
          <w:rtl/>
        </w:rPr>
        <w:t>ות.</w:t>
      </w:r>
    </w:p>
    <w:p w:rsidR="004D2A73" w:rsidRDefault="009516F7" w:rsidP="00F119A4">
      <w:pPr>
        <w:spacing w:line="360" w:lineRule="auto"/>
        <w:jc w:val="both"/>
        <w:rPr>
          <w:rFonts w:cs="David"/>
          <w:b/>
          <w:bCs/>
          <w:sz w:val="28"/>
          <w:szCs w:val="28"/>
          <w:rtl/>
        </w:rPr>
      </w:pPr>
      <w:r>
        <w:rPr>
          <w:rFonts w:cs="David" w:hint="cs"/>
          <w:b/>
          <w:bCs/>
          <w:sz w:val="28"/>
          <w:szCs w:val="28"/>
          <w:rtl/>
        </w:rPr>
        <w:t>ה</w:t>
      </w:r>
      <w:r w:rsidR="006775F5">
        <w:rPr>
          <w:rFonts w:cs="David" w:hint="cs"/>
          <w:b/>
          <w:bCs/>
          <w:sz w:val="28"/>
          <w:szCs w:val="28"/>
          <w:rtl/>
        </w:rPr>
        <w:t xml:space="preserve">.2 </w:t>
      </w:r>
      <w:r w:rsidR="004D2A73" w:rsidRPr="00D422D0">
        <w:rPr>
          <w:rFonts w:cs="David" w:hint="cs"/>
          <w:b/>
          <w:bCs/>
          <w:sz w:val="28"/>
          <w:szCs w:val="28"/>
          <w:rtl/>
        </w:rPr>
        <w:t>התפתחות הפסיקה</w:t>
      </w:r>
      <w:r w:rsidR="004D2A73">
        <w:rPr>
          <w:rFonts w:cs="David" w:hint="cs"/>
          <w:b/>
          <w:bCs/>
          <w:sz w:val="28"/>
          <w:szCs w:val="28"/>
          <w:rtl/>
        </w:rPr>
        <w:t xml:space="preserve"> במתח בין חופש הביטוי ועבירת ההסתה לאלימות</w:t>
      </w:r>
    </w:p>
    <w:p w:rsidR="00EA5D24" w:rsidRPr="00EF4B4B" w:rsidRDefault="00EA5D24" w:rsidP="00B90E91">
      <w:pPr>
        <w:spacing w:line="360" w:lineRule="auto"/>
        <w:jc w:val="both"/>
        <w:rPr>
          <w:rFonts w:cs="David"/>
          <w:sz w:val="28"/>
          <w:szCs w:val="28"/>
          <w:rtl/>
        </w:rPr>
      </w:pPr>
      <w:r w:rsidRPr="00C37BBA">
        <w:rPr>
          <w:rFonts w:cs="David" w:hint="cs"/>
          <w:sz w:val="28"/>
          <w:szCs w:val="28"/>
          <w:rtl/>
        </w:rPr>
        <w:t xml:space="preserve">בשאלת </w:t>
      </w:r>
      <w:r w:rsidRPr="005535D9">
        <w:rPr>
          <w:rFonts w:cs="David" w:hint="cs"/>
          <w:b/>
          <w:bCs/>
          <w:sz w:val="28"/>
          <w:szCs w:val="28"/>
          <w:rtl/>
        </w:rPr>
        <w:t>גבולות חופש הביטוי בהקשר של הסתה לאלימות</w:t>
      </w:r>
      <w:r w:rsidRPr="00EF4B4B">
        <w:rPr>
          <w:rFonts w:cs="David" w:hint="cs"/>
          <w:sz w:val="28"/>
          <w:szCs w:val="28"/>
          <w:rtl/>
        </w:rPr>
        <w:t xml:space="preserve"> דנו מספר פסקי דין לאורך השנים.</w:t>
      </w:r>
      <w:r w:rsidR="00845D1C">
        <w:rPr>
          <w:rFonts w:cs="David" w:hint="cs"/>
          <w:sz w:val="28"/>
          <w:szCs w:val="28"/>
          <w:rtl/>
        </w:rPr>
        <w:t xml:space="preserve"> </w:t>
      </w:r>
      <w:r w:rsidRPr="00EF4B4B">
        <w:rPr>
          <w:rFonts w:cs="David" w:hint="cs"/>
          <w:sz w:val="28"/>
          <w:szCs w:val="28"/>
          <w:rtl/>
        </w:rPr>
        <w:t xml:space="preserve">פסק דין שהתייחס לסוגיה לאחר רצח ראש הממשלה רבין היה </w:t>
      </w:r>
      <w:r w:rsidR="00630F26">
        <w:rPr>
          <w:rFonts w:cs="David" w:hint="cs"/>
          <w:sz w:val="28"/>
          <w:szCs w:val="28"/>
          <w:rtl/>
        </w:rPr>
        <w:t xml:space="preserve">פסק הדין בעניין </w:t>
      </w:r>
      <w:r w:rsidR="00630F26" w:rsidRPr="00FE3E5D">
        <w:rPr>
          <w:rFonts w:cs="David" w:hint="cs"/>
          <w:b/>
          <w:bCs/>
          <w:sz w:val="28"/>
          <w:szCs w:val="28"/>
          <w:rtl/>
        </w:rPr>
        <w:t>ג'בארין</w:t>
      </w:r>
      <w:r w:rsidR="00630F26">
        <w:rPr>
          <w:rFonts w:cs="David" w:hint="cs"/>
          <w:sz w:val="28"/>
          <w:szCs w:val="28"/>
          <w:rtl/>
        </w:rPr>
        <w:t xml:space="preserve">, </w:t>
      </w:r>
      <w:r w:rsidR="00C00882" w:rsidRPr="00EF4B4B">
        <w:rPr>
          <w:rFonts w:cs="David" w:hint="cs"/>
          <w:sz w:val="28"/>
          <w:szCs w:val="28"/>
          <w:rtl/>
        </w:rPr>
        <w:t>שעסק במאמר עיתונאי ששיבח יידוי אבני</w:t>
      </w:r>
      <w:r w:rsidR="00AC082A">
        <w:rPr>
          <w:rFonts w:cs="David" w:hint="cs"/>
          <w:sz w:val="28"/>
          <w:szCs w:val="28"/>
          <w:rtl/>
        </w:rPr>
        <w:t>ם</w:t>
      </w:r>
      <w:r w:rsidR="00C00882" w:rsidRPr="00EF4B4B">
        <w:rPr>
          <w:rFonts w:cs="David" w:hint="cs"/>
          <w:sz w:val="28"/>
          <w:szCs w:val="28"/>
          <w:rtl/>
        </w:rPr>
        <w:t xml:space="preserve"> ובקבוקי תבערה לעבר </w:t>
      </w:r>
      <w:r w:rsidR="00C00882" w:rsidRPr="00EF4B4B">
        <w:rPr>
          <w:rFonts w:cs="David" w:hint="cs"/>
          <w:sz w:val="28"/>
          <w:szCs w:val="28"/>
          <w:rtl/>
        </w:rPr>
        <w:lastRenderedPageBreak/>
        <w:t>חיילי צה"ל בשטחים. בשם חופש הביטוי אימץ בית המשפט העליון באותו המקרה פרשנות מצמצמת לסעיף 4 (א) לפקודת מניעת טרור,</w:t>
      </w:r>
      <w:r w:rsidR="00C00882" w:rsidRPr="00EF4B4B">
        <w:rPr>
          <w:rStyle w:val="a5"/>
          <w:rFonts w:cs="David"/>
          <w:sz w:val="28"/>
          <w:szCs w:val="28"/>
          <w:rtl/>
        </w:rPr>
        <w:footnoteReference w:id="154"/>
      </w:r>
      <w:r w:rsidR="00C00882" w:rsidRPr="00EF4B4B">
        <w:rPr>
          <w:rFonts w:cs="David" w:hint="cs"/>
          <w:sz w:val="28"/>
          <w:szCs w:val="28"/>
          <w:rtl/>
        </w:rPr>
        <w:t xml:space="preserve"> אשר היה הסעיף הרלוונטי באותה עת (המדובר טרם חקיקת עבירת ההסתה לאלימות בשנת 2002 כפי שהוסבר לעיל בפרק ההתפתחות ההיסטורית של הסעיף).</w:t>
      </w:r>
      <w:r w:rsidR="00921384" w:rsidRPr="00EF4B4B">
        <w:rPr>
          <w:rFonts w:cs="David" w:hint="cs"/>
          <w:sz w:val="28"/>
          <w:szCs w:val="28"/>
          <w:rtl/>
        </w:rPr>
        <w:t xml:space="preserve"> בית המשפט קבע כי הסעיף חל רק על ביטו</w:t>
      </w:r>
      <w:r w:rsidR="00621F67">
        <w:rPr>
          <w:rFonts w:cs="David" w:hint="cs"/>
          <w:sz w:val="28"/>
          <w:szCs w:val="28"/>
          <w:rtl/>
        </w:rPr>
        <w:t>י</w:t>
      </w:r>
      <w:r w:rsidR="00921384" w:rsidRPr="00EF4B4B">
        <w:rPr>
          <w:rFonts w:cs="David" w:hint="cs"/>
          <w:sz w:val="28"/>
          <w:szCs w:val="28"/>
          <w:rtl/>
        </w:rPr>
        <w:t>י אהדה למעשי אלימות</w:t>
      </w:r>
      <w:r w:rsidR="00624DE6">
        <w:rPr>
          <w:rFonts w:cs="David" w:hint="cs"/>
          <w:sz w:val="28"/>
          <w:szCs w:val="28"/>
          <w:rtl/>
        </w:rPr>
        <w:t>,</w:t>
      </w:r>
      <w:r w:rsidR="00FD21AF">
        <w:rPr>
          <w:rFonts w:cs="David" w:hint="cs"/>
          <w:sz w:val="28"/>
          <w:szCs w:val="28"/>
          <w:rtl/>
        </w:rPr>
        <w:t xml:space="preserve"> שבוצעו על ידי פעילים</w:t>
      </w:r>
      <w:r w:rsidR="00921384" w:rsidRPr="00EF4B4B">
        <w:rPr>
          <w:rFonts w:cs="David" w:hint="cs"/>
          <w:sz w:val="28"/>
          <w:szCs w:val="28"/>
          <w:rtl/>
        </w:rPr>
        <w:t xml:space="preserve"> </w:t>
      </w:r>
      <w:r w:rsidR="00FD21AF">
        <w:rPr>
          <w:rFonts w:cs="David" w:hint="cs"/>
          <w:sz w:val="28"/>
          <w:szCs w:val="28"/>
          <w:rtl/>
        </w:rPr>
        <w:t>ב</w:t>
      </w:r>
      <w:r w:rsidR="00921384" w:rsidRPr="00EF4B4B">
        <w:rPr>
          <w:rFonts w:cs="David" w:hint="cs"/>
          <w:sz w:val="28"/>
          <w:szCs w:val="28"/>
          <w:rtl/>
        </w:rPr>
        <w:t>ארגון טרור ולא על כאלו שבוצעו על ידי יחידים, אשר אינם פועלים במסגרת ארגון טרור.</w:t>
      </w:r>
    </w:p>
    <w:p w:rsidR="00921384" w:rsidRPr="00EF4B4B" w:rsidRDefault="00921384" w:rsidP="00F119A4">
      <w:pPr>
        <w:spacing w:line="360" w:lineRule="auto"/>
        <w:jc w:val="both"/>
        <w:rPr>
          <w:rFonts w:cs="David"/>
          <w:sz w:val="28"/>
          <w:szCs w:val="28"/>
          <w:rtl/>
        </w:rPr>
      </w:pPr>
      <w:r w:rsidRPr="00EF4B4B">
        <w:rPr>
          <w:rFonts w:cs="David" w:hint="cs"/>
          <w:sz w:val="28"/>
          <w:szCs w:val="28"/>
          <w:rtl/>
        </w:rPr>
        <w:t xml:space="preserve">באותו היום שניתן פסק הדין בעניין </w:t>
      </w:r>
      <w:r w:rsidRPr="00FE3E5D">
        <w:rPr>
          <w:rFonts w:cs="David" w:hint="cs"/>
          <w:b/>
          <w:bCs/>
          <w:sz w:val="28"/>
          <w:szCs w:val="28"/>
          <w:rtl/>
        </w:rPr>
        <w:t>ג'בארין</w:t>
      </w:r>
      <w:r w:rsidR="00F42135">
        <w:rPr>
          <w:rFonts w:cs="David" w:hint="cs"/>
          <w:sz w:val="28"/>
          <w:szCs w:val="28"/>
          <w:rtl/>
        </w:rPr>
        <w:t>,</w:t>
      </w:r>
      <w:r w:rsidRPr="00EF4B4B">
        <w:rPr>
          <w:rFonts w:cs="David" w:hint="cs"/>
          <w:sz w:val="28"/>
          <w:szCs w:val="28"/>
          <w:rtl/>
        </w:rPr>
        <w:t xml:space="preserve"> הכריע בית המשפט בעניין </w:t>
      </w:r>
      <w:r w:rsidRPr="00FE3E5D">
        <w:rPr>
          <w:rFonts w:cs="David" w:hint="cs"/>
          <w:b/>
          <w:bCs/>
          <w:sz w:val="28"/>
          <w:szCs w:val="28"/>
          <w:rtl/>
        </w:rPr>
        <w:t>כהנא</w:t>
      </w:r>
      <w:r w:rsidRPr="00EF4B4B">
        <w:rPr>
          <w:rFonts w:cs="David" w:hint="cs"/>
          <w:sz w:val="28"/>
          <w:szCs w:val="28"/>
          <w:rtl/>
        </w:rPr>
        <w:t xml:space="preserve"> </w:t>
      </w:r>
      <w:r w:rsidRPr="00917074">
        <w:rPr>
          <w:rFonts w:cs="David" w:hint="cs"/>
          <w:b/>
          <w:bCs/>
          <w:sz w:val="28"/>
          <w:szCs w:val="28"/>
          <w:rtl/>
        </w:rPr>
        <w:t>[2]</w:t>
      </w:r>
      <w:r w:rsidR="00650282" w:rsidRPr="00EF4B4B">
        <w:rPr>
          <w:rFonts w:cs="David" w:hint="cs"/>
          <w:sz w:val="28"/>
          <w:szCs w:val="28"/>
          <w:rtl/>
        </w:rPr>
        <w:t>. אמנם פסק הדין דן בסוגית עבירת ההמרדה, אך ב</w:t>
      </w:r>
      <w:r w:rsidR="00AC082A">
        <w:rPr>
          <w:rFonts w:cs="David" w:hint="cs"/>
          <w:sz w:val="28"/>
          <w:szCs w:val="28"/>
          <w:rtl/>
        </w:rPr>
        <w:t>הקשר קרוב מאד</w:t>
      </w:r>
      <w:r w:rsidR="00650282" w:rsidRPr="00EF4B4B">
        <w:rPr>
          <w:rFonts w:cs="David" w:hint="cs"/>
          <w:sz w:val="28"/>
          <w:szCs w:val="28"/>
          <w:rtl/>
        </w:rPr>
        <w:t xml:space="preserve"> </w:t>
      </w:r>
      <w:r w:rsidR="00AC082A">
        <w:rPr>
          <w:rFonts w:cs="David" w:hint="cs"/>
          <w:sz w:val="28"/>
          <w:szCs w:val="28"/>
          <w:rtl/>
        </w:rPr>
        <w:t>-</w:t>
      </w:r>
      <w:r w:rsidR="00650282" w:rsidRPr="00EF4B4B">
        <w:rPr>
          <w:rFonts w:cs="David" w:hint="cs"/>
          <w:sz w:val="28"/>
          <w:szCs w:val="28"/>
          <w:rtl/>
        </w:rPr>
        <w:t xml:space="preserve"> קריאה לאלימות. בית המשפט שדן בערכים המוגנים הרשיע את כהנא, למרות שג'בארין זוכה. הנימוק היה בהבדלים הסטטוטוריים בין שתי העבירות (זו שבפקודה למניעת טרור וזו שבחוק העונשין).</w:t>
      </w:r>
    </w:p>
    <w:p w:rsidR="00650282" w:rsidRPr="00EF4B4B" w:rsidRDefault="00650282" w:rsidP="00F119A4">
      <w:pPr>
        <w:spacing w:line="360" w:lineRule="auto"/>
        <w:jc w:val="both"/>
        <w:rPr>
          <w:rFonts w:cs="David"/>
          <w:sz w:val="28"/>
          <w:szCs w:val="28"/>
          <w:rtl/>
        </w:rPr>
      </w:pPr>
      <w:r w:rsidRPr="00EF4B4B">
        <w:rPr>
          <w:rFonts w:cs="David" w:hint="cs"/>
          <w:sz w:val="28"/>
          <w:szCs w:val="28"/>
          <w:rtl/>
        </w:rPr>
        <w:t xml:space="preserve">בעקבות פסק דין בעניין </w:t>
      </w:r>
      <w:r w:rsidRPr="00FE3E5D">
        <w:rPr>
          <w:rFonts w:cs="David" w:hint="cs"/>
          <w:b/>
          <w:bCs/>
          <w:sz w:val="28"/>
          <w:szCs w:val="28"/>
          <w:rtl/>
        </w:rPr>
        <w:t>ג'בארין</w:t>
      </w:r>
      <w:r w:rsidR="00F176DA" w:rsidRPr="00EF4B4B">
        <w:rPr>
          <w:rFonts w:cs="David" w:hint="cs"/>
          <w:sz w:val="28"/>
          <w:szCs w:val="28"/>
          <w:rtl/>
        </w:rPr>
        <w:t xml:space="preserve"> ורצח ראש הממשלה רבין</w:t>
      </w:r>
      <w:r w:rsidRPr="00EF4B4B">
        <w:rPr>
          <w:rFonts w:cs="David" w:hint="cs"/>
          <w:sz w:val="28"/>
          <w:szCs w:val="28"/>
          <w:rtl/>
        </w:rPr>
        <w:t xml:space="preserve"> ביטלה הכנסת את סעיף 4 (א) לפקודת מניעת</w:t>
      </w:r>
      <w:r w:rsidR="007E65B6">
        <w:rPr>
          <w:rFonts w:cs="David" w:hint="cs"/>
          <w:sz w:val="28"/>
          <w:szCs w:val="28"/>
          <w:rtl/>
        </w:rPr>
        <w:t xml:space="preserve"> טרור וחוקקה במקומו את סעיף 144</w:t>
      </w:r>
      <w:r w:rsidRPr="00EF4B4B">
        <w:rPr>
          <w:rFonts w:cs="David" w:hint="cs"/>
          <w:sz w:val="28"/>
          <w:szCs w:val="28"/>
          <w:rtl/>
        </w:rPr>
        <w:t>ד2 לחוק העונשין ובכך ביטלה למעשה את הזיקה בין דברי ההסתה לבין פעילותו של ארגון טרור דווקא והוסיפה את הדרישה למבחן ההסתברותי של 'אפשרות ממשית'</w:t>
      </w:r>
      <w:r w:rsidR="00CC06F6">
        <w:rPr>
          <w:rFonts w:cs="David" w:hint="cs"/>
          <w:sz w:val="28"/>
          <w:szCs w:val="28"/>
          <w:rtl/>
        </w:rPr>
        <w:t>,</w:t>
      </w:r>
      <w:r w:rsidRPr="00EF4B4B">
        <w:rPr>
          <w:rFonts w:cs="David" w:hint="cs"/>
          <w:sz w:val="28"/>
          <w:szCs w:val="28"/>
          <w:rtl/>
        </w:rPr>
        <w:t xml:space="preserve"> כפי שהוזכר לעיל.</w:t>
      </w:r>
    </w:p>
    <w:p w:rsidR="001F527F" w:rsidRPr="00EF4B4B" w:rsidRDefault="00E616C9" w:rsidP="00F119A4">
      <w:pPr>
        <w:spacing w:line="360" w:lineRule="auto"/>
        <w:jc w:val="both"/>
        <w:rPr>
          <w:rFonts w:cs="David"/>
          <w:sz w:val="28"/>
          <w:szCs w:val="28"/>
          <w:rtl/>
        </w:rPr>
      </w:pPr>
      <w:r w:rsidRPr="00EF4B4B">
        <w:rPr>
          <w:rFonts w:cs="David" w:hint="cs"/>
          <w:sz w:val="28"/>
          <w:szCs w:val="28"/>
          <w:rtl/>
        </w:rPr>
        <w:t xml:space="preserve">פסק דין משמעותי לעניין עבירת ההסתה לאלימות </w:t>
      </w:r>
      <w:r w:rsidR="0097678C">
        <w:rPr>
          <w:rFonts w:cs="David" w:hint="cs"/>
          <w:sz w:val="28"/>
          <w:szCs w:val="28"/>
          <w:rtl/>
        </w:rPr>
        <w:t>ו</w:t>
      </w:r>
      <w:r w:rsidR="00F176DA" w:rsidRPr="00EF4B4B">
        <w:rPr>
          <w:rFonts w:cs="David" w:hint="cs"/>
          <w:sz w:val="28"/>
          <w:szCs w:val="28"/>
          <w:rtl/>
        </w:rPr>
        <w:t>שבו נדרש בית המשפט העליון ל</w:t>
      </w:r>
      <w:r w:rsidR="004B001D" w:rsidRPr="00EF4B4B">
        <w:rPr>
          <w:rFonts w:cs="David" w:hint="cs"/>
          <w:sz w:val="28"/>
          <w:szCs w:val="28"/>
          <w:rtl/>
        </w:rPr>
        <w:t>ראשונה ל</w:t>
      </w:r>
      <w:r w:rsidR="00F176DA" w:rsidRPr="00EF4B4B">
        <w:rPr>
          <w:rFonts w:cs="David" w:hint="cs"/>
          <w:sz w:val="28"/>
          <w:szCs w:val="28"/>
          <w:rtl/>
        </w:rPr>
        <w:t xml:space="preserve">הסדר החקיקתי החדש </w:t>
      </w:r>
      <w:r w:rsidRPr="00EF4B4B">
        <w:rPr>
          <w:rFonts w:cs="David" w:hint="cs"/>
          <w:sz w:val="28"/>
          <w:szCs w:val="28"/>
          <w:rtl/>
        </w:rPr>
        <w:t xml:space="preserve">הינו פסק דין </w:t>
      </w:r>
      <w:r w:rsidRPr="007E65B6">
        <w:rPr>
          <w:rFonts w:cs="David" w:hint="cs"/>
          <w:sz w:val="28"/>
          <w:szCs w:val="28"/>
          <w:rtl/>
        </w:rPr>
        <w:t xml:space="preserve">בעניין </w:t>
      </w:r>
      <w:r w:rsidR="00787942" w:rsidRPr="00434156">
        <w:rPr>
          <w:rFonts w:cs="David" w:hint="cs"/>
          <w:b/>
          <w:bCs/>
          <w:sz w:val="28"/>
          <w:szCs w:val="28"/>
          <w:rtl/>
        </w:rPr>
        <w:t>'</w:t>
      </w:r>
      <w:r w:rsidRPr="00434156">
        <w:rPr>
          <w:rFonts w:cs="David" w:hint="cs"/>
          <w:b/>
          <w:bCs/>
          <w:sz w:val="28"/>
          <w:szCs w:val="28"/>
          <w:rtl/>
        </w:rPr>
        <w:t>בן</w:t>
      </w:r>
      <w:r w:rsidR="004B001D" w:rsidRPr="00434156">
        <w:rPr>
          <w:rFonts w:cs="David" w:hint="cs"/>
          <w:b/>
          <w:bCs/>
          <w:sz w:val="28"/>
          <w:szCs w:val="28"/>
          <w:rtl/>
        </w:rPr>
        <w:t>-</w:t>
      </w:r>
      <w:r w:rsidRPr="00434156">
        <w:rPr>
          <w:rFonts w:cs="David" w:hint="cs"/>
          <w:b/>
          <w:bCs/>
          <w:sz w:val="28"/>
          <w:szCs w:val="28"/>
          <w:rtl/>
        </w:rPr>
        <w:t>חורין</w:t>
      </w:r>
      <w:r w:rsidR="00787942" w:rsidRPr="00434156">
        <w:rPr>
          <w:rFonts w:cs="David" w:hint="cs"/>
          <w:b/>
          <w:bCs/>
          <w:sz w:val="28"/>
          <w:szCs w:val="28"/>
          <w:rtl/>
        </w:rPr>
        <w:t>'</w:t>
      </w:r>
      <w:r w:rsidRPr="00EF4B4B">
        <w:rPr>
          <w:rFonts w:cs="David" w:hint="cs"/>
          <w:sz w:val="28"/>
          <w:szCs w:val="28"/>
          <w:rtl/>
        </w:rPr>
        <w:t xml:space="preserve">, </w:t>
      </w:r>
      <w:r w:rsidR="004B001D" w:rsidRPr="00EF4B4B">
        <w:rPr>
          <w:rFonts w:cs="David" w:hint="cs"/>
          <w:sz w:val="28"/>
          <w:szCs w:val="28"/>
          <w:rtl/>
        </w:rPr>
        <w:t xml:space="preserve">ובו </w:t>
      </w:r>
      <w:r w:rsidRPr="00EF4B4B">
        <w:rPr>
          <w:rFonts w:cs="David" w:hint="cs"/>
          <w:sz w:val="28"/>
          <w:szCs w:val="28"/>
          <w:rtl/>
        </w:rPr>
        <w:t xml:space="preserve">ראה </w:t>
      </w:r>
      <w:r w:rsidR="004B001D" w:rsidRPr="00EF4B4B">
        <w:rPr>
          <w:rFonts w:cs="David" w:hint="cs"/>
          <w:sz w:val="28"/>
          <w:szCs w:val="28"/>
          <w:rtl/>
        </w:rPr>
        <w:t xml:space="preserve">בית המשפט </w:t>
      </w:r>
      <w:r w:rsidRPr="00DE106E">
        <w:rPr>
          <w:rFonts w:cs="David" w:hint="cs"/>
          <w:b/>
          <w:bCs/>
          <w:sz w:val="28"/>
          <w:szCs w:val="28"/>
          <w:rtl/>
        </w:rPr>
        <w:t>הצדקה להטלת הגבלות על חופש הביטוי</w:t>
      </w:r>
      <w:r w:rsidR="000F195F" w:rsidRPr="00DE106E">
        <w:rPr>
          <w:rFonts w:cs="David" w:hint="cs"/>
          <w:b/>
          <w:bCs/>
          <w:sz w:val="28"/>
          <w:szCs w:val="28"/>
          <w:rtl/>
        </w:rPr>
        <w:t>, מרגע ש</w:t>
      </w:r>
      <w:r w:rsidR="009D44A3" w:rsidRPr="00DE106E">
        <w:rPr>
          <w:rFonts w:cs="David" w:hint="cs"/>
          <w:b/>
          <w:bCs/>
          <w:sz w:val="28"/>
          <w:szCs w:val="28"/>
          <w:rtl/>
        </w:rPr>
        <w:t>התמלאו יסודות העבירה שבסעיף 144</w:t>
      </w:r>
      <w:r w:rsidR="000F195F" w:rsidRPr="00DE106E">
        <w:rPr>
          <w:rFonts w:cs="David" w:hint="cs"/>
          <w:b/>
          <w:bCs/>
          <w:sz w:val="28"/>
          <w:szCs w:val="28"/>
          <w:rtl/>
        </w:rPr>
        <w:t>ד2.</w:t>
      </w:r>
    </w:p>
    <w:p w:rsidR="00813B69" w:rsidRPr="00EF4B4B" w:rsidRDefault="000F195F" w:rsidP="0001226E">
      <w:pPr>
        <w:spacing w:line="360" w:lineRule="auto"/>
        <w:jc w:val="both"/>
        <w:rPr>
          <w:rFonts w:cs="David"/>
          <w:sz w:val="28"/>
          <w:szCs w:val="28"/>
          <w:rtl/>
        </w:rPr>
      </w:pPr>
      <w:r w:rsidRPr="00EF4B4B">
        <w:rPr>
          <w:rFonts w:cs="David" w:hint="cs"/>
          <w:sz w:val="28"/>
          <w:szCs w:val="28"/>
          <w:rtl/>
        </w:rPr>
        <w:t>מקובל על הפסיקה, שהמפגש בין המשפט הפלילי לבין חופש הביטוי הינו רגיש ביותר</w:t>
      </w:r>
      <w:r w:rsidR="0001226E">
        <w:rPr>
          <w:rFonts w:cs="David" w:hint="cs"/>
          <w:sz w:val="28"/>
          <w:szCs w:val="28"/>
          <w:rtl/>
        </w:rPr>
        <w:t>,</w:t>
      </w:r>
      <w:r w:rsidRPr="00EF4B4B">
        <w:rPr>
          <w:rFonts w:cs="David" w:hint="cs"/>
          <w:sz w:val="28"/>
          <w:szCs w:val="28"/>
          <w:rtl/>
        </w:rPr>
        <w:t xml:space="preserve"> מן הטעם שהעבירה הפלילית נועדה לא רק</w:t>
      </w:r>
      <w:r w:rsidR="00621F67">
        <w:rPr>
          <w:rFonts w:cs="David" w:hint="cs"/>
          <w:sz w:val="28"/>
          <w:szCs w:val="28"/>
          <w:rtl/>
        </w:rPr>
        <w:t xml:space="preserve"> להעניש את העבריין, אלא גם לצמצ</w:t>
      </w:r>
      <w:r w:rsidRPr="00EF4B4B">
        <w:rPr>
          <w:rFonts w:cs="David" w:hint="cs"/>
          <w:sz w:val="28"/>
          <w:szCs w:val="28"/>
          <w:rtl/>
        </w:rPr>
        <w:t xml:space="preserve">ם </w:t>
      </w:r>
      <w:r w:rsidR="004B001D" w:rsidRPr="00EF4B4B">
        <w:rPr>
          <w:rFonts w:cs="David" w:hint="cs"/>
          <w:sz w:val="28"/>
          <w:szCs w:val="28"/>
          <w:rtl/>
        </w:rPr>
        <w:t xml:space="preserve">מראש </w:t>
      </w:r>
      <w:r w:rsidRPr="00EF4B4B">
        <w:rPr>
          <w:rFonts w:cs="David" w:hint="cs"/>
          <w:sz w:val="28"/>
          <w:szCs w:val="28"/>
          <w:rtl/>
        </w:rPr>
        <w:t xml:space="preserve">בהיקף העבריינות. משמעות הדבר, כי ניתן להגביל </w:t>
      </w:r>
      <w:r w:rsidR="004B001D" w:rsidRPr="00EF4B4B">
        <w:rPr>
          <w:rFonts w:cs="David" w:hint="cs"/>
          <w:sz w:val="28"/>
          <w:szCs w:val="28"/>
          <w:rtl/>
        </w:rPr>
        <w:t>א</w:t>
      </w:r>
      <w:r w:rsidRPr="00EF4B4B">
        <w:rPr>
          <w:rFonts w:cs="David" w:hint="cs"/>
          <w:sz w:val="28"/>
          <w:szCs w:val="28"/>
          <w:rtl/>
        </w:rPr>
        <w:t xml:space="preserve">ת חופש הביטוי במידה מסוימת, עם המחיר הכרוך בכך. </w:t>
      </w:r>
      <w:r w:rsidR="00813B69" w:rsidRPr="00EF4B4B">
        <w:rPr>
          <w:rFonts w:cs="David" w:hint="cs"/>
          <w:sz w:val="28"/>
          <w:szCs w:val="28"/>
          <w:rtl/>
        </w:rPr>
        <w:t xml:space="preserve">התייחס לכך המשנה לנשיאה, </w:t>
      </w:r>
      <w:r w:rsidR="0077264A">
        <w:rPr>
          <w:rFonts w:cs="David" w:hint="cs"/>
          <w:sz w:val="28"/>
          <w:szCs w:val="28"/>
          <w:rtl/>
        </w:rPr>
        <w:t>כבוד השופט</w:t>
      </w:r>
      <w:r w:rsidR="00813B69" w:rsidRPr="00EF4B4B">
        <w:rPr>
          <w:rFonts w:cs="David" w:hint="cs"/>
          <w:sz w:val="28"/>
          <w:szCs w:val="28"/>
          <w:rtl/>
        </w:rPr>
        <w:t xml:space="preserve"> רובינשטיין ב</w:t>
      </w:r>
      <w:r w:rsidR="00C64FC0" w:rsidRPr="00917074">
        <w:rPr>
          <w:rFonts w:cs="David" w:hint="cs"/>
          <w:b/>
          <w:bCs/>
          <w:sz w:val="28"/>
          <w:szCs w:val="28"/>
          <w:rtl/>
        </w:rPr>
        <w:t xml:space="preserve">דנ"פ אונגפלד נ' מדינת ישראל </w:t>
      </w:r>
      <w:r w:rsidR="00C64FC0" w:rsidRPr="00C64FC0">
        <w:rPr>
          <w:rFonts w:cs="David" w:hint="cs"/>
          <w:b/>
          <w:bCs/>
          <w:sz w:val="28"/>
          <w:szCs w:val="28"/>
          <w:rtl/>
        </w:rPr>
        <w:t>(להלן: עניין אונגרפלד)</w:t>
      </w:r>
      <w:r w:rsidR="00B62C57">
        <w:rPr>
          <w:rStyle w:val="a5"/>
          <w:rFonts w:cs="David"/>
          <w:sz w:val="28"/>
          <w:szCs w:val="28"/>
          <w:rtl/>
        </w:rPr>
        <w:footnoteReference w:id="155"/>
      </w:r>
      <w:r w:rsidR="00C64FC0">
        <w:rPr>
          <w:rFonts w:cs="David" w:hint="cs"/>
          <w:sz w:val="28"/>
          <w:szCs w:val="28"/>
          <w:rtl/>
        </w:rPr>
        <w:t xml:space="preserve"> </w:t>
      </w:r>
      <w:r w:rsidR="00DD671F" w:rsidRPr="00EF4B4B">
        <w:rPr>
          <w:rFonts w:cs="David" w:hint="cs"/>
          <w:sz w:val="28"/>
          <w:szCs w:val="28"/>
          <w:rtl/>
        </w:rPr>
        <w:t xml:space="preserve">בציינו את המתח הקיים בסוגיה </w:t>
      </w:r>
      <w:r w:rsidR="00813B69" w:rsidRPr="00EF4B4B">
        <w:rPr>
          <w:rFonts w:cs="David" w:hint="cs"/>
          <w:sz w:val="28"/>
          <w:szCs w:val="28"/>
          <w:rtl/>
        </w:rPr>
        <w:t>-</w:t>
      </w:r>
    </w:p>
    <w:p w:rsidR="000F195F" w:rsidRPr="00A9303D" w:rsidRDefault="000F195F" w:rsidP="00F119A4">
      <w:pPr>
        <w:spacing w:line="360" w:lineRule="auto"/>
        <w:ind w:left="720"/>
        <w:jc w:val="both"/>
        <w:rPr>
          <w:rFonts w:cs="David"/>
          <w:sz w:val="24"/>
          <w:szCs w:val="24"/>
          <w:rtl/>
        </w:rPr>
      </w:pPr>
      <w:r w:rsidRPr="00A9303D">
        <w:rPr>
          <w:rFonts w:cs="David" w:hint="cs"/>
          <w:sz w:val="24"/>
          <w:szCs w:val="24"/>
          <w:rtl/>
        </w:rPr>
        <w:t>[...] ההרתעה שיוצרת הסנקציה הפלילית עשויה למנוע מראש מן הביטוי לצאת אל אוויר העולם ולא רק להביא לענ</w:t>
      </w:r>
      <w:r w:rsidR="00813B69" w:rsidRPr="00A9303D">
        <w:rPr>
          <w:rFonts w:cs="David" w:hint="cs"/>
          <w:sz w:val="24"/>
          <w:szCs w:val="24"/>
          <w:rtl/>
        </w:rPr>
        <w:t>י</w:t>
      </w:r>
      <w:r w:rsidRPr="00A9303D">
        <w:rPr>
          <w:rFonts w:cs="David" w:hint="cs"/>
          <w:sz w:val="24"/>
          <w:szCs w:val="24"/>
          <w:rtl/>
        </w:rPr>
        <w:t>שתה בד</w:t>
      </w:r>
      <w:r w:rsidR="00813B69" w:rsidRPr="00A9303D">
        <w:rPr>
          <w:rFonts w:cs="David" w:hint="cs"/>
          <w:sz w:val="24"/>
          <w:szCs w:val="24"/>
          <w:rtl/>
        </w:rPr>
        <w:t>י</w:t>
      </w:r>
      <w:r w:rsidRPr="00A9303D">
        <w:rPr>
          <w:rFonts w:cs="David" w:hint="cs"/>
          <w:sz w:val="24"/>
          <w:szCs w:val="24"/>
          <w:rtl/>
        </w:rPr>
        <w:t>עבד. יתרה מכך, עצם קיומה של אווירת חשש ופחד, שמא אמירה זו או אחרת עלולה להביא את אומרה לעמוד לדין, מנוגדת לרעיון הדמוקרטי</w:t>
      </w:r>
      <w:r w:rsidR="00640357" w:rsidRPr="00A9303D">
        <w:rPr>
          <w:rFonts w:cs="David" w:hint="cs"/>
          <w:sz w:val="24"/>
          <w:szCs w:val="24"/>
          <w:rtl/>
        </w:rPr>
        <w:t>.</w:t>
      </w:r>
    </w:p>
    <w:p w:rsidR="00BF76DD" w:rsidRPr="00EF4B4B" w:rsidRDefault="009351C2" w:rsidP="00F119A4">
      <w:pPr>
        <w:spacing w:line="360" w:lineRule="auto"/>
        <w:jc w:val="both"/>
        <w:rPr>
          <w:rFonts w:cs="David"/>
          <w:sz w:val="28"/>
          <w:szCs w:val="28"/>
          <w:rtl/>
        </w:rPr>
      </w:pPr>
      <w:r w:rsidRPr="00EF4B4B">
        <w:rPr>
          <w:rFonts w:cs="David" w:hint="cs"/>
          <w:sz w:val="28"/>
          <w:szCs w:val="28"/>
          <w:rtl/>
        </w:rPr>
        <w:lastRenderedPageBreak/>
        <w:t xml:space="preserve">לצד זאת, </w:t>
      </w:r>
      <w:r w:rsidR="00640357" w:rsidRPr="00EF4B4B">
        <w:rPr>
          <w:rFonts w:cs="David" w:hint="cs"/>
          <w:sz w:val="28"/>
          <w:szCs w:val="28"/>
          <w:rtl/>
        </w:rPr>
        <w:t xml:space="preserve">מקבל בית המשפט בפסק דינו של שופט הרוב, </w:t>
      </w:r>
      <w:r w:rsidR="0077264A">
        <w:rPr>
          <w:rFonts w:cs="David" w:hint="cs"/>
          <w:sz w:val="28"/>
          <w:szCs w:val="28"/>
          <w:rtl/>
        </w:rPr>
        <w:t>כבוד השופט</w:t>
      </w:r>
      <w:r w:rsidR="00640357" w:rsidRPr="00EF4B4B">
        <w:rPr>
          <w:rFonts w:cs="David" w:hint="cs"/>
          <w:sz w:val="28"/>
          <w:szCs w:val="28"/>
          <w:rtl/>
        </w:rPr>
        <w:t xml:space="preserve"> הנדל, כי המפגש הרגיש מחייב את בית המשפט </w:t>
      </w:r>
      <w:r w:rsidR="00640357" w:rsidRPr="00205BA1">
        <w:rPr>
          <w:rFonts w:cs="David" w:hint="cs"/>
          <w:b/>
          <w:bCs/>
          <w:sz w:val="28"/>
          <w:szCs w:val="28"/>
          <w:rtl/>
        </w:rPr>
        <w:t>להיות זהיר מאד</w:t>
      </w:r>
      <w:r w:rsidR="00640357" w:rsidRPr="00EF4B4B">
        <w:rPr>
          <w:rFonts w:cs="David" w:hint="cs"/>
          <w:sz w:val="28"/>
          <w:szCs w:val="28"/>
          <w:rtl/>
        </w:rPr>
        <w:t xml:space="preserve"> במלאכת האיזון בין חופש הביטוי ובין הערך המוגן בעבירה הספציפית, אשר מצדיק את</w:t>
      </w:r>
      <w:r w:rsidR="00A4488C" w:rsidRPr="00EF4B4B">
        <w:rPr>
          <w:rFonts w:cs="David" w:hint="cs"/>
          <w:sz w:val="28"/>
          <w:szCs w:val="28"/>
          <w:rtl/>
        </w:rPr>
        <w:t xml:space="preserve"> הגבלתו - </w:t>
      </w:r>
      <w:r w:rsidR="001D179A" w:rsidRPr="00EF4B4B">
        <w:rPr>
          <w:rFonts w:cs="David" w:hint="cs"/>
          <w:sz w:val="28"/>
          <w:szCs w:val="28"/>
          <w:rtl/>
        </w:rPr>
        <w:t>אך על לה לזהירות זו להשכיח את המטרה שלשמה היה מוכן המחוקק להגביל את חופש הביטוי.</w:t>
      </w:r>
      <w:r w:rsidR="00BF76DD" w:rsidRPr="00EF4B4B">
        <w:rPr>
          <w:rFonts w:cs="David" w:hint="cs"/>
          <w:sz w:val="28"/>
          <w:szCs w:val="28"/>
          <w:rtl/>
        </w:rPr>
        <w:t xml:space="preserve"> בית המשפט הדגיש בפסק הדין את </w:t>
      </w:r>
      <w:r w:rsidR="00BF76DD" w:rsidRPr="008946AB">
        <w:rPr>
          <w:rFonts w:cs="David" w:hint="cs"/>
          <w:b/>
          <w:bCs/>
          <w:sz w:val="28"/>
          <w:szCs w:val="28"/>
          <w:rtl/>
        </w:rPr>
        <w:t>חשיבות ההקשר הרחב שבו נאמרו הדברים</w:t>
      </w:r>
      <w:r w:rsidR="00BF76DD" w:rsidRPr="00EF4B4B">
        <w:rPr>
          <w:rFonts w:cs="David" w:hint="cs"/>
          <w:sz w:val="28"/>
          <w:szCs w:val="28"/>
          <w:rtl/>
        </w:rPr>
        <w:t>. התייחסות זו מאפשרת להבחין בין אמירות קיצוניות שאין חשש כי ישפיעו על יחידים לבצע מעשי אלימות לבין אמירות אחרות שעלולות להוביל לכך.</w:t>
      </w:r>
      <w:r w:rsidR="006353BC" w:rsidRPr="00EF4B4B">
        <w:rPr>
          <w:rFonts w:cs="David" w:hint="cs"/>
          <w:sz w:val="28"/>
          <w:szCs w:val="28"/>
          <w:rtl/>
        </w:rPr>
        <w:t xml:space="preserve"> </w:t>
      </w:r>
      <w:r w:rsidR="006353BC" w:rsidRPr="003D47B4">
        <w:rPr>
          <w:rFonts w:cs="David" w:hint="cs"/>
          <w:b/>
          <w:bCs/>
          <w:sz w:val="28"/>
          <w:szCs w:val="28"/>
          <w:rtl/>
        </w:rPr>
        <w:t xml:space="preserve">התייחסות להקשר </w:t>
      </w:r>
      <w:r w:rsidR="006353BC" w:rsidRPr="008946AB">
        <w:rPr>
          <w:rFonts w:cs="David" w:hint="cs"/>
          <w:b/>
          <w:bCs/>
          <w:sz w:val="28"/>
          <w:szCs w:val="28"/>
          <w:rtl/>
        </w:rPr>
        <w:t>מהווה אם כן, גורם ממתן המעניק הגנה נוספת לחופש הביטוי</w:t>
      </w:r>
      <w:r w:rsidR="006353BC" w:rsidRPr="00EF4B4B">
        <w:rPr>
          <w:rFonts w:cs="David" w:hint="cs"/>
          <w:sz w:val="28"/>
          <w:szCs w:val="28"/>
          <w:rtl/>
        </w:rPr>
        <w:t>.</w:t>
      </w:r>
    </w:p>
    <w:p w:rsidR="00096978" w:rsidRPr="00EF4B4B" w:rsidRDefault="00640357" w:rsidP="00F119A4">
      <w:pPr>
        <w:spacing w:line="360" w:lineRule="auto"/>
        <w:jc w:val="both"/>
        <w:rPr>
          <w:rFonts w:cs="David"/>
          <w:sz w:val="28"/>
          <w:szCs w:val="28"/>
          <w:rtl/>
        </w:rPr>
      </w:pPr>
      <w:r w:rsidRPr="00EF4B4B">
        <w:rPr>
          <w:rFonts w:cs="David" w:hint="cs"/>
          <w:sz w:val="28"/>
          <w:szCs w:val="28"/>
          <w:rtl/>
        </w:rPr>
        <w:t>לכל עבירה בספר החוקים יש מטען משלה ומלאכת איזון ייחודית לה.</w:t>
      </w:r>
      <w:r w:rsidR="00BF76DD" w:rsidRPr="00EF4B4B">
        <w:rPr>
          <w:rFonts w:cs="David" w:hint="cs"/>
          <w:sz w:val="28"/>
          <w:szCs w:val="28"/>
          <w:rtl/>
        </w:rPr>
        <w:t xml:space="preserve"> </w:t>
      </w:r>
      <w:r w:rsidR="00A53BBC" w:rsidRPr="00EF4B4B">
        <w:rPr>
          <w:rFonts w:cs="David" w:hint="cs"/>
          <w:sz w:val="28"/>
          <w:szCs w:val="28"/>
          <w:rtl/>
        </w:rPr>
        <w:t>בעבירה הנדונה</w:t>
      </w:r>
      <w:r w:rsidRPr="00EF4B4B">
        <w:rPr>
          <w:rFonts w:cs="David" w:hint="cs"/>
          <w:sz w:val="28"/>
          <w:szCs w:val="28"/>
          <w:rtl/>
        </w:rPr>
        <w:t xml:space="preserve">, </w:t>
      </w:r>
      <w:r w:rsidR="00A53BBC" w:rsidRPr="00EF4B4B">
        <w:rPr>
          <w:rFonts w:cs="David" w:hint="cs"/>
          <w:sz w:val="28"/>
          <w:szCs w:val="28"/>
          <w:rtl/>
        </w:rPr>
        <w:t xml:space="preserve">הערך המוגן הינו </w:t>
      </w:r>
      <w:r w:rsidR="001D179A" w:rsidRPr="00EF4B4B">
        <w:rPr>
          <w:rFonts w:cs="David" w:hint="cs"/>
          <w:sz w:val="28"/>
          <w:szCs w:val="28"/>
          <w:rtl/>
        </w:rPr>
        <w:t>החשש ממעשי אלימות ו</w:t>
      </w:r>
      <w:r w:rsidR="00A53BBC" w:rsidRPr="00EF4B4B">
        <w:rPr>
          <w:rFonts w:cs="David" w:hint="cs"/>
          <w:sz w:val="28"/>
          <w:szCs w:val="28"/>
          <w:rtl/>
        </w:rPr>
        <w:t>מניעת</w:t>
      </w:r>
      <w:r w:rsidR="001D179A" w:rsidRPr="00EF4B4B">
        <w:rPr>
          <w:rFonts w:cs="David" w:hint="cs"/>
          <w:sz w:val="28"/>
          <w:szCs w:val="28"/>
          <w:rtl/>
        </w:rPr>
        <w:t>ם</w:t>
      </w:r>
      <w:r w:rsidR="00F87916" w:rsidRPr="00EF4B4B">
        <w:rPr>
          <w:rStyle w:val="a5"/>
          <w:rFonts w:cs="David"/>
          <w:sz w:val="28"/>
          <w:szCs w:val="28"/>
          <w:rtl/>
        </w:rPr>
        <w:footnoteReference w:id="156"/>
      </w:r>
      <w:r w:rsidR="00096978" w:rsidRPr="00EF4B4B">
        <w:rPr>
          <w:rFonts w:cs="David" w:hint="cs"/>
          <w:sz w:val="28"/>
          <w:szCs w:val="28"/>
          <w:rtl/>
        </w:rPr>
        <w:t xml:space="preserve"> </w:t>
      </w:r>
      <w:r w:rsidR="00A53BBC" w:rsidRPr="00EF4B4B">
        <w:rPr>
          <w:rFonts w:cs="David" w:hint="cs"/>
          <w:sz w:val="28"/>
          <w:szCs w:val="28"/>
          <w:rtl/>
        </w:rPr>
        <w:t>ולכן חשיבותו מעצבת את הפרשנות למרכיבי העבירה, דרישותיה ומידת הפגיעה הראויה בערך חופש הביטוי.</w:t>
      </w:r>
      <w:r w:rsidR="004D3D10" w:rsidRPr="00EF4B4B">
        <w:rPr>
          <w:rFonts w:cs="David" w:hint="cs"/>
          <w:sz w:val="28"/>
          <w:szCs w:val="28"/>
          <w:rtl/>
        </w:rPr>
        <w:t xml:space="preserve"> לטעמו של בית המשפט</w:t>
      </w:r>
      <w:r w:rsidR="00AA6112">
        <w:rPr>
          <w:rStyle w:val="a5"/>
          <w:rFonts w:cs="David"/>
          <w:sz w:val="28"/>
          <w:szCs w:val="28"/>
          <w:rtl/>
        </w:rPr>
        <w:footnoteReference w:id="157"/>
      </w:r>
      <w:r w:rsidR="007F2E97">
        <w:rPr>
          <w:rFonts w:cs="David" w:hint="cs"/>
          <w:sz w:val="28"/>
          <w:szCs w:val="28"/>
          <w:rtl/>
        </w:rPr>
        <w:t xml:space="preserve"> </w:t>
      </w:r>
      <w:r w:rsidR="00096978" w:rsidRPr="00EF4B4B">
        <w:rPr>
          <w:rFonts w:cs="David" w:hint="cs"/>
          <w:sz w:val="28"/>
          <w:szCs w:val="28"/>
          <w:rtl/>
        </w:rPr>
        <w:t xml:space="preserve">- </w:t>
      </w:r>
    </w:p>
    <w:p w:rsidR="001D179A" w:rsidRPr="00A9303D" w:rsidRDefault="004D3D10" w:rsidP="00F119A4">
      <w:pPr>
        <w:spacing w:line="360" w:lineRule="auto"/>
        <w:ind w:left="720"/>
        <w:jc w:val="both"/>
        <w:rPr>
          <w:rFonts w:cs="David"/>
          <w:sz w:val="24"/>
          <w:szCs w:val="24"/>
          <w:rtl/>
        </w:rPr>
      </w:pPr>
      <w:r w:rsidRPr="00A9303D">
        <w:rPr>
          <w:rFonts w:cs="David" w:hint="cs"/>
          <w:sz w:val="24"/>
          <w:szCs w:val="24"/>
          <w:rtl/>
        </w:rPr>
        <w:t>נדמה כי השאיפה למנוע אלימות בחברה אינה יכולה להיות שנויה במחלוקת. לעיתים, הקשר בין הביטוי לבין המעשה האלים הדוק ביותר. די להפנות לאמ</w:t>
      </w:r>
      <w:r w:rsidR="001D179A" w:rsidRPr="00A9303D">
        <w:rPr>
          <w:rFonts w:cs="David" w:hint="cs"/>
          <w:sz w:val="24"/>
          <w:szCs w:val="24"/>
          <w:rtl/>
        </w:rPr>
        <w:t>י</w:t>
      </w:r>
      <w:r w:rsidRPr="00A9303D">
        <w:rPr>
          <w:rFonts w:cs="David" w:hint="cs"/>
          <w:sz w:val="24"/>
          <w:szCs w:val="24"/>
          <w:rtl/>
        </w:rPr>
        <w:t>רה המפורסמת בפסיקת בית המשפט העליון בארצות הברית, לפיה ההגנה האדוקה ביותר על חופש הביטוי לא תגן על אדם הצועק לשו</w:t>
      </w:r>
      <w:r w:rsidR="001D179A" w:rsidRPr="00A9303D">
        <w:rPr>
          <w:rFonts w:cs="David" w:hint="cs"/>
          <w:sz w:val="24"/>
          <w:szCs w:val="24"/>
          <w:rtl/>
        </w:rPr>
        <w:t>ו</w:t>
      </w:r>
      <w:r w:rsidR="003C6737" w:rsidRPr="00A9303D">
        <w:rPr>
          <w:rFonts w:cs="David" w:hint="cs"/>
          <w:sz w:val="24"/>
          <w:szCs w:val="24"/>
          <w:rtl/>
        </w:rPr>
        <w:t>א "אש" באולם תיאטרון הומה אדם.</w:t>
      </w:r>
    </w:p>
    <w:p w:rsidR="005535D9" w:rsidRPr="00EF4B4B" w:rsidRDefault="00C352BF" w:rsidP="00086350">
      <w:pPr>
        <w:spacing w:line="360" w:lineRule="auto"/>
        <w:jc w:val="both"/>
        <w:rPr>
          <w:rFonts w:cs="David"/>
          <w:sz w:val="28"/>
          <w:szCs w:val="28"/>
          <w:rtl/>
        </w:rPr>
      </w:pPr>
      <w:r w:rsidRPr="00EF4B4B">
        <w:rPr>
          <w:rFonts w:cs="David" w:hint="cs"/>
          <w:sz w:val="28"/>
          <w:szCs w:val="28"/>
          <w:rtl/>
        </w:rPr>
        <w:t xml:space="preserve">גם בפסק הדין </w:t>
      </w:r>
      <w:r w:rsidR="00062AFB" w:rsidRPr="00EF4B4B">
        <w:rPr>
          <w:rFonts w:cs="David" w:hint="cs"/>
          <w:sz w:val="28"/>
          <w:szCs w:val="28"/>
          <w:rtl/>
        </w:rPr>
        <w:t xml:space="preserve">העדכני </w:t>
      </w:r>
      <w:r w:rsidR="00BF76DD" w:rsidRPr="00EF4B4B">
        <w:rPr>
          <w:rFonts w:cs="David" w:hint="cs"/>
          <w:sz w:val="28"/>
          <w:szCs w:val="28"/>
          <w:rtl/>
        </w:rPr>
        <w:t xml:space="preserve">(2016) </w:t>
      </w:r>
      <w:r w:rsidRPr="00EF4B4B">
        <w:rPr>
          <w:rFonts w:cs="David" w:hint="cs"/>
          <w:sz w:val="28"/>
          <w:szCs w:val="28"/>
          <w:rtl/>
        </w:rPr>
        <w:t xml:space="preserve">בעניין </w:t>
      </w:r>
      <w:r w:rsidRPr="007751F2">
        <w:rPr>
          <w:rFonts w:cs="David" w:hint="cs"/>
          <w:b/>
          <w:bCs/>
          <w:sz w:val="28"/>
          <w:szCs w:val="28"/>
          <w:rtl/>
        </w:rPr>
        <w:t xml:space="preserve">ראאד </w:t>
      </w:r>
      <w:r w:rsidR="00BF76DD" w:rsidRPr="007751F2">
        <w:rPr>
          <w:rFonts w:cs="David" w:hint="cs"/>
          <w:b/>
          <w:bCs/>
          <w:sz w:val="28"/>
          <w:szCs w:val="28"/>
          <w:rtl/>
        </w:rPr>
        <w:t>ס</w:t>
      </w:r>
      <w:r w:rsidRPr="007751F2">
        <w:rPr>
          <w:rFonts w:cs="David" w:hint="cs"/>
          <w:b/>
          <w:bCs/>
          <w:sz w:val="28"/>
          <w:szCs w:val="28"/>
          <w:rtl/>
        </w:rPr>
        <w:t>לאח</w:t>
      </w:r>
      <w:r w:rsidRPr="00EF4B4B">
        <w:rPr>
          <w:rFonts w:cs="David" w:hint="cs"/>
          <w:sz w:val="28"/>
          <w:szCs w:val="28"/>
          <w:rtl/>
        </w:rPr>
        <w:t xml:space="preserve"> מתייחס המשנה לנשיאה, </w:t>
      </w:r>
      <w:r w:rsidR="0077264A">
        <w:rPr>
          <w:rFonts w:cs="David" w:hint="cs"/>
          <w:sz w:val="28"/>
          <w:szCs w:val="28"/>
          <w:rtl/>
        </w:rPr>
        <w:t>כבוד השופט</w:t>
      </w:r>
      <w:r w:rsidRPr="00EF4B4B">
        <w:rPr>
          <w:rFonts w:cs="David" w:hint="cs"/>
          <w:sz w:val="28"/>
          <w:szCs w:val="28"/>
          <w:rtl/>
        </w:rPr>
        <w:t xml:space="preserve"> רובינשטיין, אשר כתב את דעת הרוב, למתח בין חופש הביטוי לבין האיסור הפלילי שבעבירת ההסתה לאלימות ומקבל את מה שכבר צוין לעיל, כי "חופש הביטוי אינו ניצב בדד וקיימים חריגים הראויים לחקירה פלילית".</w:t>
      </w:r>
      <w:r w:rsidR="00062AFB" w:rsidRPr="00EF4B4B">
        <w:rPr>
          <w:rStyle w:val="a5"/>
          <w:rFonts w:cs="David"/>
          <w:sz w:val="28"/>
          <w:szCs w:val="28"/>
          <w:rtl/>
        </w:rPr>
        <w:footnoteReference w:id="158"/>
      </w:r>
    </w:p>
    <w:p w:rsidR="00086350" w:rsidRDefault="00EF6592" w:rsidP="00D3246B">
      <w:pPr>
        <w:spacing w:line="360" w:lineRule="auto"/>
        <w:jc w:val="both"/>
        <w:rPr>
          <w:rFonts w:cs="David"/>
          <w:b/>
          <w:bCs/>
          <w:sz w:val="28"/>
          <w:szCs w:val="28"/>
          <w:rtl/>
        </w:rPr>
      </w:pPr>
      <w:r>
        <w:rPr>
          <w:rFonts w:cs="David" w:hint="cs"/>
          <w:sz w:val="28"/>
          <w:szCs w:val="28"/>
          <w:rtl/>
        </w:rPr>
        <w:t xml:space="preserve">ניתן </w:t>
      </w:r>
      <w:r w:rsidR="00337A68">
        <w:rPr>
          <w:rFonts w:cs="David" w:hint="cs"/>
          <w:sz w:val="28"/>
          <w:szCs w:val="28"/>
          <w:rtl/>
        </w:rPr>
        <w:t xml:space="preserve">לראות אם כן, </w:t>
      </w:r>
      <w:r>
        <w:rPr>
          <w:rFonts w:cs="David" w:hint="cs"/>
          <w:sz w:val="28"/>
          <w:szCs w:val="28"/>
          <w:rtl/>
        </w:rPr>
        <w:t xml:space="preserve">כי אמנם הערך המוגן שבעבירת ההסתה לאלימות  עומד לנגד עיני בית המשפט, אך לנגד עיניו </w:t>
      </w:r>
      <w:r w:rsidR="00337A68">
        <w:rPr>
          <w:rFonts w:cs="David" w:hint="cs"/>
          <w:sz w:val="28"/>
          <w:szCs w:val="28"/>
          <w:rtl/>
        </w:rPr>
        <w:t xml:space="preserve">עומד </w:t>
      </w:r>
      <w:r>
        <w:rPr>
          <w:rFonts w:cs="David" w:hint="cs"/>
          <w:sz w:val="28"/>
          <w:szCs w:val="28"/>
          <w:rtl/>
        </w:rPr>
        <w:t>גם מעמדו של חופש הביטוי בישראל והצורך בביצורו ובריסון המשפט הפלילי בהקשרים אלו</w:t>
      </w:r>
      <w:r w:rsidR="00B1558A">
        <w:rPr>
          <w:rFonts w:cs="David" w:hint="cs"/>
          <w:sz w:val="28"/>
          <w:szCs w:val="28"/>
          <w:rtl/>
        </w:rPr>
        <w:t>.</w:t>
      </w:r>
      <w:r w:rsidR="00463609">
        <w:rPr>
          <w:rFonts w:cs="David" w:hint="cs"/>
          <w:sz w:val="28"/>
          <w:szCs w:val="28"/>
          <w:rtl/>
        </w:rPr>
        <w:t xml:space="preserve"> </w:t>
      </w:r>
      <w:r w:rsidR="00463609" w:rsidRPr="00E579AF">
        <w:rPr>
          <w:rFonts w:cs="David" w:hint="cs"/>
          <w:b/>
          <w:bCs/>
          <w:sz w:val="28"/>
          <w:szCs w:val="28"/>
          <w:rtl/>
        </w:rPr>
        <w:t>ההכרעה בין שני ערכים אלו הינה מורכבת וכפי שכבר צוין, נעשית בזהירות רבה ובמשורה.</w:t>
      </w:r>
    </w:p>
    <w:p w:rsidR="004B0B8C" w:rsidRPr="004B0B8C" w:rsidRDefault="004B0B8C" w:rsidP="00D3246B">
      <w:pPr>
        <w:spacing w:line="360" w:lineRule="auto"/>
        <w:jc w:val="both"/>
        <w:rPr>
          <w:rFonts w:cs="David"/>
          <w:sz w:val="28"/>
          <w:szCs w:val="28"/>
          <w:rtl/>
        </w:rPr>
      </w:pPr>
      <w:r w:rsidRPr="004B0B8C">
        <w:rPr>
          <w:rFonts w:cs="David" w:hint="cs"/>
          <w:sz w:val="28"/>
          <w:szCs w:val="28"/>
          <w:rtl/>
        </w:rPr>
        <w:t xml:space="preserve">לסיכום הפרק </w:t>
      </w:r>
      <w:r w:rsidR="0066395A">
        <w:rPr>
          <w:rFonts w:cs="David" w:hint="cs"/>
          <w:sz w:val="28"/>
          <w:szCs w:val="28"/>
          <w:rtl/>
        </w:rPr>
        <w:t>שבח</w:t>
      </w:r>
      <w:r w:rsidRPr="004B0B8C">
        <w:rPr>
          <w:rFonts w:cs="David" w:hint="cs"/>
          <w:sz w:val="28"/>
          <w:szCs w:val="28"/>
          <w:rtl/>
        </w:rPr>
        <w:t xml:space="preserve">ן את </w:t>
      </w:r>
      <w:r w:rsidR="00417DFC">
        <w:rPr>
          <w:rFonts w:cs="David" w:hint="cs"/>
          <w:sz w:val="28"/>
          <w:szCs w:val="28"/>
          <w:rtl/>
        </w:rPr>
        <w:t>המתחים בין חופש הביטוי ובין עבירות ההסתה לגזענות ולאלימות כפי שבאים לידי ביטוי ב</w:t>
      </w:r>
      <w:r w:rsidRPr="004B0B8C">
        <w:rPr>
          <w:rFonts w:cs="David" w:hint="cs"/>
          <w:sz w:val="28"/>
          <w:szCs w:val="28"/>
          <w:rtl/>
        </w:rPr>
        <w:t>חוק ו</w:t>
      </w:r>
      <w:r w:rsidR="00417DFC">
        <w:rPr>
          <w:rFonts w:cs="David" w:hint="cs"/>
          <w:sz w:val="28"/>
          <w:szCs w:val="28"/>
          <w:rtl/>
        </w:rPr>
        <w:t>ב</w:t>
      </w:r>
      <w:r w:rsidRPr="004B0B8C">
        <w:rPr>
          <w:rFonts w:cs="David" w:hint="cs"/>
          <w:sz w:val="28"/>
          <w:szCs w:val="28"/>
          <w:rtl/>
        </w:rPr>
        <w:t xml:space="preserve">משפט </w:t>
      </w:r>
      <w:r w:rsidR="00417DFC">
        <w:rPr>
          <w:rFonts w:cs="David" w:hint="cs"/>
          <w:sz w:val="28"/>
          <w:szCs w:val="28"/>
          <w:rtl/>
        </w:rPr>
        <w:t xml:space="preserve">בישראל </w:t>
      </w:r>
      <w:r w:rsidRPr="004B0B8C">
        <w:rPr>
          <w:rFonts w:cs="David" w:hint="cs"/>
          <w:sz w:val="28"/>
          <w:szCs w:val="28"/>
          <w:rtl/>
        </w:rPr>
        <w:t>כגורם משפיע על מידת ההסתה לגזענות ולאלימות</w:t>
      </w:r>
      <w:r w:rsidR="00417DFC">
        <w:rPr>
          <w:rFonts w:cs="David" w:hint="cs"/>
          <w:sz w:val="28"/>
          <w:szCs w:val="28"/>
          <w:rtl/>
        </w:rPr>
        <w:t xml:space="preserve"> הקיימת,</w:t>
      </w:r>
      <w:r w:rsidRPr="004B0B8C">
        <w:rPr>
          <w:rFonts w:cs="David" w:hint="cs"/>
          <w:sz w:val="28"/>
          <w:szCs w:val="28"/>
          <w:rtl/>
        </w:rPr>
        <w:t xml:space="preserve"> </w:t>
      </w:r>
      <w:r w:rsidR="0066395A">
        <w:rPr>
          <w:rFonts w:cs="David" w:hint="cs"/>
          <w:sz w:val="28"/>
          <w:szCs w:val="28"/>
          <w:rtl/>
        </w:rPr>
        <w:t xml:space="preserve">ניתן </w:t>
      </w:r>
      <w:r w:rsidRPr="004B0B8C">
        <w:rPr>
          <w:rFonts w:cs="David" w:hint="cs"/>
          <w:sz w:val="28"/>
          <w:szCs w:val="28"/>
          <w:rtl/>
        </w:rPr>
        <w:t>לומר:</w:t>
      </w:r>
    </w:p>
    <w:p w:rsidR="004B0B8C" w:rsidRPr="004B0B8C" w:rsidRDefault="004B0B8C" w:rsidP="00D3246B">
      <w:pPr>
        <w:pStyle w:val="a6"/>
        <w:numPr>
          <w:ilvl w:val="0"/>
          <w:numId w:val="16"/>
        </w:numPr>
        <w:spacing w:line="360" w:lineRule="auto"/>
        <w:jc w:val="both"/>
        <w:rPr>
          <w:rFonts w:cs="David"/>
          <w:sz w:val="28"/>
          <w:szCs w:val="28"/>
        </w:rPr>
      </w:pPr>
      <w:r w:rsidRPr="004B0B8C">
        <w:rPr>
          <w:rFonts w:cs="David" w:hint="cs"/>
          <w:sz w:val="28"/>
          <w:szCs w:val="28"/>
          <w:rtl/>
        </w:rPr>
        <w:t>חופש הביטוי הוכר בבית המשפט העליון כזכות יסוד בעלת מעמד חוקתי על-חוקי, אך יחד עם זאת אין זו זכות מוחלטת במהותה ולכן החופש הינו יחסי.</w:t>
      </w:r>
    </w:p>
    <w:p w:rsidR="004B0B8C" w:rsidRPr="004B0B8C" w:rsidRDefault="004B0B8C" w:rsidP="00D3246B">
      <w:pPr>
        <w:pStyle w:val="a6"/>
        <w:numPr>
          <w:ilvl w:val="0"/>
          <w:numId w:val="16"/>
        </w:numPr>
        <w:spacing w:line="360" w:lineRule="auto"/>
        <w:jc w:val="both"/>
        <w:rPr>
          <w:rFonts w:cs="David"/>
          <w:sz w:val="28"/>
          <w:szCs w:val="28"/>
        </w:rPr>
      </w:pPr>
      <w:r w:rsidRPr="004B0B8C">
        <w:rPr>
          <w:rFonts w:cs="David" w:hint="cs"/>
          <w:sz w:val="28"/>
          <w:szCs w:val="28"/>
          <w:rtl/>
        </w:rPr>
        <w:lastRenderedPageBreak/>
        <w:t>בשל מעמד חופש הביטוי, החקיקה בנושאי ההסתה לגזענות ולאלימות הינה חקיקה מצמצמת שחוקקה ברגישות רבה וביד קפוצה ותוך התחשבות גם באנשי הדת, שמא דבריהם ייחשבו להסתה. בכל מקרה של התנגשות בין חופש הביטוי לאינטרס ו</w:t>
      </w:r>
      <w:r w:rsidR="00BC5E94">
        <w:rPr>
          <w:rFonts w:cs="David" w:hint="cs"/>
          <w:sz w:val="28"/>
          <w:szCs w:val="28"/>
          <w:rtl/>
        </w:rPr>
        <w:t>ל</w:t>
      </w:r>
      <w:r w:rsidRPr="004B0B8C">
        <w:rPr>
          <w:rFonts w:cs="David" w:hint="cs"/>
          <w:sz w:val="28"/>
          <w:szCs w:val="28"/>
          <w:rtl/>
        </w:rPr>
        <w:t xml:space="preserve">ערך אחר </w:t>
      </w:r>
      <w:r w:rsidR="00152473">
        <w:rPr>
          <w:rFonts w:cs="David" w:hint="cs"/>
          <w:sz w:val="28"/>
          <w:szCs w:val="28"/>
          <w:rtl/>
        </w:rPr>
        <w:t xml:space="preserve">מפעיל </w:t>
      </w:r>
      <w:r w:rsidRPr="004B0B8C">
        <w:rPr>
          <w:rFonts w:cs="David" w:hint="cs"/>
          <w:sz w:val="28"/>
          <w:szCs w:val="28"/>
          <w:rtl/>
        </w:rPr>
        <w:t xml:space="preserve">בית המשפט </w:t>
      </w:r>
      <w:r w:rsidR="00152473">
        <w:rPr>
          <w:rFonts w:cs="David" w:hint="cs"/>
          <w:sz w:val="28"/>
          <w:szCs w:val="28"/>
          <w:rtl/>
        </w:rPr>
        <w:t>את דוקטרינת 'איזון האינטרסי</w:t>
      </w:r>
      <w:r w:rsidRPr="004B0B8C">
        <w:rPr>
          <w:rFonts w:cs="David" w:hint="cs"/>
          <w:sz w:val="28"/>
          <w:szCs w:val="28"/>
          <w:rtl/>
        </w:rPr>
        <w:t>ם</w:t>
      </w:r>
      <w:r w:rsidR="00152473">
        <w:rPr>
          <w:rFonts w:cs="David" w:hint="cs"/>
          <w:sz w:val="28"/>
          <w:szCs w:val="28"/>
          <w:rtl/>
        </w:rPr>
        <w:t>'</w:t>
      </w:r>
      <w:r w:rsidRPr="004B0B8C">
        <w:rPr>
          <w:rFonts w:cs="David" w:hint="cs"/>
          <w:sz w:val="28"/>
          <w:szCs w:val="28"/>
          <w:rtl/>
        </w:rPr>
        <w:t>.</w:t>
      </w:r>
    </w:p>
    <w:p w:rsidR="004B0B8C" w:rsidRPr="004B0B8C" w:rsidRDefault="004B0B8C" w:rsidP="00D3246B">
      <w:pPr>
        <w:pStyle w:val="a6"/>
        <w:numPr>
          <w:ilvl w:val="0"/>
          <w:numId w:val="16"/>
        </w:numPr>
        <w:spacing w:line="360" w:lineRule="auto"/>
        <w:jc w:val="both"/>
        <w:rPr>
          <w:rFonts w:cs="David"/>
          <w:sz w:val="28"/>
          <w:szCs w:val="28"/>
        </w:rPr>
      </w:pPr>
      <w:r w:rsidRPr="004B0B8C">
        <w:rPr>
          <w:rFonts w:cs="David" w:hint="cs"/>
          <w:sz w:val="28"/>
          <w:szCs w:val="28"/>
          <w:rtl/>
        </w:rPr>
        <w:t xml:space="preserve"> בכל הנוגע ליסוד העובדתי והנפשי של עבירת ההסתה לגזענות</w:t>
      </w:r>
      <w:r w:rsidR="00CD4EE5">
        <w:rPr>
          <w:rFonts w:cs="David" w:hint="cs"/>
          <w:sz w:val="28"/>
          <w:szCs w:val="28"/>
          <w:rtl/>
        </w:rPr>
        <w:t>,</w:t>
      </w:r>
      <w:r w:rsidRPr="004B0B8C">
        <w:rPr>
          <w:rFonts w:cs="David" w:hint="cs"/>
          <w:sz w:val="28"/>
          <w:szCs w:val="28"/>
          <w:rtl/>
        </w:rPr>
        <w:t xml:space="preserve"> המצב המשפטי אינו ברור </w:t>
      </w:r>
      <w:r w:rsidR="00207A01">
        <w:rPr>
          <w:rFonts w:cs="David" w:hint="cs"/>
          <w:sz w:val="28"/>
          <w:szCs w:val="28"/>
          <w:rtl/>
        </w:rPr>
        <w:t xml:space="preserve">דיו </w:t>
      </w:r>
      <w:r w:rsidRPr="004B0B8C">
        <w:rPr>
          <w:rFonts w:cs="David" w:hint="cs"/>
          <w:sz w:val="28"/>
          <w:szCs w:val="28"/>
          <w:rtl/>
        </w:rPr>
        <w:t>ושאלות משמעותיות הושארו על ידי בית המשפט העליון ב'צריך עיון' ולא הוכרעו. גם בנושא עבירת ההסתה לאלימות נדרש מבחן הסתברותי גבוה יחסית, שקשה להערכה ולהוכחה.</w:t>
      </w:r>
    </w:p>
    <w:p w:rsidR="00207A01" w:rsidRPr="00207A01" w:rsidRDefault="004B0B8C" w:rsidP="00D3246B">
      <w:pPr>
        <w:pStyle w:val="a6"/>
        <w:numPr>
          <w:ilvl w:val="0"/>
          <w:numId w:val="16"/>
        </w:numPr>
        <w:spacing w:line="360" w:lineRule="auto"/>
        <w:jc w:val="both"/>
        <w:rPr>
          <w:rFonts w:cs="David"/>
          <w:b/>
          <w:bCs/>
          <w:sz w:val="28"/>
          <w:szCs w:val="28"/>
        </w:rPr>
      </w:pPr>
      <w:r w:rsidRPr="004B0B8C">
        <w:rPr>
          <w:rFonts w:cs="David" w:hint="cs"/>
          <w:sz w:val="28"/>
          <w:szCs w:val="28"/>
          <w:rtl/>
        </w:rPr>
        <w:t xml:space="preserve">נראה שבגישה הקיימת </w:t>
      </w:r>
      <w:r w:rsidR="00207A01">
        <w:rPr>
          <w:rFonts w:cs="David" w:hint="cs"/>
          <w:sz w:val="28"/>
          <w:szCs w:val="28"/>
          <w:rtl/>
        </w:rPr>
        <w:t xml:space="preserve">וכל עוד לא אמר המחוקק את דברו מפורשות, </w:t>
      </w:r>
      <w:r w:rsidR="0066395A">
        <w:rPr>
          <w:rFonts w:cs="David" w:hint="cs"/>
          <w:sz w:val="28"/>
          <w:szCs w:val="28"/>
          <w:rtl/>
        </w:rPr>
        <w:t xml:space="preserve">חוסות </w:t>
      </w:r>
      <w:r w:rsidRPr="004B0B8C">
        <w:rPr>
          <w:rFonts w:cs="David" w:hint="cs"/>
          <w:sz w:val="28"/>
          <w:szCs w:val="28"/>
          <w:rtl/>
        </w:rPr>
        <w:t xml:space="preserve">התבטאויות גזעניות </w:t>
      </w:r>
      <w:r w:rsidR="00207A01">
        <w:rPr>
          <w:rFonts w:cs="David" w:hint="cs"/>
          <w:sz w:val="28"/>
          <w:szCs w:val="28"/>
          <w:rtl/>
        </w:rPr>
        <w:t>כשלעצמן תחת הגנת חופש הביטוי.</w:t>
      </w:r>
    </w:p>
    <w:p w:rsidR="004B0B8C" w:rsidRPr="00AE4428" w:rsidRDefault="004B0B8C" w:rsidP="00D3246B">
      <w:pPr>
        <w:pStyle w:val="a6"/>
        <w:numPr>
          <w:ilvl w:val="0"/>
          <w:numId w:val="16"/>
        </w:numPr>
        <w:spacing w:line="360" w:lineRule="auto"/>
        <w:jc w:val="both"/>
        <w:rPr>
          <w:rFonts w:cs="David"/>
          <w:b/>
          <w:bCs/>
          <w:sz w:val="28"/>
          <w:szCs w:val="28"/>
        </w:rPr>
      </w:pPr>
      <w:r w:rsidRPr="004B0B8C">
        <w:rPr>
          <w:rFonts w:cs="David" w:hint="cs"/>
          <w:sz w:val="28"/>
          <w:szCs w:val="28"/>
          <w:rtl/>
        </w:rPr>
        <w:t xml:space="preserve">גם כאשר הערך המוגן </w:t>
      </w:r>
      <w:r w:rsidR="00032832">
        <w:rPr>
          <w:rFonts w:cs="David" w:hint="cs"/>
          <w:sz w:val="28"/>
          <w:szCs w:val="28"/>
          <w:rtl/>
        </w:rPr>
        <w:t xml:space="preserve">בעבירת ההסתה לאלימות </w:t>
      </w:r>
      <w:r w:rsidRPr="004B0B8C">
        <w:rPr>
          <w:rFonts w:cs="David" w:hint="cs"/>
          <w:sz w:val="28"/>
          <w:szCs w:val="28"/>
          <w:rtl/>
        </w:rPr>
        <w:t>הינו ברור</w:t>
      </w:r>
      <w:r w:rsidR="00032832">
        <w:rPr>
          <w:rFonts w:cs="David" w:hint="cs"/>
          <w:sz w:val="28"/>
          <w:szCs w:val="28"/>
          <w:rtl/>
        </w:rPr>
        <w:t>,</w:t>
      </w:r>
      <w:r w:rsidRPr="004B0B8C">
        <w:rPr>
          <w:rFonts w:cs="David" w:hint="cs"/>
          <w:sz w:val="28"/>
          <w:szCs w:val="28"/>
          <w:rtl/>
        </w:rPr>
        <w:t xml:space="preserve"> </w:t>
      </w:r>
      <w:r w:rsidR="00032832">
        <w:rPr>
          <w:rFonts w:cs="David" w:hint="cs"/>
          <w:sz w:val="28"/>
          <w:szCs w:val="28"/>
          <w:rtl/>
        </w:rPr>
        <w:t>ההכרעה בינו ובין חופש הביטוי הינו מורכב ויש לעשותו בזהירות</w:t>
      </w:r>
      <w:r w:rsidRPr="004B0B8C">
        <w:rPr>
          <w:rFonts w:cs="David" w:hint="cs"/>
          <w:sz w:val="28"/>
          <w:szCs w:val="28"/>
          <w:rtl/>
        </w:rPr>
        <w:t>.</w:t>
      </w:r>
    </w:p>
    <w:p w:rsidR="004B0B8C" w:rsidRPr="00337A68" w:rsidRDefault="004B0B8C" w:rsidP="00D3246B">
      <w:pPr>
        <w:pStyle w:val="a6"/>
        <w:numPr>
          <w:ilvl w:val="0"/>
          <w:numId w:val="16"/>
        </w:numPr>
        <w:spacing w:line="360" w:lineRule="auto"/>
        <w:jc w:val="both"/>
        <w:rPr>
          <w:rFonts w:cs="David"/>
          <w:b/>
          <w:bCs/>
          <w:sz w:val="28"/>
          <w:szCs w:val="28"/>
          <w:rtl/>
        </w:rPr>
      </w:pPr>
      <w:r w:rsidRPr="00D727AF">
        <w:rPr>
          <w:rFonts w:cs="David" w:hint="cs"/>
          <w:b/>
          <w:bCs/>
          <w:sz w:val="28"/>
          <w:szCs w:val="28"/>
          <w:rtl/>
        </w:rPr>
        <w:t xml:space="preserve">החקיקה המצמצמת בעניין זה, לצד פרשנות משפטית מצמצמת ולא בהירה </w:t>
      </w:r>
      <w:r w:rsidR="00EE57DF">
        <w:rPr>
          <w:rFonts w:cs="David" w:hint="cs"/>
          <w:b/>
          <w:bCs/>
          <w:sz w:val="28"/>
          <w:szCs w:val="28"/>
          <w:rtl/>
        </w:rPr>
        <w:t xml:space="preserve">דיה, </w:t>
      </w:r>
      <w:r w:rsidRPr="00D727AF">
        <w:rPr>
          <w:rFonts w:cs="David" w:hint="cs"/>
          <w:b/>
          <w:bCs/>
          <w:sz w:val="28"/>
          <w:szCs w:val="28"/>
          <w:rtl/>
        </w:rPr>
        <w:t xml:space="preserve">מציבות רף גבוה להוכחת </w:t>
      </w:r>
      <w:r>
        <w:rPr>
          <w:rFonts w:cs="David" w:hint="cs"/>
          <w:b/>
          <w:bCs/>
          <w:sz w:val="28"/>
          <w:szCs w:val="28"/>
          <w:rtl/>
        </w:rPr>
        <w:t xml:space="preserve">עבירות ההסתה לגזענות ולאלימות. </w:t>
      </w:r>
    </w:p>
    <w:p w:rsidR="000C5302" w:rsidRDefault="000C5302" w:rsidP="000C5302">
      <w:pPr>
        <w:spacing w:line="360" w:lineRule="auto"/>
        <w:jc w:val="both"/>
        <w:rPr>
          <w:rFonts w:cs="David"/>
          <w:b/>
          <w:bCs/>
          <w:sz w:val="28"/>
          <w:szCs w:val="28"/>
          <w:rtl/>
        </w:rPr>
      </w:pPr>
    </w:p>
    <w:p w:rsidR="000C5302" w:rsidRDefault="000C5302" w:rsidP="000C5302">
      <w:pPr>
        <w:spacing w:line="360" w:lineRule="auto"/>
        <w:jc w:val="both"/>
        <w:rPr>
          <w:rFonts w:cs="David"/>
          <w:b/>
          <w:bCs/>
          <w:sz w:val="28"/>
          <w:szCs w:val="28"/>
          <w:rtl/>
        </w:rPr>
      </w:pPr>
    </w:p>
    <w:p w:rsidR="000C5302" w:rsidRDefault="000C5302" w:rsidP="000C5302">
      <w:pPr>
        <w:spacing w:line="360" w:lineRule="auto"/>
        <w:jc w:val="both"/>
        <w:rPr>
          <w:rFonts w:cs="David"/>
          <w:b/>
          <w:bCs/>
          <w:sz w:val="28"/>
          <w:szCs w:val="28"/>
          <w:rtl/>
        </w:rPr>
      </w:pPr>
    </w:p>
    <w:p w:rsidR="000C5302" w:rsidRDefault="000C5302" w:rsidP="000C5302">
      <w:pPr>
        <w:spacing w:line="360" w:lineRule="auto"/>
        <w:jc w:val="both"/>
        <w:rPr>
          <w:rFonts w:cs="David"/>
          <w:b/>
          <w:bCs/>
          <w:sz w:val="28"/>
          <w:szCs w:val="28"/>
          <w:rtl/>
        </w:rPr>
      </w:pPr>
    </w:p>
    <w:p w:rsidR="000C5302" w:rsidRDefault="000C5302" w:rsidP="000C5302">
      <w:pPr>
        <w:spacing w:line="360" w:lineRule="auto"/>
        <w:jc w:val="both"/>
        <w:rPr>
          <w:rFonts w:cs="David"/>
          <w:b/>
          <w:bCs/>
          <w:sz w:val="28"/>
          <w:szCs w:val="28"/>
          <w:rtl/>
        </w:rPr>
      </w:pPr>
    </w:p>
    <w:p w:rsidR="000C5302" w:rsidRDefault="000C5302" w:rsidP="000C5302">
      <w:pPr>
        <w:spacing w:line="360" w:lineRule="auto"/>
        <w:jc w:val="both"/>
        <w:rPr>
          <w:rFonts w:cs="David"/>
          <w:b/>
          <w:bCs/>
          <w:sz w:val="28"/>
          <w:szCs w:val="28"/>
          <w:rtl/>
        </w:rPr>
      </w:pPr>
    </w:p>
    <w:p w:rsidR="005A7B7E" w:rsidRDefault="005A7B7E" w:rsidP="00831EF2">
      <w:pPr>
        <w:spacing w:line="360" w:lineRule="auto"/>
        <w:jc w:val="both"/>
        <w:rPr>
          <w:rFonts w:cs="David"/>
          <w:b/>
          <w:bCs/>
          <w:sz w:val="32"/>
          <w:szCs w:val="32"/>
          <w:rtl/>
        </w:rPr>
      </w:pPr>
    </w:p>
    <w:p w:rsidR="005A7B7E" w:rsidRDefault="005A7B7E" w:rsidP="00831EF2">
      <w:pPr>
        <w:spacing w:line="360" w:lineRule="auto"/>
        <w:jc w:val="both"/>
        <w:rPr>
          <w:rFonts w:cs="David"/>
          <w:b/>
          <w:bCs/>
          <w:sz w:val="32"/>
          <w:szCs w:val="32"/>
          <w:rtl/>
        </w:rPr>
      </w:pPr>
    </w:p>
    <w:p w:rsidR="005A7B7E" w:rsidRDefault="005A7B7E" w:rsidP="00831EF2">
      <w:pPr>
        <w:spacing w:line="360" w:lineRule="auto"/>
        <w:jc w:val="both"/>
        <w:rPr>
          <w:rFonts w:cs="David"/>
          <w:b/>
          <w:bCs/>
          <w:sz w:val="32"/>
          <w:szCs w:val="32"/>
          <w:rtl/>
        </w:rPr>
      </w:pPr>
    </w:p>
    <w:p w:rsidR="005A7B7E" w:rsidRDefault="005A7B7E" w:rsidP="00831EF2">
      <w:pPr>
        <w:spacing w:line="360" w:lineRule="auto"/>
        <w:jc w:val="both"/>
        <w:rPr>
          <w:rFonts w:cs="David"/>
          <w:b/>
          <w:bCs/>
          <w:sz w:val="32"/>
          <w:szCs w:val="32"/>
          <w:rtl/>
        </w:rPr>
      </w:pPr>
    </w:p>
    <w:p w:rsidR="005A7B7E" w:rsidRDefault="005A7B7E" w:rsidP="00831EF2">
      <w:pPr>
        <w:spacing w:line="360" w:lineRule="auto"/>
        <w:jc w:val="both"/>
        <w:rPr>
          <w:rFonts w:cs="David"/>
          <w:b/>
          <w:bCs/>
          <w:sz w:val="32"/>
          <w:szCs w:val="32"/>
          <w:rtl/>
        </w:rPr>
      </w:pPr>
    </w:p>
    <w:p w:rsidR="00C80269" w:rsidRDefault="00C80269" w:rsidP="00B66014">
      <w:pPr>
        <w:spacing w:line="360" w:lineRule="auto"/>
        <w:jc w:val="both"/>
        <w:rPr>
          <w:rFonts w:cs="David"/>
          <w:sz w:val="28"/>
          <w:szCs w:val="28"/>
          <w:rtl/>
        </w:rPr>
      </w:pPr>
      <w:r w:rsidRPr="00554173">
        <w:rPr>
          <w:rFonts w:cs="David" w:hint="cs"/>
          <w:b/>
          <w:bCs/>
          <w:sz w:val="32"/>
          <w:szCs w:val="32"/>
          <w:rtl/>
        </w:rPr>
        <w:lastRenderedPageBreak/>
        <w:t xml:space="preserve">פרק </w:t>
      </w:r>
      <w:r>
        <w:rPr>
          <w:rFonts w:cs="David" w:hint="cs"/>
          <w:b/>
          <w:bCs/>
          <w:sz w:val="32"/>
          <w:szCs w:val="32"/>
          <w:rtl/>
        </w:rPr>
        <w:t xml:space="preserve">שלישי </w:t>
      </w:r>
      <w:r w:rsidR="00B66014">
        <w:rPr>
          <w:rFonts w:cs="David" w:hint="cs"/>
          <w:b/>
          <w:bCs/>
          <w:sz w:val="32"/>
          <w:szCs w:val="32"/>
          <w:rtl/>
        </w:rPr>
        <w:t>-</w:t>
      </w:r>
      <w:r w:rsidRPr="00554173">
        <w:rPr>
          <w:rFonts w:cs="David" w:hint="cs"/>
          <w:b/>
          <w:bCs/>
          <w:sz w:val="32"/>
          <w:szCs w:val="32"/>
          <w:rtl/>
        </w:rPr>
        <w:t xml:space="preserve"> עיצוב המדיניות המשפטית </w:t>
      </w:r>
      <w:r w:rsidR="00624D6C">
        <w:rPr>
          <w:rFonts w:cs="David" w:hint="cs"/>
          <w:b/>
          <w:bCs/>
          <w:sz w:val="32"/>
          <w:szCs w:val="32"/>
          <w:rtl/>
        </w:rPr>
        <w:t xml:space="preserve">במרשתת </w:t>
      </w:r>
      <w:r w:rsidR="00166CC8">
        <w:rPr>
          <w:rFonts w:cs="David" w:hint="cs"/>
          <w:b/>
          <w:bCs/>
          <w:sz w:val="32"/>
          <w:szCs w:val="32"/>
          <w:rtl/>
        </w:rPr>
        <w:t xml:space="preserve">בעבירות </w:t>
      </w:r>
      <w:r w:rsidR="005F205C">
        <w:rPr>
          <w:rFonts w:cs="David" w:hint="cs"/>
          <w:b/>
          <w:bCs/>
          <w:sz w:val="32"/>
          <w:szCs w:val="32"/>
          <w:rtl/>
        </w:rPr>
        <w:t>ביטוי והסתה</w:t>
      </w:r>
    </w:p>
    <w:p w:rsidR="00423BAC" w:rsidRDefault="00C80269" w:rsidP="00CD4EE5">
      <w:pPr>
        <w:spacing w:line="360" w:lineRule="auto"/>
        <w:jc w:val="both"/>
        <w:rPr>
          <w:rFonts w:cs="David"/>
          <w:sz w:val="28"/>
          <w:szCs w:val="28"/>
          <w:rtl/>
        </w:rPr>
      </w:pPr>
      <w:r w:rsidRPr="00BB62A0">
        <w:rPr>
          <w:rFonts w:cs="David" w:hint="cs"/>
          <w:sz w:val="28"/>
          <w:szCs w:val="28"/>
          <w:rtl/>
        </w:rPr>
        <w:t>בפרק זה תבחן העבודה מנקודת מבט רחבה את עיצוב המדיניות המשפטית</w:t>
      </w:r>
      <w:r w:rsidR="00423BAC">
        <w:rPr>
          <w:rFonts w:cs="David" w:hint="cs"/>
          <w:sz w:val="28"/>
          <w:szCs w:val="28"/>
          <w:rtl/>
        </w:rPr>
        <w:t xml:space="preserve"> במרשתת</w:t>
      </w:r>
      <w:r w:rsidR="00063157">
        <w:rPr>
          <w:rFonts w:cs="David" w:hint="cs"/>
          <w:sz w:val="28"/>
          <w:szCs w:val="28"/>
          <w:rtl/>
        </w:rPr>
        <w:t xml:space="preserve"> כפי שבאה לידי ביטוי בישראל</w:t>
      </w:r>
      <w:r w:rsidR="00423BAC">
        <w:rPr>
          <w:rFonts w:cs="David" w:hint="cs"/>
          <w:sz w:val="28"/>
          <w:szCs w:val="28"/>
          <w:rtl/>
        </w:rPr>
        <w:t>. לשם כך, יעסוק תחילה הפרק בשאלה המהותית</w:t>
      </w:r>
      <w:r w:rsidR="00CD4EE5">
        <w:rPr>
          <w:rFonts w:cs="David" w:hint="cs"/>
          <w:sz w:val="28"/>
          <w:szCs w:val="28"/>
          <w:rtl/>
        </w:rPr>
        <w:t>:</w:t>
      </w:r>
      <w:r w:rsidR="00423BAC">
        <w:rPr>
          <w:rFonts w:cs="David" w:hint="cs"/>
          <w:sz w:val="28"/>
          <w:szCs w:val="28"/>
          <w:rtl/>
        </w:rPr>
        <w:t xml:space="preserve"> האם קיימת הצדקה להגבלת ביטויים גזעניים וביטויים שעלולים להוליך לאלימות</w:t>
      </w:r>
      <w:r w:rsidR="00CD4EE5">
        <w:rPr>
          <w:rFonts w:cs="David" w:hint="cs"/>
          <w:sz w:val="28"/>
          <w:szCs w:val="28"/>
          <w:rtl/>
        </w:rPr>
        <w:t>?</w:t>
      </w:r>
      <w:r w:rsidR="00B57842">
        <w:rPr>
          <w:rFonts w:cs="David" w:hint="cs"/>
          <w:sz w:val="28"/>
          <w:szCs w:val="28"/>
          <w:rtl/>
        </w:rPr>
        <w:t xml:space="preserve"> </w:t>
      </w:r>
      <w:r w:rsidR="009F5D76">
        <w:rPr>
          <w:rFonts w:cs="David" w:hint="cs"/>
          <w:sz w:val="28"/>
          <w:szCs w:val="28"/>
          <w:rtl/>
        </w:rPr>
        <w:t xml:space="preserve">הפרק </w:t>
      </w:r>
      <w:r w:rsidR="00CD4EE5">
        <w:rPr>
          <w:rFonts w:cs="David" w:hint="cs"/>
          <w:sz w:val="28"/>
          <w:szCs w:val="28"/>
          <w:rtl/>
        </w:rPr>
        <w:t xml:space="preserve">יבחן את </w:t>
      </w:r>
      <w:r w:rsidR="009F5D76">
        <w:rPr>
          <w:rFonts w:cs="David" w:hint="cs"/>
          <w:sz w:val="28"/>
          <w:szCs w:val="28"/>
          <w:rtl/>
        </w:rPr>
        <w:t xml:space="preserve">שאלת גבולות חופש הביטוי בעידן </w:t>
      </w:r>
      <w:r w:rsidR="009F5D76" w:rsidRPr="00614106">
        <w:rPr>
          <w:rFonts w:cs="David" w:hint="cs"/>
          <w:sz w:val="28"/>
          <w:szCs w:val="28"/>
          <w:rtl/>
        </w:rPr>
        <w:t>המרשתת</w:t>
      </w:r>
      <w:r w:rsidR="002A6D87" w:rsidRPr="00614106">
        <w:rPr>
          <w:rFonts w:cs="David" w:hint="cs"/>
          <w:sz w:val="28"/>
          <w:szCs w:val="28"/>
          <w:rtl/>
        </w:rPr>
        <w:t xml:space="preserve"> </w:t>
      </w:r>
      <w:r w:rsidR="007E232F" w:rsidRPr="00614106">
        <w:rPr>
          <w:rFonts w:cs="David" w:hint="cs"/>
          <w:sz w:val="28"/>
          <w:szCs w:val="28"/>
          <w:rtl/>
        </w:rPr>
        <w:t>ו</w:t>
      </w:r>
      <w:r w:rsidR="001F4E09" w:rsidRPr="00614106">
        <w:rPr>
          <w:rFonts w:cs="David" w:hint="cs"/>
          <w:sz w:val="28"/>
          <w:szCs w:val="28"/>
          <w:rtl/>
        </w:rPr>
        <w:t>בדרכי ההסדרה של</w:t>
      </w:r>
      <w:r w:rsidR="001F4E09">
        <w:rPr>
          <w:rFonts w:cs="David" w:hint="cs"/>
          <w:b/>
          <w:bCs/>
          <w:sz w:val="28"/>
          <w:szCs w:val="28"/>
          <w:rtl/>
        </w:rPr>
        <w:t xml:space="preserve"> </w:t>
      </w:r>
      <w:r w:rsidR="001F4E09">
        <w:rPr>
          <w:rFonts w:cs="David" w:hint="cs"/>
          <w:sz w:val="28"/>
          <w:szCs w:val="28"/>
          <w:rtl/>
        </w:rPr>
        <w:t>ה</w:t>
      </w:r>
      <w:r w:rsidR="007E232F" w:rsidRPr="00403803">
        <w:rPr>
          <w:rFonts w:cs="David" w:hint="cs"/>
          <w:sz w:val="28"/>
          <w:szCs w:val="28"/>
          <w:rtl/>
        </w:rPr>
        <w:t xml:space="preserve">היבטים </w:t>
      </w:r>
      <w:r w:rsidR="001F4E09">
        <w:rPr>
          <w:rFonts w:cs="David" w:hint="cs"/>
          <w:sz w:val="28"/>
          <w:szCs w:val="28"/>
          <w:rtl/>
        </w:rPr>
        <w:t>ה</w:t>
      </w:r>
      <w:r w:rsidR="007E232F" w:rsidRPr="00403803">
        <w:rPr>
          <w:rFonts w:cs="David" w:hint="cs"/>
          <w:sz w:val="28"/>
          <w:szCs w:val="28"/>
          <w:rtl/>
        </w:rPr>
        <w:t>שונים של המרשתת ושל פעילות</w:t>
      </w:r>
      <w:r w:rsidR="007E232F">
        <w:rPr>
          <w:rFonts w:cs="David" w:hint="cs"/>
          <w:sz w:val="28"/>
          <w:szCs w:val="28"/>
          <w:rtl/>
        </w:rPr>
        <w:t xml:space="preserve"> עבריינית במסגרתה, </w:t>
      </w:r>
      <w:r w:rsidR="007E232F" w:rsidRPr="00BA1A5B">
        <w:rPr>
          <w:rFonts w:cs="David" w:hint="cs"/>
          <w:b/>
          <w:bCs/>
          <w:sz w:val="28"/>
          <w:szCs w:val="28"/>
          <w:rtl/>
        </w:rPr>
        <w:t xml:space="preserve">בעיקר </w:t>
      </w:r>
      <w:r w:rsidR="007E232F">
        <w:rPr>
          <w:rFonts w:cs="David" w:hint="cs"/>
          <w:b/>
          <w:bCs/>
          <w:sz w:val="28"/>
          <w:szCs w:val="28"/>
          <w:rtl/>
        </w:rPr>
        <w:t>כ</w:t>
      </w:r>
      <w:r w:rsidR="00653D45">
        <w:rPr>
          <w:rFonts w:cs="David" w:hint="cs"/>
          <w:b/>
          <w:bCs/>
          <w:sz w:val="28"/>
          <w:szCs w:val="28"/>
          <w:rtl/>
        </w:rPr>
        <w:t xml:space="preserve">זו </w:t>
      </w:r>
      <w:r w:rsidR="007E232F">
        <w:rPr>
          <w:rFonts w:cs="David" w:hint="cs"/>
          <w:b/>
          <w:bCs/>
          <w:sz w:val="28"/>
          <w:szCs w:val="28"/>
          <w:rtl/>
        </w:rPr>
        <w:t xml:space="preserve">הנוגעת </w:t>
      </w:r>
      <w:r w:rsidR="007E232F" w:rsidRPr="00BA1A5B">
        <w:rPr>
          <w:rFonts w:cs="David" w:hint="cs"/>
          <w:b/>
          <w:bCs/>
          <w:sz w:val="28"/>
          <w:szCs w:val="28"/>
          <w:rtl/>
        </w:rPr>
        <w:t>ל</w:t>
      </w:r>
      <w:r w:rsidR="007E232F">
        <w:rPr>
          <w:rFonts w:cs="David" w:hint="cs"/>
          <w:b/>
          <w:bCs/>
          <w:sz w:val="28"/>
          <w:szCs w:val="28"/>
          <w:rtl/>
        </w:rPr>
        <w:t xml:space="preserve">שיח גזעני ומסית </w:t>
      </w:r>
      <w:r w:rsidR="007E232F" w:rsidRPr="00BA1A5B">
        <w:rPr>
          <w:rFonts w:cs="David" w:hint="cs"/>
          <w:b/>
          <w:bCs/>
          <w:sz w:val="28"/>
          <w:szCs w:val="28"/>
          <w:rtl/>
        </w:rPr>
        <w:t>ולאלימות</w:t>
      </w:r>
      <w:r w:rsidR="00C23AA6">
        <w:rPr>
          <w:rFonts w:cs="David" w:hint="cs"/>
          <w:sz w:val="28"/>
          <w:szCs w:val="28"/>
          <w:rtl/>
        </w:rPr>
        <w:t>. כמו כן, יעסוק הפרק ב</w:t>
      </w:r>
      <w:r w:rsidR="00162724">
        <w:rPr>
          <w:rFonts w:cs="David" w:hint="cs"/>
          <w:sz w:val="28"/>
          <w:szCs w:val="28"/>
          <w:rtl/>
        </w:rPr>
        <w:t>ע</w:t>
      </w:r>
      <w:r w:rsidR="001F4E09">
        <w:rPr>
          <w:rFonts w:cs="David" w:hint="cs"/>
          <w:sz w:val="28"/>
          <w:szCs w:val="28"/>
          <w:rtl/>
        </w:rPr>
        <w:t>י</w:t>
      </w:r>
      <w:r w:rsidR="00162724">
        <w:rPr>
          <w:rFonts w:cs="David" w:hint="cs"/>
          <w:sz w:val="28"/>
          <w:szCs w:val="28"/>
          <w:rtl/>
        </w:rPr>
        <w:t>צ</w:t>
      </w:r>
      <w:r w:rsidR="001F4E09">
        <w:rPr>
          <w:rFonts w:cs="David" w:hint="cs"/>
          <w:sz w:val="28"/>
          <w:szCs w:val="28"/>
          <w:rtl/>
        </w:rPr>
        <w:t>ו</w:t>
      </w:r>
      <w:r w:rsidR="00162724">
        <w:rPr>
          <w:rFonts w:cs="David" w:hint="cs"/>
          <w:sz w:val="28"/>
          <w:szCs w:val="28"/>
          <w:rtl/>
        </w:rPr>
        <w:t xml:space="preserve">ב מדיניות </w:t>
      </w:r>
      <w:r w:rsidR="00C23AA6">
        <w:rPr>
          <w:rFonts w:cs="David" w:hint="cs"/>
          <w:sz w:val="28"/>
          <w:szCs w:val="28"/>
          <w:rtl/>
        </w:rPr>
        <w:t xml:space="preserve">מידע </w:t>
      </w:r>
      <w:r w:rsidR="00162724">
        <w:rPr>
          <w:rFonts w:cs="David" w:hint="cs"/>
          <w:sz w:val="28"/>
          <w:szCs w:val="28"/>
          <w:rtl/>
        </w:rPr>
        <w:t>בסביבה דיגיטלית</w:t>
      </w:r>
      <w:r w:rsidR="00C23AA6">
        <w:rPr>
          <w:rFonts w:cs="David" w:hint="cs"/>
          <w:sz w:val="28"/>
          <w:szCs w:val="28"/>
          <w:rtl/>
        </w:rPr>
        <w:t>, ה</w:t>
      </w:r>
      <w:r w:rsidR="00162724">
        <w:rPr>
          <w:rFonts w:cs="David" w:hint="cs"/>
          <w:sz w:val="28"/>
          <w:szCs w:val="28"/>
          <w:rtl/>
        </w:rPr>
        <w:t>ערה ליחס המורכב בין משפט, טכנולוגיה ו</w:t>
      </w:r>
      <w:r w:rsidR="00EF6605">
        <w:rPr>
          <w:rFonts w:cs="David" w:hint="cs"/>
          <w:sz w:val="28"/>
          <w:szCs w:val="28"/>
          <w:rtl/>
        </w:rPr>
        <w:t>ערכים חברתיים</w:t>
      </w:r>
      <w:r w:rsidR="00162724">
        <w:rPr>
          <w:rFonts w:cs="David" w:hint="cs"/>
          <w:sz w:val="28"/>
          <w:szCs w:val="28"/>
          <w:rtl/>
        </w:rPr>
        <w:t>.</w:t>
      </w:r>
    </w:p>
    <w:p w:rsidR="00C80269" w:rsidRPr="005670ED" w:rsidRDefault="00C80269" w:rsidP="00C80269">
      <w:pPr>
        <w:spacing w:line="360" w:lineRule="auto"/>
        <w:jc w:val="both"/>
        <w:rPr>
          <w:rFonts w:cs="David"/>
          <w:b/>
          <w:bCs/>
          <w:sz w:val="32"/>
          <w:szCs w:val="32"/>
          <w:rtl/>
        </w:rPr>
      </w:pPr>
      <w:r w:rsidRPr="005670ED">
        <w:rPr>
          <w:rFonts w:cs="David" w:hint="cs"/>
          <w:b/>
          <w:bCs/>
          <w:sz w:val="32"/>
          <w:szCs w:val="32"/>
          <w:rtl/>
        </w:rPr>
        <w:t>א. ההצדקה להגבלה של ביטויים גזעניים</w:t>
      </w:r>
      <w:r>
        <w:rPr>
          <w:rFonts w:cs="David" w:hint="cs"/>
          <w:b/>
          <w:bCs/>
          <w:sz w:val="32"/>
          <w:szCs w:val="32"/>
          <w:rtl/>
        </w:rPr>
        <w:t xml:space="preserve"> </w:t>
      </w:r>
    </w:p>
    <w:p w:rsidR="00C80269" w:rsidRPr="00A85AD4" w:rsidRDefault="00C80269" w:rsidP="00EB7B2D">
      <w:pPr>
        <w:spacing w:line="360" w:lineRule="auto"/>
        <w:jc w:val="both"/>
        <w:rPr>
          <w:rFonts w:cs="David"/>
          <w:sz w:val="28"/>
          <w:szCs w:val="28"/>
          <w:rtl/>
        </w:rPr>
      </w:pPr>
      <w:r>
        <w:rPr>
          <w:rFonts w:cs="David" w:hint="cs"/>
          <w:sz w:val="28"/>
          <w:szCs w:val="28"/>
          <w:rtl/>
        </w:rPr>
        <w:t>לטענתו של שגב,</w:t>
      </w:r>
      <w:r>
        <w:rPr>
          <w:rStyle w:val="a5"/>
          <w:rFonts w:cs="David"/>
          <w:sz w:val="28"/>
          <w:szCs w:val="28"/>
          <w:rtl/>
        </w:rPr>
        <w:footnoteReference w:id="159"/>
      </w:r>
      <w:r>
        <w:rPr>
          <w:rFonts w:cs="David" w:hint="cs"/>
          <w:sz w:val="28"/>
          <w:szCs w:val="28"/>
          <w:rtl/>
        </w:rPr>
        <w:t xml:space="preserve"> יש לביטויים גזעניים מספר פנים. כמו ביטויים שליליים אחרים, לעיתים הם קוראים לאלימות או עלולים להוליך לאלימות ולעיתים הם פוגעים בשמו הטוב של אדם. לביטויים אלו נודע ייחוד במספר מובנים: ביטויי גזענות בדרך כלל </w:t>
      </w:r>
      <w:r w:rsidRPr="003C725D">
        <w:rPr>
          <w:rFonts w:cs="David" w:hint="cs"/>
          <w:b/>
          <w:bCs/>
          <w:sz w:val="28"/>
          <w:szCs w:val="28"/>
          <w:rtl/>
        </w:rPr>
        <w:t>יוצרים סכנה כללית יותר מביטויים אחרים</w:t>
      </w:r>
      <w:r>
        <w:rPr>
          <w:rFonts w:cs="David" w:hint="cs"/>
          <w:sz w:val="28"/>
          <w:szCs w:val="28"/>
          <w:rtl/>
        </w:rPr>
        <w:t xml:space="preserve"> שקוראים או עלולים להוליך לאלימות. קרי, הסכנה מביטויים אלו אינה נקודתית מול אדם מסוים בנסיבות מסוימות, </w:t>
      </w:r>
      <w:r w:rsidRPr="00480B62">
        <w:rPr>
          <w:rFonts w:cs="David" w:hint="cs"/>
          <w:sz w:val="28"/>
          <w:szCs w:val="28"/>
          <w:rtl/>
        </w:rPr>
        <w:t>אלא סכנה של פגיעה בקבוצת אנשים בכל זמן ובכל מקום</w:t>
      </w:r>
      <w:r>
        <w:rPr>
          <w:rFonts w:cs="David" w:hint="cs"/>
          <w:sz w:val="28"/>
          <w:szCs w:val="28"/>
          <w:rtl/>
        </w:rPr>
        <w:t xml:space="preserve">. </w:t>
      </w:r>
      <w:r w:rsidRPr="00480B62">
        <w:rPr>
          <w:rFonts w:cs="David" w:hint="cs"/>
          <w:b/>
          <w:bCs/>
          <w:sz w:val="28"/>
          <w:szCs w:val="28"/>
          <w:rtl/>
        </w:rPr>
        <w:t>לעניין עבודה זו - פגיעה בערבי באשר הוא ערבי.</w:t>
      </w:r>
      <w:r>
        <w:rPr>
          <w:rFonts w:cs="David" w:hint="cs"/>
          <w:sz w:val="28"/>
          <w:szCs w:val="28"/>
          <w:rtl/>
        </w:rPr>
        <w:t xml:space="preserve"> בנוסף, ביטויים גזעניים, שיש בהם לשון הרע, שונים מביטויים 'רגילים' שיש בהם לשון הרע בשני מובנים מרכזיים. </w:t>
      </w:r>
      <w:r w:rsidRPr="00A85AD4">
        <w:rPr>
          <w:rFonts w:cs="David" w:hint="cs"/>
          <w:sz w:val="28"/>
          <w:szCs w:val="28"/>
          <w:rtl/>
        </w:rPr>
        <w:t>האחד, ביטויים גזעניים יוצרים סכנה מיוחדת, בכל הנוגע ליחס הלא ראוי כלפי</w:t>
      </w:r>
      <w:r>
        <w:rPr>
          <w:rFonts w:cs="David" w:hint="cs"/>
          <w:sz w:val="28"/>
          <w:szCs w:val="28"/>
          <w:rtl/>
        </w:rPr>
        <w:t xml:space="preserve"> חברי הקבוצה אליהם מכוונים הביטויים</w:t>
      </w:r>
      <w:r w:rsidRPr="00A85AD4">
        <w:rPr>
          <w:rFonts w:cs="David" w:hint="cs"/>
          <w:sz w:val="28"/>
          <w:szCs w:val="28"/>
          <w:rtl/>
        </w:rPr>
        <w:t xml:space="preserve">, שעלול להיות חמור הרבה יותר מהיחס השלילי שנובע מהוצאת לשון הרע על היחיד (בשל כך ביטויים גזעניים מכונים  לעיתים </w:t>
      </w:r>
      <w:r w:rsidRPr="00A85AD4">
        <w:rPr>
          <w:rFonts w:cs="David"/>
          <w:sz w:val="28"/>
          <w:szCs w:val="28"/>
        </w:rPr>
        <w:t>hate speech</w:t>
      </w:r>
      <w:r w:rsidRPr="00A85AD4">
        <w:rPr>
          <w:rFonts w:cs="David" w:hint="cs"/>
          <w:sz w:val="28"/>
          <w:szCs w:val="28"/>
          <w:rtl/>
        </w:rPr>
        <w:t>). שנית, השיקולים הקיימים לעיתים בזכות ביטויים שליליים הפוגעים בשמו הטוב של היחיד, אינם חלים לרוב על ביטויים שליליים מכלילים המכוונים כלפי קבוצה של אנשים, בייחוד כשמדובר במיעוט.</w:t>
      </w:r>
    </w:p>
    <w:p w:rsidR="00C80269" w:rsidRPr="00875CCB" w:rsidRDefault="00C80269" w:rsidP="00C80269">
      <w:pPr>
        <w:spacing w:line="360" w:lineRule="auto"/>
        <w:jc w:val="both"/>
        <w:rPr>
          <w:rFonts w:cs="David"/>
          <w:b/>
          <w:bCs/>
          <w:sz w:val="28"/>
          <w:szCs w:val="28"/>
          <w:rtl/>
        </w:rPr>
      </w:pPr>
      <w:r w:rsidRPr="00875CCB">
        <w:rPr>
          <w:rFonts w:cs="David" w:hint="cs"/>
          <w:b/>
          <w:bCs/>
          <w:sz w:val="28"/>
          <w:szCs w:val="28"/>
          <w:rtl/>
        </w:rPr>
        <w:t xml:space="preserve">א.1 שיקולים נגד </w:t>
      </w:r>
      <w:r>
        <w:rPr>
          <w:rFonts w:cs="David" w:hint="cs"/>
          <w:b/>
          <w:bCs/>
          <w:sz w:val="28"/>
          <w:szCs w:val="28"/>
          <w:rtl/>
        </w:rPr>
        <w:t xml:space="preserve">הבעת </w:t>
      </w:r>
      <w:r w:rsidRPr="00875CCB">
        <w:rPr>
          <w:rFonts w:cs="David" w:hint="cs"/>
          <w:b/>
          <w:bCs/>
          <w:sz w:val="28"/>
          <w:szCs w:val="28"/>
          <w:rtl/>
        </w:rPr>
        <w:t>ביטויים גזעניים</w:t>
      </w:r>
      <w:r>
        <w:rPr>
          <w:rStyle w:val="a5"/>
          <w:rFonts w:cs="David"/>
          <w:b/>
          <w:bCs/>
          <w:sz w:val="28"/>
          <w:szCs w:val="28"/>
          <w:rtl/>
        </w:rPr>
        <w:footnoteReference w:id="160"/>
      </w:r>
    </w:p>
    <w:p w:rsidR="00C80269" w:rsidRDefault="00C80269" w:rsidP="00C80269">
      <w:pPr>
        <w:spacing w:line="360" w:lineRule="auto"/>
        <w:jc w:val="both"/>
        <w:rPr>
          <w:rFonts w:cs="David"/>
          <w:sz w:val="28"/>
          <w:szCs w:val="28"/>
          <w:rtl/>
        </w:rPr>
      </w:pPr>
      <w:r>
        <w:rPr>
          <w:rFonts w:cs="David" w:hint="cs"/>
          <w:sz w:val="28"/>
          <w:szCs w:val="28"/>
          <w:rtl/>
        </w:rPr>
        <w:t xml:space="preserve">נקודת המוצא הינה, כי גזענות היא עמדה פסולה ושפעולות גזעניות יוצרות סכנה חמורה של פגיעות אלימות באנשים השייכים לקבוצות שונות, בייחוד מיעוטים. לכן, </w:t>
      </w:r>
      <w:r>
        <w:rPr>
          <w:rFonts w:cs="David" w:hint="cs"/>
          <w:sz w:val="28"/>
          <w:szCs w:val="28"/>
          <w:rtl/>
        </w:rPr>
        <w:lastRenderedPageBreak/>
        <w:t>ישנה שלילה חזקה של גזענות. שיקול אחד נגד ביטויים גזעניים הוא 'שיקול הדחייה' - הפגנת דחייה של ביטויים שכאלו ולו גם כאקט סמלי.</w:t>
      </w:r>
    </w:p>
    <w:p w:rsidR="00C80269" w:rsidRDefault="00C80269" w:rsidP="00C80269">
      <w:pPr>
        <w:spacing w:line="360" w:lineRule="auto"/>
        <w:jc w:val="both"/>
        <w:rPr>
          <w:rFonts w:cs="David"/>
          <w:sz w:val="28"/>
          <w:szCs w:val="28"/>
          <w:rtl/>
        </w:rPr>
      </w:pPr>
      <w:r>
        <w:rPr>
          <w:rFonts w:cs="David" w:hint="cs"/>
          <w:sz w:val="28"/>
          <w:szCs w:val="28"/>
          <w:rtl/>
        </w:rPr>
        <w:t>השיקול השני עניינו פגיעה ברגשותיהם של אנשים, המשתייכים לקבוצה שאליה מכוונים הדברים, ובעיקר פגיעה בכבודם העצמי. לשיקול זה נודעת משמעות בייחוד כשמדובר בקבוצות מיעוט.</w:t>
      </w:r>
    </w:p>
    <w:p w:rsidR="00C80269" w:rsidRDefault="00C80269" w:rsidP="00C80269">
      <w:pPr>
        <w:spacing w:line="360" w:lineRule="auto"/>
        <w:jc w:val="both"/>
        <w:rPr>
          <w:rFonts w:cs="David"/>
          <w:sz w:val="28"/>
          <w:szCs w:val="28"/>
          <w:rtl/>
        </w:rPr>
      </w:pPr>
      <w:r>
        <w:rPr>
          <w:rFonts w:cs="David" w:hint="cs"/>
          <w:sz w:val="28"/>
          <w:szCs w:val="28"/>
          <w:rtl/>
        </w:rPr>
        <w:t>שיקול נוסף, שלישי, אולי המרכזי, הינו כי ביטויים גזעניים יוצרים סכנה של חיזוק עמדות קיצוניות אצל אחרים. בכך, ישנה סכנת השפעה שלילית על אנשים הנחשפים לביטויים אלו ושעלולים - בצורה הקיצונית - לפעול באלימות  כנגד גופם או רכושם של אלו שהביטויים מופנים נגדם. כחומרתה של הסכנה, כך גם משקלו של השיקול. ההיסטוריה הוכיחה כי סכנה זו עלולה להיות חמורה. יש להוסיף לכך, כי דווקא הצטברותם של הביטויים הגזעניים, היא אשר מוליכה ליצירה של עמדות קיצוניות וכאשר המדובר בביטויים המתרחשים ברשתות החברתיות, התמונה רק מקצינה, בייחוד לאור אפקט 'בועת הפילטר', עליו הורחב לעיל.</w:t>
      </w:r>
    </w:p>
    <w:p w:rsidR="00C80269" w:rsidRPr="001D4092" w:rsidRDefault="00C80269" w:rsidP="00C80269">
      <w:pPr>
        <w:spacing w:line="360" w:lineRule="auto"/>
        <w:jc w:val="both"/>
        <w:rPr>
          <w:rFonts w:cs="David"/>
          <w:b/>
          <w:bCs/>
          <w:sz w:val="28"/>
          <w:szCs w:val="28"/>
          <w:rtl/>
        </w:rPr>
      </w:pPr>
      <w:r w:rsidRPr="001D4092">
        <w:rPr>
          <w:rFonts w:cs="David" w:hint="cs"/>
          <w:b/>
          <w:bCs/>
          <w:sz w:val="28"/>
          <w:szCs w:val="28"/>
          <w:rtl/>
        </w:rPr>
        <w:t xml:space="preserve">א.2 שיקולים בעד </w:t>
      </w:r>
      <w:r>
        <w:rPr>
          <w:rFonts w:cs="David" w:hint="cs"/>
          <w:b/>
          <w:bCs/>
          <w:sz w:val="28"/>
          <w:szCs w:val="28"/>
          <w:rtl/>
        </w:rPr>
        <w:t xml:space="preserve">הבעת </w:t>
      </w:r>
      <w:r w:rsidRPr="001D4092">
        <w:rPr>
          <w:rFonts w:cs="David" w:hint="cs"/>
          <w:b/>
          <w:bCs/>
          <w:sz w:val="28"/>
          <w:szCs w:val="28"/>
          <w:rtl/>
        </w:rPr>
        <w:t>ביטויים גזעניים</w:t>
      </w:r>
      <w:r>
        <w:rPr>
          <w:rStyle w:val="a5"/>
          <w:rFonts w:cs="David"/>
          <w:b/>
          <w:bCs/>
          <w:sz w:val="28"/>
          <w:szCs w:val="28"/>
          <w:rtl/>
        </w:rPr>
        <w:footnoteReference w:id="161"/>
      </w:r>
    </w:p>
    <w:p w:rsidR="00C80269" w:rsidRDefault="00856A06" w:rsidP="00FD7752">
      <w:pPr>
        <w:spacing w:line="360" w:lineRule="auto"/>
        <w:jc w:val="both"/>
        <w:rPr>
          <w:rFonts w:cs="David"/>
          <w:sz w:val="28"/>
          <w:szCs w:val="28"/>
          <w:rtl/>
        </w:rPr>
      </w:pPr>
      <w:r>
        <w:rPr>
          <w:rFonts w:cs="David" w:hint="cs"/>
          <w:sz w:val="28"/>
          <w:szCs w:val="28"/>
          <w:rtl/>
        </w:rPr>
        <w:t xml:space="preserve">ישנם גם שיקולים בעד </w:t>
      </w:r>
      <w:r w:rsidR="00FD7752">
        <w:rPr>
          <w:rFonts w:cs="David" w:hint="cs"/>
          <w:sz w:val="28"/>
          <w:szCs w:val="28"/>
          <w:rtl/>
        </w:rPr>
        <w:t>הבעת</w:t>
      </w:r>
      <w:r>
        <w:rPr>
          <w:rFonts w:cs="David" w:hint="cs"/>
          <w:sz w:val="28"/>
          <w:szCs w:val="28"/>
          <w:rtl/>
        </w:rPr>
        <w:t xml:space="preserve"> ביטויים גזעניים. </w:t>
      </w:r>
      <w:r w:rsidR="00C80269">
        <w:rPr>
          <w:rFonts w:cs="David" w:hint="cs"/>
          <w:sz w:val="28"/>
          <w:szCs w:val="28"/>
          <w:rtl/>
        </w:rPr>
        <w:t xml:space="preserve">שיקול כללי בזכות חופש הביטוי </w:t>
      </w:r>
      <w:r w:rsidR="00865B91">
        <w:rPr>
          <w:rFonts w:cs="David" w:hint="cs"/>
          <w:sz w:val="28"/>
          <w:szCs w:val="28"/>
          <w:rtl/>
        </w:rPr>
        <w:t>הוא הטיעון בדבר הקשר בין חופש הביטוי ל</w:t>
      </w:r>
      <w:r w:rsidR="00C80269">
        <w:rPr>
          <w:rFonts w:cs="David" w:hint="cs"/>
          <w:sz w:val="28"/>
          <w:szCs w:val="28"/>
          <w:rtl/>
        </w:rPr>
        <w:t>הכרת האמת. האפשרות לגלות אמת לא מוכרת הינה בסיסית לזכות חופש הביטוי, גם אם מדובר בביטויים לא מקובלים. דווקא אז עולה משקלם והצורך הציבורי להשמיעם. טיעון האמת הינו בעל משמעות ומשקל והוא עשוי לחול על סוגים מסוימים של ביטויים בעלי אופי גזעני. לדוגמה, כאשר הביטויים, אף אם הם גזעניים לכאורה, בוחנים באופן רציני את אפשרות קיומם של הבדלים בין קבוצות אוכלוסייה שונות, גם אם על בסיס גזע או מין.</w:t>
      </w:r>
      <w:r w:rsidR="00C80269">
        <w:rPr>
          <w:rStyle w:val="a5"/>
          <w:rFonts w:cs="David"/>
          <w:sz w:val="28"/>
          <w:szCs w:val="28"/>
          <w:rtl/>
        </w:rPr>
        <w:footnoteReference w:id="162"/>
      </w:r>
      <w:r w:rsidR="00C80269">
        <w:rPr>
          <w:rFonts w:cs="David" w:hint="cs"/>
          <w:sz w:val="28"/>
          <w:szCs w:val="28"/>
          <w:rtl/>
        </w:rPr>
        <w:t xml:space="preserve"> </w:t>
      </w:r>
    </w:p>
    <w:p w:rsidR="00C80269" w:rsidRDefault="00C80269" w:rsidP="00C80269">
      <w:pPr>
        <w:spacing w:line="360" w:lineRule="auto"/>
        <w:jc w:val="both"/>
        <w:rPr>
          <w:rFonts w:cs="David"/>
          <w:sz w:val="28"/>
          <w:szCs w:val="28"/>
          <w:rtl/>
        </w:rPr>
      </w:pPr>
      <w:r>
        <w:rPr>
          <w:rFonts w:cs="David" w:hint="cs"/>
          <w:sz w:val="28"/>
          <w:szCs w:val="28"/>
          <w:rtl/>
        </w:rPr>
        <w:t>שיקול נוסף בזכות ביטויים גזעניים נוגע גם הוא לחופש הביטוי באופן כללי ותרומתו למנגנון עריכת שינויים בהסדרים ציבוריים, בכך שהוא מושך תשומת לב לבעיות, להעלאת הצעות על הדרך, שראוי להתמודד עם בעיות אלו ויוצר דיון ציבורי.</w:t>
      </w:r>
      <w:r>
        <w:rPr>
          <w:rStyle w:val="a5"/>
          <w:rFonts w:cs="David"/>
          <w:sz w:val="28"/>
          <w:szCs w:val="28"/>
          <w:rtl/>
        </w:rPr>
        <w:footnoteReference w:id="163"/>
      </w:r>
      <w:r>
        <w:rPr>
          <w:rFonts w:cs="David" w:hint="cs"/>
          <w:sz w:val="28"/>
          <w:szCs w:val="28"/>
          <w:rtl/>
        </w:rPr>
        <w:t xml:space="preserve"> יש לומר, שיקול זה אינו חזק דיו, שכן ביטויים גזעניים גורמים לעיתים רבות דווקא לחוסר יציבות.</w:t>
      </w:r>
    </w:p>
    <w:p w:rsidR="00C80269" w:rsidRDefault="00C80269" w:rsidP="004E5D49">
      <w:pPr>
        <w:spacing w:line="360" w:lineRule="auto"/>
        <w:jc w:val="both"/>
        <w:rPr>
          <w:rFonts w:cs="David"/>
          <w:sz w:val="28"/>
          <w:szCs w:val="28"/>
          <w:rtl/>
        </w:rPr>
      </w:pPr>
      <w:r>
        <w:rPr>
          <w:rFonts w:cs="David" w:hint="cs"/>
          <w:sz w:val="28"/>
          <w:szCs w:val="28"/>
          <w:rtl/>
        </w:rPr>
        <w:t xml:space="preserve">שיקולים נוספים, בעלי משקל רב מהשיקולים שהוצגו לעיל, נוגעים לעובדה שמתן במה לביטויים גזעניים, עשויה להצביע על תפיסות גזעניות אשר התמודדות מוקדמת </w:t>
      </w:r>
      <w:r>
        <w:rPr>
          <w:rFonts w:cs="David" w:hint="cs"/>
          <w:sz w:val="28"/>
          <w:szCs w:val="28"/>
          <w:rtl/>
        </w:rPr>
        <w:lastRenderedPageBreak/>
        <w:t>עמן תוכל למנוע תוצאות חמורות. שנית, ביטויים כאלו יכולים להיות תחליף לפעולות גזעניות מעשיות וחמורות. ישנן אמירות בקרב העוסקים בפרקטיקה של האכיפה כי השיח הגזעני והמסית ברשתות החברתיות גורם דווקא ל'פריקת יצרים' בעולם הוירטואלי וגורמת ל</w:t>
      </w:r>
      <w:r w:rsidR="004E5D49">
        <w:rPr>
          <w:rFonts w:cs="David" w:hint="cs"/>
          <w:sz w:val="28"/>
          <w:szCs w:val="28"/>
          <w:rtl/>
        </w:rPr>
        <w:t>רשת להיות זירת</w:t>
      </w:r>
      <w:r>
        <w:rPr>
          <w:rFonts w:cs="David" w:hint="cs"/>
          <w:sz w:val="28"/>
          <w:szCs w:val="28"/>
          <w:rtl/>
        </w:rPr>
        <w:t xml:space="preserve"> הפעולה </w:t>
      </w:r>
      <w:r w:rsidR="004E5D49">
        <w:rPr>
          <w:rFonts w:cs="David" w:hint="cs"/>
          <w:sz w:val="28"/>
          <w:szCs w:val="28"/>
          <w:rtl/>
        </w:rPr>
        <w:t xml:space="preserve">במקום </w:t>
      </w:r>
      <w:r>
        <w:rPr>
          <w:rFonts w:cs="David" w:hint="cs"/>
          <w:sz w:val="28"/>
          <w:szCs w:val="28"/>
          <w:rtl/>
        </w:rPr>
        <w:t>'העולם האמיתי'.</w:t>
      </w:r>
    </w:p>
    <w:p w:rsidR="001A1FB1" w:rsidRDefault="00C80269" w:rsidP="002D5587">
      <w:pPr>
        <w:spacing w:line="360" w:lineRule="auto"/>
        <w:jc w:val="both"/>
        <w:rPr>
          <w:rFonts w:cs="David"/>
          <w:b/>
          <w:bCs/>
          <w:sz w:val="32"/>
          <w:szCs w:val="32"/>
          <w:rtl/>
        </w:rPr>
      </w:pPr>
      <w:r>
        <w:rPr>
          <w:rFonts w:cs="David" w:hint="cs"/>
          <w:sz w:val="28"/>
          <w:szCs w:val="28"/>
          <w:rtl/>
        </w:rPr>
        <w:t xml:space="preserve">נראה </w:t>
      </w:r>
      <w:r w:rsidRPr="0074414C">
        <w:rPr>
          <w:rFonts w:cs="David" w:hint="cs"/>
          <w:b/>
          <w:bCs/>
          <w:sz w:val="28"/>
          <w:szCs w:val="28"/>
          <w:rtl/>
        </w:rPr>
        <w:t>שמשקלם של השיקולים נגד התרת ביטויים גזעניים</w:t>
      </w:r>
      <w:r>
        <w:rPr>
          <w:rFonts w:cs="David" w:hint="cs"/>
          <w:sz w:val="28"/>
          <w:szCs w:val="28"/>
          <w:rtl/>
        </w:rPr>
        <w:t>,</w:t>
      </w:r>
      <w:r w:rsidR="002D5587">
        <w:rPr>
          <w:rFonts w:cs="David" w:hint="cs"/>
          <w:b/>
          <w:bCs/>
          <w:sz w:val="28"/>
          <w:szCs w:val="28"/>
          <w:rtl/>
        </w:rPr>
        <w:t xml:space="preserve"> </w:t>
      </w:r>
      <w:r w:rsidR="002D5587" w:rsidRPr="002D5587">
        <w:rPr>
          <w:rFonts w:cs="David" w:hint="cs"/>
          <w:b/>
          <w:bCs/>
          <w:sz w:val="28"/>
          <w:szCs w:val="28"/>
          <w:rtl/>
        </w:rPr>
        <w:t>עולה על שיקולי המצדדים בהם</w:t>
      </w:r>
      <w:r w:rsidR="002D5587">
        <w:rPr>
          <w:rFonts w:cs="David" w:hint="cs"/>
          <w:b/>
          <w:bCs/>
          <w:sz w:val="28"/>
          <w:szCs w:val="28"/>
          <w:rtl/>
        </w:rPr>
        <w:t>,</w:t>
      </w:r>
      <w:r w:rsidRPr="002D5587">
        <w:rPr>
          <w:rFonts w:cs="David" w:hint="cs"/>
          <w:b/>
          <w:bCs/>
          <w:sz w:val="28"/>
          <w:szCs w:val="28"/>
          <w:rtl/>
        </w:rPr>
        <w:t xml:space="preserve"> </w:t>
      </w:r>
      <w:r>
        <w:rPr>
          <w:rFonts w:cs="David" w:hint="cs"/>
          <w:sz w:val="28"/>
          <w:szCs w:val="28"/>
          <w:rtl/>
        </w:rPr>
        <w:t>למרות ההשלכות השליליות האפשריות של המגבלה כאמור.</w:t>
      </w:r>
      <w:r w:rsidR="00B07AF1">
        <w:rPr>
          <w:rFonts w:cs="David" w:hint="cs"/>
          <w:sz w:val="28"/>
          <w:szCs w:val="28"/>
          <w:rtl/>
        </w:rPr>
        <w:t xml:space="preserve"> </w:t>
      </w:r>
      <w:r>
        <w:rPr>
          <w:rFonts w:cs="David" w:hint="cs"/>
          <w:sz w:val="28"/>
          <w:szCs w:val="28"/>
          <w:rtl/>
        </w:rPr>
        <w:t xml:space="preserve">ערכם של ביטויים גזעניים קטן, בדרך כלל, במידה רבה מהערך של ביטויים אחרים, ולכן </w:t>
      </w:r>
      <w:r w:rsidRPr="0074414C">
        <w:rPr>
          <w:rFonts w:cs="David" w:hint="cs"/>
          <w:b/>
          <w:bCs/>
          <w:sz w:val="28"/>
          <w:szCs w:val="28"/>
          <w:rtl/>
        </w:rPr>
        <w:t>ישנה הצדקה למגבלות על ביטויים גזעניים בכלים משפטיים ולבר-משפטיים.</w:t>
      </w:r>
    </w:p>
    <w:p w:rsidR="00C80269" w:rsidRPr="00145CFE" w:rsidRDefault="00C80269" w:rsidP="00C80269">
      <w:pPr>
        <w:spacing w:line="360" w:lineRule="auto"/>
        <w:jc w:val="both"/>
        <w:rPr>
          <w:rFonts w:cs="David"/>
          <w:b/>
          <w:bCs/>
          <w:sz w:val="32"/>
          <w:szCs w:val="32"/>
          <w:rtl/>
        </w:rPr>
      </w:pPr>
      <w:r w:rsidRPr="00145CFE">
        <w:rPr>
          <w:rFonts w:cs="David" w:hint="cs"/>
          <w:b/>
          <w:bCs/>
          <w:sz w:val="32"/>
          <w:szCs w:val="32"/>
          <w:rtl/>
        </w:rPr>
        <w:t>ב. ההצדקה להגבלה על ביטויים העלולים להוליך לאלימות</w:t>
      </w:r>
    </w:p>
    <w:p w:rsidR="00C80269" w:rsidRPr="002B59CF" w:rsidRDefault="00C80269" w:rsidP="00C80269">
      <w:pPr>
        <w:spacing w:line="360" w:lineRule="auto"/>
        <w:jc w:val="both"/>
        <w:rPr>
          <w:rFonts w:cs="David"/>
          <w:sz w:val="28"/>
          <w:szCs w:val="28"/>
          <w:rtl/>
        </w:rPr>
      </w:pPr>
      <w:r w:rsidRPr="002B59CF">
        <w:rPr>
          <w:rFonts w:cs="David" w:hint="cs"/>
          <w:sz w:val="28"/>
          <w:szCs w:val="28"/>
          <w:rtl/>
        </w:rPr>
        <w:t xml:space="preserve">סוג חשוב של שיקולים נגד ביטויים </w:t>
      </w:r>
      <w:r>
        <w:rPr>
          <w:rFonts w:cs="David" w:hint="cs"/>
          <w:sz w:val="28"/>
          <w:szCs w:val="28"/>
          <w:rtl/>
        </w:rPr>
        <w:t xml:space="preserve">שעלולים להוליך לאלימות </w:t>
      </w:r>
      <w:r w:rsidRPr="002B59CF">
        <w:rPr>
          <w:rFonts w:cs="David" w:hint="cs"/>
          <w:sz w:val="28"/>
          <w:szCs w:val="28"/>
          <w:rtl/>
        </w:rPr>
        <w:t xml:space="preserve">מבוסס על הסכנה שהם </w:t>
      </w:r>
      <w:r>
        <w:rPr>
          <w:rFonts w:cs="David" w:hint="cs"/>
          <w:sz w:val="28"/>
          <w:szCs w:val="28"/>
          <w:rtl/>
        </w:rPr>
        <w:t xml:space="preserve">יניעו </w:t>
      </w:r>
      <w:r w:rsidRPr="002B59CF">
        <w:rPr>
          <w:rFonts w:cs="David" w:hint="cs"/>
          <w:sz w:val="28"/>
          <w:szCs w:val="28"/>
          <w:rtl/>
        </w:rPr>
        <w:t xml:space="preserve">אנשים לבצע פעולות לא מוצדקות, אשר עלולות לגרום לפגיעה פיזית באינטרסים בסיסיים של אנשים אחרים, כגון החיים או שלמות הגוף. </w:t>
      </w:r>
    </w:p>
    <w:p w:rsidR="00C80269" w:rsidRPr="002B59CF" w:rsidRDefault="00C80269" w:rsidP="00C80269">
      <w:pPr>
        <w:spacing w:line="360" w:lineRule="auto"/>
        <w:jc w:val="both"/>
        <w:rPr>
          <w:rFonts w:cs="David"/>
          <w:sz w:val="28"/>
          <w:szCs w:val="28"/>
          <w:rtl/>
        </w:rPr>
      </w:pPr>
      <w:r w:rsidRPr="002B59CF">
        <w:rPr>
          <w:rFonts w:cs="David" w:hint="cs"/>
          <w:sz w:val="28"/>
          <w:szCs w:val="28"/>
          <w:rtl/>
        </w:rPr>
        <w:t>ייחודם של ביטויים לעומת פעולות אחרות, הינו ש</w:t>
      </w:r>
      <w:r>
        <w:rPr>
          <w:rFonts w:cs="David" w:hint="cs"/>
          <w:sz w:val="28"/>
          <w:szCs w:val="28"/>
          <w:rtl/>
        </w:rPr>
        <w:t>כ</w:t>
      </w:r>
      <w:r w:rsidRPr="002B59CF">
        <w:rPr>
          <w:rFonts w:cs="David" w:hint="cs"/>
          <w:sz w:val="28"/>
          <w:szCs w:val="28"/>
          <w:rtl/>
        </w:rPr>
        <w:t xml:space="preserve">כלל אינם גורמים </w:t>
      </w:r>
      <w:r>
        <w:rPr>
          <w:rFonts w:cs="David" w:hint="cs"/>
          <w:sz w:val="28"/>
          <w:szCs w:val="28"/>
          <w:rtl/>
        </w:rPr>
        <w:t>ל</w:t>
      </w:r>
      <w:r w:rsidRPr="002B59CF">
        <w:rPr>
          <w:rFonts w:cs="David" w:hint="cs"/>
          <w:sz w:val="28"/>
          <w:szCs w:val="28"/>
          <w:rtl/>
        </w:rPr>
        <w:t xml:space="preserve">נזק פיזי ישיר, אך הם עלולים לגרום </w:t>
      </w:r>
      <w:r>
        <w:rPr>
          <w:rFonts w:cs="David" w:hint="cs"/>
          <w:sz w:val="28"/>
          <w:szCs w:val="28"/>
          <w:rtl/>
        </w:rPr>
        <w:t>ל</w:t>
      </w:r>
      <w:r w:rsidRPr="002B59CF">
        <w:rPr>
          <w:rFonts w:cs="David" w:hint="cs"/>
          <w:sz w:val="28"/>
          <w:szCs w:val="28"/>
          <w:rtl/>
        </w:rPr>
        <w:t>נזק פיזי עקיף, על ידי אמירת דברים שיגרמו לאנשים אחרים לגרום נזק פיזי.</w:t>
      </w:r>
      <w:r w:rsidR="00480B62">
        <w:rPr>
          <w:rStyle w:val="a5"/>
          <w:rFonts w:cs="David"/>
          <w:sz w:val="28"/>
          <w:szCs w:val="28"/>
          <w:rtl/>
        </w:rPr>
        <w:footnoteReference w:id="164"/>
      </w:r>
    </w:p>
    <w:p w:rsidR="00C80269" w:rsidRPr="002B59CF" w:rsidRDefault="00C80269" w:rsidP="00C80269">
      <w:pPr>
        <w:spacing w:line="360" w:lineRule="auto"/>
        <w:jc w:val="both"/>
        <w:rPr>
          <w:rFonts w:cs="David"/>
          <w:sz w:val="28"/>
          <w:szCs w:val="28"/>
          <w:rtl/>
        </w:rPr>
      </w:pPr>
      <w:r w:rsidRPr="002B59CF">
        <w:rPr>
          <w:rFonts w:cs="David" w:hint="cs"/>
          <w:sz w:val="28"/>
          <w:szCs w:val="28"/>
          <w:rtl/>
        </w:rPr>
        <w:t xml:space="preserve">כדי להגן משפטית על אותם אינטרסים בסיסיים קיים </w:t>
      </w:r>
      <w:r w:rsidRPr="00D76449">
        <w:rPr>
          <w:rFonts w:cs="David" w:hint="cs"/>
          <w:b/>
          <w:bCs/>
          <w:sz w:val="28"/>
          <w:szCs w:val="28"/>
          <w:rtl/>
        </w:rPr>
        <w:t>הרובד הראשון</w:t>
      </w:r>
      <w:r w:rsidRPr="002B59CF">
        <w:rPr>
          <w:rFonts w:cs="David" w:hint="cs"/>
          <w:sz w:val="28"/>
          <w:szCs w:val="28"/>
          <w:rtl/>
        </w:rPr>
        <w:t xml:space="preserve">, אשר אוסר על פעולות העלולות לפגוע </w:t>
      </w:r>
      <w:r>
        <w:rPr>
          <w:rFonts w:cs="David" w:hint="cs"/>
          <w:sz w:val="28"/>
          <w:szCs w:val="28"/>
          <w:rtl/>
        </w:rPr>
        <w:t xml:space="preserve">בהם </w:t>
      </w:r>
      <w:r w:rsidRPr="002B59CF">
        <w:rPr>
          <w:rFonts w:cs="David" w:hint="cs"/>
          <w:sz w:val="28"/>
          <w:szCs w:val="28"/>
          <w:rtl/>
        </w:rPr>
        <w:t>ישירות</w:t>
      </w:r>
      <w:r>
        <w:rPr>
          <w:rFonts w:cs="David" w:hint="cs"/>
          <w:sz w:val="28"/>
          <w:szCs w:val="28"/>
          <w:rtl/>
        </w:rPr>
        <w:t>.</w:t>
      </w:r>
      <w:r w:rsidRPr="002B59CF">
        <w:rPr>
          <w:rFonts w:cs="David" w:hint="cs"/>
          <w:sz w:val="28"/>
          <w:szCs w:val="28"/>
          <w:rtl/>
        </w:rPr>
        <w:t xml:space="preserve"> כגון</w:t>
      </w:r>
      <w:r>
        <w:rPr>
          <w:rFonts w:cs="David" w:hint="cs"/>
          <w:sz w:val="28"/>
          <w:szCs w:val="28"/>
          <w:rtl/>
        </w:rPr>
        <w:t>,</w:t>
      </w:r>
      <w:r w:rsidRPr="002B59CF">
        <w:rPr>
          <w:rFonts w:cs="David" w:hint="cs"/>
          <w:sz w:val="28"/>
          <w:szCs w:val="28"/>
          <w:rtl/>
        </w:rPr>
        <w:t xml:space="preserve"> איסורים על רצח וגרימת חבלה גופנית. </w:t>
      </w:r>
      <w:r w:rsidRPr="00D76449">
        <w:rPr>
          <w:rFonts w:cs="David" w:hint="cs"/>
          <w:b/>
          <w:bCs/>
          <w:sz w:val="28"/>
          <w:szCs w:val="28"/>
          <w:rtl/>
        </w:rPr>
        <w:t>רובד הגנה נוסף</w:t>
      </w:r>
      <w:r w:rsidRPr="002B59CF">
        <w:rPr>
          <w:rFonts w:cs="David" w:hint="cs"/>
          <w:sz w:val="28"/>
          <w:szCs w:val="28"/>
          <w:rtl/>
        </w:rPr>
        <w:t>, הוא איסורים על ביטויים העלולים להוליך אנשים בעקיפין לבצע פעולות הפוגעות ישירות באינטרסים אלו.</w:t>
      </w:r>
    </w:p>
    <w:p w:rsidR="00C80269" w:rsidRDefault="00C80269" w:rsidP="00940EC9">
      <w:pPr>
        <w:spacing w:line="360" w:lineRule="auto"/>
        <w:jc w:val="both"/>
        <w:rPr>
          <w:rFonts w:cs="David"/>
          <w:sz w:val="28"/>
          <w:szCs w:val="28"/>
          <w:rtl/>
        </w:rPr>
      </w:pPr>
      <w:r w:rsidRPr="002B59CF">
        <w:rPr>
          <w:rFonts w:cs="David" w:hint="cs"/>
          <w:sz w:val="28"/>
          <w:szCs w:val="28"/>
          <w:rtl/>
        </w:rPr>
        <w:t xml:space="preserve">התשובה לשאלה </w:t>
      </w:r>
      <w:r>
        <w:rPr>
          <w:rFonts w:cs="David" w:hint="cs"/>
          <w:sz w:val="28"/>
          <w:szCs w:val="28"/>
          <w:rtl/>
        </w:rPr>
        <w:t xml:space="preserve">- </w:t>
      </w:r>
      <w:r w:rsidRPr="002B59CF">
        <w:rPr>
          <w:rFonts w:cs="David" w:hint="cs"/>
          <w:sz w:val="28"/>
          <w:szCs w:val="28"/>
          <w:rtl/>
        </w:rPr>
        <w:t>האם יש הצדקה לאיסורים על ביטויים העלולים לגרום לאנשים לפגוע באחרים</w:t>
      </w:r>
      <w:r>
        <w:rPr>
          <w:rFonts w:cs="David" w:hint="cs"/>
          <w:sz w:val="28"/>
          <w:szCs w:val="28"/>
          <w:rtl/>
        </w:rPr>
        <w:t>,</w:t>
      </w:r>
      <w:r w:rsidRPr="002B59CF">
        <w:rPr>
          <w:rFonts w:cs="David" w:hint="cs"/>
          <w:sz w:val="28"/>
          <w:szCs w:val="28"/>
          <w:rtl/>
        </w:rPr>
        <w:t xml:space="preserve"> ואם כן, באיזה היקף</w:t>
      </w:r>
      <w:r>
        <w:rPr>
          <w:rFonts w:cs="David" w:hint="cs"/>
          <w:sz w:val="28"/>
          <w:szCs w:val="28"/>
          <w:rtl/>
        </w:rPr>
        <w:t>?</w:t>
      </w:r>
      <w:r w:rsidRPr="002B59CF">
        <w:rPr>
          <w:rFonts w:cs="David" w:hint="cs"/>
          <w:sz w:val="28"/>
          <w:szCs w:val="28"/>
          <w:rtl/>
        </w:rPr>
        <w:t xml:space="preserve"> </w:t>
      </w:r>
      <w:r>
        <w:rPr>
          <w:rFonts w:cs="David" w:hint="cs"/>
          <w:sz w:val="28"/>
          <w:szCs w:val="28"/>
          <w:rtl/>
        </w:rPr>
        <w:t>-</w:t>
      </w:r>
      <w:r w:rsidRPr="002B59CF">
        <w:rPr>
          <w:rFonts w:cs="David" w:hint="cs"/>
          <w:sz w:val="28"/>
          <w:szCs w:val="28"/>
          <w:rtl/>
        </w:rPr>
        <w:t xml:space="preserve"> תלויה בשני גורמים:</w:t>
      </w:r>
      <w:r w:rsidR="003062FD">
        <w:rPr>
          <w:rStyle w:val="a5"/>
          <w:rFonts w:cs="David"/>
          <w:sz w:val="28"/>
          <w:szCs w:val="28"/>
          <w:rtl/>
        </w:rPr>
        <w:footnoteReference w:id="165"/>
      </w:r>
      <w:r w:rsidRPr="002B59CF">
        <w:rPr>
          <w:rFonts w:cs="David" w:hint="cs"/>
          <w:sz w:val="28"/>
          <w:szCs w:val="28"/>
          <w:rtl/>
        </w:rPr>
        <w:t xml:space="preserve"> האחד, </w:t>
      </w:r>
      <w:r w:rsidRPr="004A0734">
        <w:rPr>
          <w:rFonts w:cs="David" w:hint="cs"/>
          <w:b/>
          <w:bCs/>
          <w:sz w:val="28"/>
          <w:szCs w:val="28"/>
          <w:rtl/>
        </w:rPr>
        <w:t>מידת החומרה של הסכנה</w:t>
      </w:r>
      <w:r w:rsidRPr="002B59CF">
        <w:rPr>
          <w:rFonts w:cs="David" w:hint="cs"/>
          <w:sz w:val="28"/>
          <w:szCs w:val="28"/>
          <w:rtl/>
        </w:rPr>
        <w:t xml:space="preserve"> שהם נועדו למנוע, הקובעת את משקלם של השיקולים </w:t>
      </w:r>
      <w:r w:rsidRPr="002B59CF">
        <w:rPr>
          <w:rFonts w:cs="David" w:hint="cs"/>
          <w:b/>
          <w:bCs/>
          <w:sz w:val="28"/>
          <w:szCs w:val="28"/>
          <w:rtl/>
        </w:rPr>
        <w:t>נגד ביטויים כאלה</w:t>
      </w:r>
      <w:r w:rsidRPr="002B59CF">
        <w:rPr>
          <w:rFonts w:cs="David" w:hint="cs"/>
          <w:sz w:val="28"/>
          <w:szCs w:val="28"/>
          <w:rtl/>
        </w:rPr>
        <w:t xml:space="preserve">. השני, </w:t>
      </w:r>
      <w:r w:rsidRPr="004A0734">
        <w:rPr>
          <w:rFonts w:cs="David" w:hint="cs"/>
          <w:b/>
          <w:bCs/>
          <w:sz w:val="28"/>
          <w:szCs w:val="28"/>
          <w:rtl/>
        </w:rPr>
        <w:t>מידת ההגבלה שהם מטילים על חירות</w:t>
      </w:r>
      <w:r w:rsidRPr="002B59CF">
        <w:rPr>
          <w:rFonts w:cs="David" w:hint="cs"/>
          <w:sz w:val="28"/>
          <w:szCs w:val="28"/>
          <w:rtl/>
        </w:rPr>
        <w:t xml:space="preserve"> הפרט בכלל ועל זכות חופש הביטוי בפרט, הקובעת את משקלם של השיקולים </w:t>
      </w:r>
      <w:r w:rsidRPr="002B59CF">
        <w:rPr>
          <w:rFonts w:cs="David" w:hint="cs"/>
          <w:b/>
          <w:bCs/>
          <w:sz w:val="28"/>
          <w:szCs w:val="28"/>
          <w:rtl/>
        </w:rPr>
        <w:t>נגד הגבלה של ביטויים כאלה.</w:t>
      </w:r>
      <w:r>
        <w:rPr>
          <w:rFonts w:cs="David" w:hint="cs"/>
          <w:b/>
          <w:bCs/>
          <w:sz w:val="28"/>
          <w:szCs w:val="28"/>
          <w:rtl/>
        </w:rPr>
        <w:t xml:space="preserve"> </w:t>
      </w:r>
      <w:r w:rsidRPr="00CF1C4C">
        <w:rPr>
          <w:rFonts w:cs="David" w:hint="cs"/>
          <w:sz w:val="28"/>
          <w:szCs w:val="28"/>
          <w:rtl/>
        </w:rPr>
        <w:t xml:space="preserve">ככלל, </w:t>
      </w:r>
      <w:r w:rsidR="00940EC9">
        <w:rPr>
          <w:rFonts w:cs="David" w:hint="cs"/>
          <w:sz w:val="28"/>
          <w:szCs w:val="28"/>
          <w:rtl/>
        </w:rPr>
        <w:t>לדעת שגב</w:t>
      </w:r>
      <w:r w:rsidRPr="00CF1C4C">
        <w:rPr>
          <w:rFonts w:cs="David" w:hint="cs"/>
          <w:sz w:val="28"/>
          <w:szCs w:val="28"/>
          <w:rtl/>
        </w:rPr>
        <w:t>, בש</w:t>
      </w:r>
      <w:r>
        <w:rPr>
          <w:rFonts w:cs="David" w:hint="cs"/>
          <w:sz w:val="28"/>
          <w:szCs w:val="28"/>
          <w:rtl/>
        </w:rPr>
        <w:t>נ</w:t>
      </w:r>
      <w:r w:rsidRPr="00CF1C4C">
        <w:rPr>
          <w:rFonts w:cs="David" w:hint="cs"/>
          <w:sz w:val="28"/>
          <w:szCs w:val="28"/>
          <w:rtl/>
        </w:rPr>
        <w:t xml:space="preserve">י ההיבטים הללו ההצדקה של איסורים אלו </w:t>
      </w:r>
      <w:r w:rsidRPr="00CF1C4C">
        <w:rPr>
          <w:rFonts w:cs="David" w:hint="cs"/>
          <w:b/>
          <w:bCs/>
          <w:sz w:val="28"/>
          <w:szCs w:val="28"/>
          <w:rtl/>
        </w:rPr>
        <w:t>חלשה יותר</w:t>
      </w:r>
      <w:r w:rsidRPr="00CF1C4C">
        <w:rPr>
          <w:rFonts w:cs="David" w:hint="cs"/>
          <w:sz w:val="28"/>
          <w:szCs w:val="28"/>
          <w:rtl/>
        </w:rPr>
        <w:t xml:space="preserve"> מההצדקה </w:t>
      </w:r>
      <w:r w:rsidRPr="00CF1C4C">
        <w:rPr>
          <w:rFonts w:cs="David"/>
          <w:sz w:val="28"/>
          <w:szCs w:val="28"/>
          <w:rtl/>
        </w:rPr>
        <w:t>–</w:t>
      </w:r>
      <w:r w:rsidRPr="00CF1C4C">
        <w:rPr>
          <w:rFonts w:cs="David" w:hint="cs"/>
          <w:sz w:val="28"/>
          <w:szCs w:val="28"/>
          <w:rtl/>
        </w:rPr>
        <w:t xml:space="preserve"> שאינה מוטלת בספק </w:t>
      </w:r>
      <w:r w:rsidRPr="00CF1C4C">
        <w:rPr>
          <w:rFonts w:cs="David"/>
          <w:sz w:val="28"/>
          <w:szCs w:val="28"/>
          <w:rtl/>
        </w:rPr>
        <w:t>–</w:t>
      </w:r>
      <w:r w:rsidRPr="00CF1C4C">
        <w:rPr>
          <w:rFonts w:cs="David" w:hint="cs"/>
          <w:sz w:val="28"/>
          <w:szCs w:val="28"/>
          <w:rtl/>
        </w:rPr>
        <w:t xml:space="preserve"> של האיסורים הפליליים על פעולות העלולות לפגוע ישירות באינטרסים הבסי</w:t>
      </w:r>
      <w:r>
        <w:rPr>
          <w:rFonts w:cs="David" w:hint="cs"/>
          <w:sz w:val="28"/>
          <w:szCs w:val="28"/>
          <w:rtl/>
        </w:rPr>
        <w:t>סי</w:t>
      </w:r>
      <w:r w:rsidRPr="00CF1C4C">
        <w:rPr>
          <w:rFonts w:cs="David" w:hint="cs"/>
          <w:sz w:val="28"/>
          <w:szCs w:val="28"/>
          <w:rtl/>
        </w:rPr>
        <w:t>ים המצוינים.</w:t>
      </w:r>
    </w:p>
    <w:p w:rsidR="00C80269" w:rsidRDefault="00C80269" w:rsidP="00C80269">
      <w:pPr>
        <w:spacing w:line="360" w:lineRule="auto"/>
        <w:jc w:val="both"/>
        <w:rPr>
          <w:rFonts w:cs="David"/>
          <w:sz w:val="28"/>
          <w:szCs w:val="28"/>
          <w:rtl/>
        </w:rPr>
      </w:pPr>
      <w:r>
        <w:rPr>
          <w:rFonts w:cs="David" w:hint="cs"/>
          <w:sz w:val="28"/>
          <w:szCs w:val="28"/>
          <w:rtl/>
        </w:rPr>
        <w:lastRenderedPageBreak/>
        <w:t xml:space="preserve">בכל הנוגע לגורם הראשון, רובד ההגנה המשפטית </w:t>
      </w:r>
      <w:r w:rsidRPr="0067523F">
        <w:rPr>
          <w:rFonts w:cs="David" w:hint="cs"/>
          <w:b/>
          <w:bCs/>
          <w:sz w:val="28"/>
          <w:szCs w:val="28"/>
          <w:rtl/>
        </w:rPr>
        <w:t>תלוי</w:t>
      </w:r>
      <w:r>
        <w:rPr>
          <w:rFonts w:cs="David" w:hint="cs"/>
          <w:sz w:val="28"/>
          <w:szCs w:val="28"/>
          <w:rtl/>
        </w:rPr>
        <w:t xml:space="preserve"> </w:t>
      </w:r>
      <w:r w:rsidRPr="00D11425">
        <w:rPr>
          <w:rFonts w:cs="David" w:hint="cs"/>
          <w:b/>
          <w:bCs/>
          <w:sz w:val="28"/>
          <w:szCs w:val="28"/>
          <w:rtl/>
        </w:rPr>
        <w:t>בחומרת הפעולות</w:t>
      </w:r>
      <w:r>
        <w:rPr>
          <w:rFonts w:cs="David" w:hint="cs"/>
          <w:sz w:val="28"/>
          <w:szCs w:val="28"/>
          <w:rtl/>
        </w:rPr>
        <w:t xml:space="preserve"> העומדות על הפרק ואז אין הבדל בין איסורים על פעולות הפוגעות ישירות באינטרסים הבסיסיים ובין איסורים על ביטויים, וכן </w:t>
      </w:r>
      <w:r w:rsidRPr="0067523F">
        <w:rPr>
          <w:rFonts w:cs="David" w:hint="cs"/>
          <w:b/>
          <w:bCs/>
          <w:sz w:val="28"/>
          <w:szCs w:val="28"/>
          <w:rtl/>
        </w:rPr>
        <w:t>בגובה ההסתברות שסוגים שונים של ביטויים יגרמו לאנשים לבצע את הפעולות האמורות</w:t>
      </w:r>
      <w:r>
        <w:rPr>
          <w:rFonts w:cs="David" w:hint="cs"/>
          <w:sz w:val="28"/>
          <w:szCs w:val="28"/>
          <w:rtl/>
        </w:rPr>
        <w:t>. לטענתו,</w:t>
      </w:r>
      <w:r>
        <w:rPr>
          <w:rStyle w:val="a5"/>
          <w:rFonts w:cs="David"/>
          <w:sz w:val="28"/>
          <w:szCs w:val="28"/>
          <w:rtl/>
        </w:rPr>
        <w:footnoteReference w:id="166"/>
      </w:r>
      <w:r>
        <w:rPr>
          <w:rFonts w:cs="David" w:hint="cs"/>
          <w:sz w:val="28"/>
          <w:szCs w:val="28"/>
          <w:rtl/>
        </w:rPr>
        <w:t xml:space="preserve"> אמנם קשה להעריך את גובה הסיכון האמור, בעיקר כי הוא תלוי במאפיינים אישיים של אנשים שונים, אך עדיין הוא יהיה </w:t>
      </w:r>
      <w:r w:rsidRPr="00093D7E">
        <w:rPr>
          <w:rFonts w:cs="David" w:hint="cs"/>
          <w:b/>
          <w:bCs/>
          <w:sz w:val="28"/>
          <w:szCs w:val="28"/>
          <w:rtl/>
        </w:rPr>
        <w:t>נמוך יותר מגובה ההסתברות</w:t>
      </w:r>
      <w:r>
        <w:rPr>
          <w:rFonts w:cs="David" w:hint="cs"/>
          <w:sz w:val="28"/>
          <w:szCs w:val="28"/>
          <w:rtl/>
        </w:rPr>
        <w:t xml:space="preserve"> של התממשות הסכנה שיוצר אדם המנסה לעשות פעולה ישירה.</w:t>
      </w:r>
    </w:p>
    <w:p w:rsidR="00C80269" w:rsidRDefault="00C80269" w:rsidP="00C80269">
      <w:pPr>
        <w:spacing w:line="360" w:lineRule="auto"/>
        <w:jc w:val="both"/>
        <w:rPr>
          <w:rFonts w:cs="David"/>
          <w:sz w:val="28"/>
          <w:szCs w:val="28"/>
          <w:rtl/>
        </w:rPr>
      </w:pPr>
      <w:r>
        <w:rPr>
          <w:rFonts w:cs="David" w:hint="cs"/>
          <w:sz w:val="28"/>
          <w:szCs w:val="28"/>
          <w:rtl/>
        </w:rPr>
        <w:t>באשר לגורם השני, מוסיף שגב</w:t>
      </w:r>
      <w:r>
        <w:rPr>
          <w:rStyle w:val="a5"/>
          <w:rFonts w:cs="David"/>
          <w:sz w:val="28"/>
          <w:szCs w:val="28"/>
          <w:rtl/>
        </w:rPr>
        <w:footnoteReference w:id="167"/>
      </w:r>
      <w:r>
        <w:rPr>
          <w:rFonts w:cs="David" w:hint="cs"/>
          <w:sz w:val="28"/>
          <w:szCs w:val="28"/>
          <w:rtl/>
        </w:rPr>
        <w:t xml:space="preserve"> כי לדעתו הגבלת החירות </w:t>
      </w:r>
      <w:r w:rsidRPr="001C21BA">
        <w:rPr>
          <w:rFonts w:cs="David" w:hint="cs"/>
          <w:b/>
          <w:bCs/>
          <w:sz w:val="28"/>
          <w:szCs w:val="28"/>
          <w:rtl/>
        </w:rPr>
        <w:t>כרוכה לרוב במחיר</w:t>
      </w:r>
      <w:r>
        <w:rPr>
          <w:rFonts w:cs="David" w:hint="cs"/>
          <w:sz w:val="28"/>
          <w:szCs w:val="28"/>
          <w:rtl/>
        </w:rPr>
        <w:t xml:space="preserve">, גם אם מדובר בהגבלת חירות לבצע פעולות מסוכנות בכוונה לפגוע באדם כלשהו. משקלו של השיקול נגד הגבלת החירות של אנשים </w:t>
      </w:r>
      <w:r w:rsidRPr="00BC6122">
        <w:rPr>
          <w:rFonts w:cs="David" w:hint="cs"/>
          <w:b/>
          <w:bCs/>
          <w:sz w:val="28"/>
          <w:szCs w:val="28"/>
          <w:rtl/>
        </w:rPr>
        <w:t>תלוי בגורמים שונים המתירים או מעודדים את חופש הביטוי</w:t>
      </w:r>
      <w:r>
        <w:rPr>
          <w:rFonts w:cs="David" w:hint="cs"/>
          <w:sz w:val="28"/>
          <w:szCs w:val="28"/>
          <w:rtl/>
        </w:rPr>
        <w:t xml:space="preserve"> - גם במקרים שבהם הביטויים עלולים לגרום לאנשים לבצע פעולות מסוכנות - כפי שאלו פורטו בפרק השני של עבודה זו.</w:t>
      </w:r>
    </w:p>
    <w:p w:rsidR="00C80269" w:rsidRDefault="00C80269" w:rsidP="00C80269">
      <w:pPr>
        <w:spacing w:line="360" w:lineRule="auto"/>
        <w:jc w:val="both"/>
        <w:rPr>
          <w:rFonts w:cs="David"/>
          <w:sz w:val="28"/>
          <w:szCs w:val="28"/>
          <w:rtl/>
        </w:rPr>
      </w:pPr>
      <w:r>
        <w:rPr>
          <w:rFonts w:cs="David" w:hint="cs"/>
          <w:sz w:val="28"/>
          <w:szCs w:val="28"/>
          <w:rtl/>
        </w:rPr>
        <w:t xml:space="preserve">לסיכום נקודה זו, ניתן לומר כי </w:t>
      </w:r>
      <w:r w:rsidRPr="00B57842">
        <w:rPr>
          <w:rFonts w:cs="David" w:hint="cs"/>
          <w:b/>
          <w:bCs/>
          <w:sz w:val="28"/>
          <w:szCs w:val="28"/>
          <w:rtl/>
        </w:rPr>
        <w:t>קיימת הצדקה חלשה יותר לאיסורים על ביטויים העלולים לגרום לאנשים לבצע פעולות מסוכנות בהשוואה לאיסורים ישירים על פעולות כאלה,</w:t>
      </w:r>
      <w:r>
        <w:rPr>
          <w:rFonts w:cs="David" w:hint="cs"/>
          <w:sz w:val="28"/>
          <w:szCs w:val="28"/>
          <w:rtl/>
        </w:rPr>
        <w:t xml:space="preserve"> אך גם לטעמו של שגב, לא נובע מכך שאין הצדקה לאיסורים מהסוג הראשון:</w:t>
      </w:r>
      <w:r>
        <w:rPr>
          <w:rStyle w:val="a5"/>
          <w:rFonts w:cs="David"/>
          <w:sz w:val="28"/>
          <w:szCs w:val="28"/>
          <w:rtl/>
        </w:rPr>
        <w:footnoteReference w:id="168"/>
      </w:r>
    </w:p>
    <w:p w:rsidR="00C80269" w:rsidRPr="000D1782" w:rsidRDefault="00C80269" w:rsidP="00C80269">
      <w:pPr>
        <w:spacing w:line="360" w:lineRule="auto"/>
        <w:ind w:left="720"/>
        <w:jc w:val="both"/>
        <w:rPr>
          <w:rFonts w:cs="David"/>
          <w:sz w:val="24"/>
          <w:szCs w:val="24"/>
          <w:rtl/>
        </w:rPr>
      </w:pPr>
      <w:r w:rsidRPr="000D1782">
        <w:rPr>
          <w:rFonts w:cs="David" w:hint="cs"/>
          <w:sz w:val="24"/>
          <w:szCs w:val="24"/>
          <w:rtl/>
        </w:rPr>
        <w:t xml:space="preserve">השאלה אם בסופו של דבר יש הצדקה לאיסורים כאלה </w:t>
      </w:r>
      <w:r w:rsidRPr="00F07052">
        <w:rPr>
          <w:rFonts w:cs="David" w:hint="cs"/>
          <w:b/>
          <w:bCs/>
          <w:sz w:val="24"/>
          <w:szCs w:val="24"/>
          <w:rtl/>
        </w:rPr>
        <w:t>תלויה בהערכה של חומרת הסכנה</w:t>
      </w:r>
      <w:r w:rsidRPr="000D1782">
        <w:rPr>
          <w:rFonts w:cs="David" w:hint="cs"/>
          <w:sz w:val="24"/>
          <w:szCs w:val="24"/>
          <w:rtl/>
        </w:rPr>
        <w:t xml:space="preserve"> שאנשים יחליטו לבצע פעולות מסוכנות עקב סוגים שונים של ביטויים ובסוגי הביטויים הנכללים במסגרת איסורים כאלה. </w:t>
      </w:r>
      <w:r w:rsidRPr="00F07052">
        <w:rPr>
          <w:rFonts w:cs="David" w:hint="cs"/>
          <w:b/>
          <w:bCs/>
          <w:sz w:val="24"/>
          <w:szCs w:val="24"/>
          <w:rtl/>
        </w:rPr>
        <w:t>כל שהסכנה שסוגים מסוימים של ביטויים יוליכו אנשים לבצע פעולות מסוכנות גבוהה יותר וככל שהאיסורים על ביטויים כאלה מצומצמים יותר מבחינת סוגי הביטויים הנכללים בהם, כך ההצדקה לאיסורים אלו חזקה יותר ולהפך</w:t>
      </w:r>
      <w:r w:rsidRPr="000D1782">
        <w:rPr>
          <w:rFonts w:cs="David" w:hint="cs"/>
          <w:sz w:val="24"/>
          <w:szCs w:val="24"/>
          <w:rtl/>
        </w:rPr>
        <w:t xml:space="preserve"> [...] בהערכת הסכנה שביטויים יוליכו לאלימות יש להבחין בין סכנה שיוצר ביטוי יחיד, בפני עצמו, ובין סכנה הנוצרת עקב הצטברות ביטויים היוצרים סביבה או 'אקלים' שבמסגרתם גובר הסיכון של נקיטת אלימות.</w:t>
      </w:r>
      <w:r>
        <w:rPr>
          <w:rFonts w:cs="David" w:hint="cs"/>
          <w:sz w:val="24"/>
          <w:szCs w:val="24"/>
          <w:rtl/>
        </w:rPr>
        <w:t xml:space="preserve">(ההדגשות של הח"מ </w:t>
      </w:r>
      <w:r>
        <w:rPr>
          <w:rFonts w:cs="David"/>
          <w:sz w:val="24"/>
          <w:szCs w:val="24"/>
          <w:rtl/>
        </w:rPr>
        <w:t>–</w:t>
      </w:r>
      <w:r>
        <w:rPr>
          <w:rFonts w:cs="David" w:hint="cs"/>
          <w:sz w:val="24"/>
          <w:szCs w:val="24"/>
          <w:rtl/>
        </w:rPr>
        <w:t xml:space="preserve"> ר"מ)</w:t>
      </w:r>
    </w:p>
    <w:p w:rsidR="00C80269" w:rsidRPr="006C679E" w:rsidRDefault="00C80269" w:rsidP="00AA2812">
      <w:pPr>
        <w:spacing w:line="360" w:lineRule="auto"/>
        <w:jc w:val="both"/>
        <w:rPr>
          <w:rFonts w:cs="David"/>
          <w:sz w:val="28"/>
          <w:szCs w:val="28"/>
          <w:rtl/>
        </w:rPr>
      </w:pPr>
      <w:r>
        <w:rPr>
          <w:rFonts w:cs="David" w:hint="cs"/>
          <w:sz w:val="28"/>
          <w:szCs w:val="28"/>
          <w:rtl/>
        </w:rPr>
        <w:t xml:space="preserve">הגבלתן של ההתבטאויות הגזעניות </w:t>
      </w:r>
      <w:r w:rsidR="00D72240">
        <w:rPr>
          <w:rFonts w:cs="David" w:hint="cs"/>
          <w:sz w:val="28"/>
          <w:szCs w:val="28"/>
          <w:rtl/>
        </w:rPr>
        <w:t>ו</w:t>
      </w:r>
      <w:r w:rsidR="00B72D21">
        <w:rPr>
          <w:rFonts w:cs="David" w:hint="cs"/>
          <w:sz w:val="28"/>
          <w:szCs w:val="28"/>
          <w:rtl/>
        </w:rPr>
        <w:t xml:space="preserve">כאלו </w:t>
      </w:r>
      <w:r w:rsidR="00D72240">
        <w:rPr>
          <w:rFonts w:cs="David" w:hint="cs"/>
          <w:sz w:val="28"/>
          <w:szCs w:val="28"/>
          <w:rtl/>
        </w:rPr>
        <w:t>שעלולות לה</w:t>
      </w:r>
      <w:r w:rsidR="00FE0D8E">
        <w:rPr>
          <w:rFonts w:cs="David" w:hint="cs"/>
          <w:sz w:val="28"/>
          <w:szCs w:val="28"/>
          <w:rtl/>
        </w:rPr>
        <w:t>ו</w:t>
      </w:r>
      <w:r w:rsidR="00D72240">
        <w:rPr>
          <w:rFonts w:cs="David" w:hint="cs"/>
          <w:sz w:val="28"/>
          <w:szCs w:val="28"/>
          <w:rtl/>
        </w:rPr>
        <w:t xml:space="preserve">ליך לאלימות </w:t>
      </w:r>
      <w:r>
        <w:rPr>
          <w:rFonts w:cs="David" w:hint="cs"/>
          <w:sz w:val="28"/>
          <w:szCs w:val="28"/>
          <w:rtl/>
        </w:rPr>
        <w:t xml:space="preserve">מעלה </w:t>
      </w:r>
      <w:r w:rsidR="008519EC">
        <w:rPr>
          <w:rFonts w:cs="David" w:hint="cs"/>
          <w:sz w:val="28"/>
          <w:szCs w:val="28"/>
          <w:rtl/>
        </w:rPr>
        <w:t>שאלות הנוגעות לחקיקה ולרגולציה, ל</w:t>
      </w:r>
      <w:r w:rsidR="005576C6">
        <w:rPr>
          <w:rFonts w:cs="David" w:hint="cs"/>
          <w:sz w:val="28"/>
          <w:szCs w:val="28"/>
          <w:rtl/>
        </w:rPr>
        <w:t>פסיקה</w:t>
      </w:r>
      <w:r w:rsidR="008519EC">
        <w:rPr>
          <w:rFonts w:cs="David" w:hint="cs"/>
          <w:sz w:val="28"/>
          <w:szCs w:val="28"/>
          <w:rtl/>
        </w:rPr>
        <w:t xml:space="preserve">, לאחריותם של בעלי האתרים וספקי המרשתת וכן </w:t>
      </w:r>
      <w:r w:rsidR="005576C6">
        <w:rPr>
          <w:rFonts w:cs="David" w:hint="cs"/>
          <w:sz w:val="28"/>
          <w:szCs w:val="28"/>
          <w:rtl/>
        </w:rPr>
        <w:t xml:space="preserve">למתח שבין משפט </w:t>
      </w:r>
      <w:r w:rsidR="005576C6">
        <w:rPr>
          <w:rFonts w:cs="David"/>
          <w:sz w:val="28"/>
          <w:szCs w:val="28"/>
          <w:rtl/>
        </w:rPr>
        <w:t>–</w:t>
      </w:r>
      <w:r w:rsidR="005576C6">
        <w:rPr>
          <w:rFonts w:cs="David" w:hint="cs"/>
          <w:sz w:val="28"/>
          <w:szCs w:val="28"/>
          <w:rtl/>
        </w:rPr>
        <w:t xml:space="preserve"> טכנולוגיה </w:t>
      </w:r>
      <w:r w:rsidR="005576C6">
        <w:rPr>
          <w:rFonts w:cs="David"/>
          <w:sz w:val="28"/>
          <w:szCs w:val="28"/>
          <w:rtl/>
        </w:rPr>
        <w:t>–</w:t>
      </w:r>
      <w:r w:rsidR="005576C6">
        <w:rPr>
          <w:rFonts w:cs="David" w:hint="cs"/>
          <w:sz w:val="28"/>
          <w:szCs w:val="28"/>
          <w:rtl/>
        </w:rPr>
        <w:t xml:space="preserve"> ערכים.</w:t>
      </w:r>
      <w:r w:rsidR="008519EC">
        <w:rPr>
          <w:rFonts w:cs="David" w:hint="cs"/>
          <w:sz w:val="28"/>
          <w:szCs w:val="28"/>
          <w:rtl/>
        </w:rPr>
        <w:t xml:space="preserve"> </w:t>
      </w:r>
      <w:r w:rsidR="00D8181E">
        <w:rPr>
          <w:rFonts w:cs="David" w:hint="cs"/>
          <w:sz w:val="28"/>
          <w:szCs w:val="28"/>
          <w:rtl/>
        </w:rPr>
        <w:t xml:space="preserve">בשאלות אלו ובדילמות שהן </w:t>
      </w:r>
      <w:r w:rsidR="00AA2812">
        <w:rPr>
          <w:rFonts w:cs="David" w:hint="cs"/>
          <w:sz w:val="28"/>
          <w:szCs w:val="28"/>
          <w:rtl/>
        </w:rPr>
        <w:t xml:space="preserve">מעלות </w:t>
      </w:r>
      <w:r>
        <w:rPr>
          <w:rFonts w:cs="David" w:hint="cs"/>
          <w:sz w:val="28"/>
          <w:szCs w:val="28"/>
          <w:rtl/>
        </w:rPr>
        <w:t xml:space="preserve">בחלק מן המקרים, </w:t>
      </w:r>
      <w:r w:rsidR="005576C6">
        <w:rPr>
          <w:rFonts w:cs="David" w:hint="cs"/>
          <w:sz w:val="28"/>
          <w:szCs w:val="28"/>
          <w:rtl/>
        </w:rPr>
        <w:t>יעסקו הסעיפים הבאים</w:t>
      </w:r>
      <w:r w:rsidR="00DA2063">
        <w:rPr>
          <w:rFonts w:cs="David" w:hint="cs"/>
          <w:sz w:val="28"/>
          <w:szCs w:val="28"/>
          <w:rtl/>
        </w:rPr>
        <w:t>.</w:t>
      </w:r>
    </w:p>
    <w:p w:rsidR="00DF2636" w:rsidRDefault="00DF2636" w:rsidP="00C80269">
      <w:pPr>
        <w:spacing w:line="360" w:lineRule="auto"/>
        <w:jc w:val="both"/>
        <w:rPr>
          <w:rFonts w:cs="David"/>
          <w:b/>
          <w:bCs/>
          <w:sz w:val="32"/>
          <w:szCs w:val="32"/>
          <w:rtl/>
        </w:rPr>
      </w:pPr>
    </w:p>
    <w:p w:rsidR="009E783C" w:rsidRDefault="009E783C" w:rsidP="00B05CE9">
      <w:pPr>
        <w:spacing w:line="360" w:lineRule="auto"/>
        <w:jc w:val="both"/>
        <w:rPr>
          <w:rFonts w:cs="David"/>
          <w:b/>
          <w:bCs/>
          <w:sz w:val="32"/>
          <w:szCs w:val="32"/>
          <w:rtl/>
        </w:rPr>
      </w:pPr>
      <w:r>
        <w:rPr>
          <w:rFonts w:cs="David" w:hint="cs"/>
          <w:b/>
          <w:bCs/>
          <w:sz w:val="32"/>
          <w:szCs w:val="32"/>
          <w:rtl/>
        </w:rPr>
        <w:lastRenderedPageBreak/>
        <w:t xml:space="preserve">ג. החלת נורמות כלליות על ביטויים במרשתת </w:t>
      </w:r>
      <w:r w:rsidR="00B05CE9">
        <w:rPr>
          <w:rFonts w:cs="David" w:hint="cs"/>
          <w:b/>
          <w:bCs/>
          <w:sz w:val="32"/>
          <w:szCs w:val="32"/>
          <w:rtl/>
        </w:rPr>
        <w:t>-</w:t>
      </w:r>
      <w:r>
        <w:rPr>
          <w:rFonts w:cs="David" w:hint="cs"/>
          <w:b/>
          <w:bCs/>
          <w:sz w:val="32"/>
          <w:szCs w:val="32"/>
          <w:rtl/>
        </w:rPr>
        <w:t xml:space="preserve"> מתחים וגבולות</w:t>
      </w:r>
    </w:p>
    <w:p w:rsidR="004B1862" w:rsidRPr="00EF4B4B" w:rsidRDefault="004B1862" w:rsidP="004B1862">
      <w:pPr>
        <w:spacing w:line="360" w:lineRule="auto"/>
        <w:jc w:val="both"/>
        <w:rPr>
          <w:rFonts w:cs="David"/>
          <w:sz w:val="28"/>
          <w:szCs w:val="28"/>
          <w:rtl/>
        </w:rPr>
      </w:pPr>
      <w:r w:rsidRPr="00EF4B4B">
        <w:rPr>
          <w:rFonts w:cs="David" w:hint="cs"/>
          <w:sz w:val="28"/>
          <w:szCs w:val="28"/>
          <w:rtl/>
        </w:rPr>
        <w:t xml:space="preserve">יש הטוענים כי אין מקום להחיל את הכללים הנורמטיביים </w:t>
      </w:r>
      <w:r>
        <w:rPr>
          <w:rFonts w:cs="David" w:hint="cs"/>
          <w:b/>
          <w:bCs/>
          <w:sz w:val="28"/>
          <w:szCs w:val="28"/>
          <w:rtl/>
        </w:rPr>
        <w:t>'</w:t>
      </w:r>
      <w:r w:rsidRPr="005F2342">
        <w:rPr>
          <w:rFonts w:cs="David" w:hint="cs"/>
          <w:b/>
          <w:bCs/>
          <w:sz w:val="28"/>
          <w:szCs w:val="28"/>
          <w:rtl/>
        </w:rPr>
        <w:t>הרגילים</w:t>
      </w:r>
      <w:r>
        <w:rPr>
          <w:rFonts w:cs="David" w:hint="cs"/>
          <w:b/>
          <w:bCs/>
          <w:sz w:val="28"/>
          <w:szCs w:val="28"/>
          <w:rtl/>
        </w:rPr>
        <w:t>'</w:t>
      </w:r>
      <w:r w:rsidRPr="00EF4B4B">
        <w:rPr>
          <w:rFonts w:cs="David" w:hint="cs"/>
          <w:sz w:val="28"/>
          <w:szCs w:val="28"/>
          <w:rtl/>
        </w:rPr>
        <w:t xml:space="preserve"> שבספר החוקים, ובייחוד את אלו שנועדו לחול על אמצעי התקשורת הוותיקים </w:t>
      </w:r>
      <w:r>
        <w:rPr>
          <w:rFonts w:cs="David" w:hint="cs"/>
          <w:sz w:val="28"/>
          <w:szCs w:val="28"/>
          <w:rtl/>
        </w:rPr>
        <w:t>-</w:t>
      </w:r>
      <w:r w:rsidRPr="00EF4B4B">
        <w:rPr>
          <w:rFonts w:cs="David" w:hint="cs"/>
          <w:sz w:val="28"/>
          <w:szCs w:val="28"/>
          <w:rtl/>
        </w:rPr>
        <w:t xml:space="preserve"> העיתונות הכתובה ורשתות הטלוויזיה והרדיו </w:t>
      </w:r>
      <w:r>
        <w:rPr>
          <w:rFonts w:cs="David" w:hint="cs"/>
          <w:sz w:val="28"/>
          <w:szCs w:val="28"/>
          <w:rtl/>
        </w:rPr>
        <w:t xml:space="preserve">- </w:t>
      </w:r>
      <w:r w:rsidRPr="00EF4B4B">
        <w:rPr>
          <w:rFonts w:cs="David" w:hint="cs"/>
          <w:sz w:val="28"/>
          <w:szCs w:val="28"/>
          <w:rtl/>
        </w:rPr>
        <w:t>על ביטויים הנעשים במסגרת דרכי התקשורת החדשות ובעיקר אלו שנעשים באמצעות המרשתת.</w:t>
      </w:r>
      <w:r>
        <w:rPr>
          <w:rStyle w:val="a5"/>
          <w:rFonts w:cs="David"/>
          <w:sz w:val="28"/>
          <w:szCs w:val="28"/>
          <w:rtl/>
        </w:rPr>
        <w:footnoteReference w:id="169"/>
      </w:r>
    </w:p>
    <w:p w:rsidR="004B1862" w:rsidRPr="00EF4B4B" w:rsidRDefault="004B1862" w:rsidP="00D034E7">
      <w:pPr>
        <w:spacing w:line="360" w:lineRule="auto"/>
        <w:jc w:val="both"/>
        <w:rPr>
          <w:rFonts w:cs="David"/>
          <w:sz w:val="28"/>
          <w:szCs w:val="28"/>
          <w:rtl/>
        </w:rPr>
      </w:pPr>
      <w:r w:rsidRPr="00EF4B4B">
        <w:rPr>
          <w:rFonts w:cs="David" w:hint="cs"/>
          <w:sz w:val="28"/>
          <w:szCs w:val="28"/>
          <w:rtl/>
        </w:rPr>
        <w:t xml:space="preserve">טענה זו </w:t>
      </w:r>
      <w:r w:rsidR="00D034E7">
        <w:rPr>
          <w:rFonts w:cs="David" w:hint="cs"/>
          <w:sz w:val="28"/>
          <w:szCs w:val="28"/>
          <w:rtl/>
        </w:rPr>
        <w:t>מורכבת מ</w:t>
      </w:r>
      <w:r w:rsidRPr="00AC7367">
        <w:rPr>
          <w:rFonts w:cs="David" w:hint="cs"/>
          <w:sz w:val="28"/>
          <w:szCs w:val="28"/>
          <w:rtl/>
        </w:rPr>
        <w:t>שתי עמדות</w:t>
      </w:r>
      <w:r w:rsidRPr="00EF4B4B">
        <w:rPr>
          <w:rFonts w:cs="David" w:hint="cs"/>
          <w:sz w:val="28"/>
          <w:szCs w:val="28"/>
          <w:rtl/>
        </w:rPr>
        <w:t xml:space="preserve">. האחת, כי </w:t>
      </w:r>
      <w:r w:rsidRPr="00F204E4">
        <w:rPr>
          <w:rFonts w:cs="David" w:hint="cs"/>
          <w:b/>
          <w:bCs/>
          <w:sz w:val="28"/>
          <w:szCs w:val="28"/>
          <w:rtl/>
        </w:rPr>
        <w:t xml:space="preserve">אין </w:t>
      </w:r>
      <w:r w:rsidRPr="00672E02">
        <w:rPr>
          <w:rFonts w:cs="David" w:hint="cs"/>
          <w:b/>
          <w:bCs/>
          <w:sz w:val="28"/>
          <w:szCs w:val="28"/>
          <w:rtl/>
        </w:rPr>
        <w:t>להחיל אף כלל משפטי</w:t>
      </w:r>
      <w:r w:rsidRPr="00EF4B4B">
        <w:rPr>
          <w:rFonts w:cs="David" w:hint="cs"/>
          <w:sz w:val="28"/>
          <w:szCs w:val="28"/>
          <w:rtl/>
        </w:rPr>
        <w:t xml:space="preserve"> על ביטויים </w:t>
      </w:r>
      <w:r w:rsidRPr="00AF7C68">
        <w:rPr>
          <w:rFonts w:cs="David" w:hint="cs"/>
          <w:b/>
          <w:bCs/>
          <w:sz w:val="28"/>
          <w:szCs w:val="28"/>
          <w:rtl/>
        </w:rPr>
        <w:t>שנעשים במרשתת.</w:t>
      </w:r>
      <w:r w:rsidRPr="00AF7C68">
        <w:rPr>
          <w:rFonts w:cs="David" w:hint="cs"/>
          <w:sz w:val="28"/>
          <w:szCs w:val="28"/>
          <w:rtl/>
        </w:rPr>
        <w:t xml:space="preserve"> קרי, יש לאמץ הסדר ייחודי של חופש ביטוי (שלילי) </w:t>
      </w:r>
      <w:r w:rsidRPr="00AF7C68">
        <w:rPr>
          <w:rFonts w:cs="David" w:hint="cs"/>
          <w:b/>
          <w:bCs/>
          <w:sz w:val="28"/>
          <w:szCs w:val="28"/>
          <w:rtl/>
        </w:rPr>
        <w:t>מוחלט</w:t>
      </w:r>
      <w:r w:rsidRPr="00AF7C68">
        <w:rPr>
          <w:rFonts w:cs="David" w:hint="cs"/>
          <w:sz w:val="28"/>
          <w:szCs w:val="28"/>
          <w:rtl/>
        </w:rPr>
        <w:t xml:space="preserve"> בנוגע לביטויים כאלה, המגן על הפרט מפני כוחה של המדינה, כדי לשמר את האופי הייחודי של דרכי הביטוי באמצעות המרשתת וכן, בשל חוסר היכולת לאכוף כללים על ביטויים הנעשים במסגרת המרשתת, לו גם היה רצון ש</w:t>
      </w:r>
      <w:r>
        <w:rPr>
          <w:rFonts w:cs="David" w:hint="cs"/>
          <w:sz w:val="28"/>
          <w:szCs w:val="28"/>
          <w:rtl/>
        </w:rPr>
        <w:t>כזה.</w:t>
      </w:r>
      <w:r w:rsidRPr="00EF4B4B">
        <w:rPr>
          <w:rFonts w:cs="David" w:hint="cs"/>
          <w:sz w:val="28"/>
          <w:szCs w:val="28"/>
          <w:rtl/>
        </w:rPr>
        <w:t xml:space="preserve"> ה</w:t>
      </w:r>
      <w:r>
        <w:rPr>
          <w:rFonts w:cs="David" w:hint="cs"/>
          <w:sz w:val="28"/>
          <w:szCs w:val="28"/>
          <w:rtl/>
        </w:rPr>
        <w:t>עמדה ה</w:t>
      </w:r>
      <w:r w:rsidRPr="00EF4B4B">
        <w:rPr>
          <w:rFonts w:cs="David" w:hint="cs"/>
          <w:sz w:val="28"/>
          <w:szCs w:val="28"/>
          <w:rtl/>
        </w:rPr>
        <w:t>שנייה</w:t>
      </w:r>
      <w:r>
        <w:rPr>
          <w:rFonts w:cs="David" w:hint="cs"/>
          <w:sz w:val="28"/>
          <w:szCs w:val="28"/>
          <w:rtl/>
        </w:rPr>
        <w:t xml:space="preserve"> גורסת</w:t>
      </w:r>
      <w:r w:rsidRPr="00EF4B4B">
        <w:rPr>
          <w:rFonts w:cs="David" w:hint="cs"/>
          <w:sz w:val="28"/>
          <w:szCs w:val="28"/>
          <w:rtl/>
        </w:rPr>
        <w:t xml:space="preserve">, כי </w:t>
      </w:r>
      <w:r w:rsidRPr="00F204E4">
        <w:rPr>
          <w:rFonts w:cs="David" w:hint="cs"/>
          <w:b/>
          <w:bCs/>
          <w:sz w:val="28"/>
          <w:szCs w:val="28"/>
          <w:rtl/>
        </w:rPr>
        <w:t xml:space="preserve">יש מקום </w:t>
      </w:r>
      <w:r>
        <w:rPr>
          <w:rFonts w:cs="David" w:hint="cs"/>
          <w:b/>
          <w:bCs/>
          <w:sz w:val="28"/>
          <w:szCs w:val="28"/>
          <w:rtl/>
        </w:rPr>
        <w:t xml:space="preserve">להגביל את חופש </w:t>
      </w:r>
      <w:r w:rsidRPr="00BE317B">
        <w:rPr>
          <w:rFonts w:cs="David" w:hint="cs"/>
          <w:sz w:val="28"/>
          <w:szCs w:val="28"/>
          <w:rtl/>
        </w:rPr>
        <w:t xml:space="preserve">הביטוי ולקבוע  </w:t>
      </w:r>
      <w:r w:rsidRPr="00F6652A">
        <w:rPr>
          <w:rFonts w:cs="David" w:hint="cs"/>
          <w:b/>
          <w:bCs/>
          <w:sz w:val="28"/>
          <w:szCs w:val="28"/>
          <w:rtl/>
        </w:rPr>
        <w:t>כללים ייחודים</w:t>
      </w:r>
      <w:r w:rsidRPr="00BE317B">
        <w:rPr>
          <w:rFonts w:cs="David" w:hint="cs"/>
          <w:sz w:val="28"/>
          <w:szCs w:val="28"/>
          <w:rtl/>
        </w:rPr>
        <w:t xml:space="preserve"> </w:t>
      </w:r>
      <w:r w:rsidRPr="00EF4B4B">
        <w:rPr>
          <w:rFonts w:cs="David" w:hint="cs"/>
          <w:sz w:val="28"/>
          <w:szCs w:val="28"/>
          <w:rtl/>
        </w:rPr>
        <w:t>בנוגע לביטויים</w:t>
      </w:r>
      <w:r>
        <w:rPr>
          <w:rFonts w:cs="David" w:hint="cs"/>
          <w:sz w:val="28"/>
          <w:szCs w:val="28"/>
          <w:rtl/>
        </w:rPr>
        <w:t xml:space="preserve"> כאלה</w:t>
      </w:r>
      <w:r w:rsidRPr="00EF4B4B">
        <w:rPr>
          <w:rFonts w:cs="David" w:hint="cs"/>
          <w:sz w:val="28"/>
          <w:szCs w:val="28"/>
          <w:rtl/>
        </w:rPr>
        <w:t xml:space="preserve"> </w:t>
      </w:r>
      <w:r w:rsidRPr="00BE317B">
        <w:rPr>
          <w:rFonts w:cs="David" w:hint="cs"/>
          <w:b/>
          <w:bCs/>
          <w:sz w:val="28"/>
          <w:szCs w:val="28"/>
          <w:rtl/>
        </w:rPr>
        <w:t>במרשתת</w:t>
      </w:r>
      <w:r w:rsidRPr="00EF4B4B">
        <w:rPr>
          <w:rFonts w:cs="David" w:hint="cs"/>
          <w:sz w:val="28"/>
          <w:szCs w:val="28"/>
          <w:rtl/>
        </w:rPr>
        <w:t>.</w:t>
      </w:r>
      <w:r>
        <w:rPr>
          <w:rStyle w:val="a5"/>
          <w:rFonts w:cs="David"/>
          <w:sz w:val="28"/>
          <w:szCs w:val="28"/>
          <w:rtl/>
        </w:rPr>
        <w:footnoteReference w:id="170"/>
      </w:r>
    </w:p>
    <w:p w:rsidR="004B1862" w:rsidRPr="00EF4B4B" w:rsidRDefault="004B1862" w:rsidP="004B1862">
      <w:pPr>
        <w:spacing w:line="360" w:lineRule="auto"/>
        <w:jc w:val="both"/>
        <w:rPr>
          <w:rFonts w:cs="David"/>
          <w:sz w:val="28"/>
          <w:szCs w:val="28"/>
          <w:rtl/>
        </w:rPr>
      </w:pPr>
      <w:r w:rsidRPr="00AC7367">
        <w:rPr>
          <w:rFonts w:cs="David" w:hint="cs"/>
          <w:sz w:val="28"/>
          <w:szCs w:val="28"/>
          <w:rtl/>
        </w:rPr>
        <w:t>המשפט הנוהג בישראל</w:t>
      </w:r>
      <w:r w:rsidRPr="00EF4B4B">
        <w:rPr>
          <w:rFonts w:cs="David" w:hint="cs"/>
          <w:sz w:val="28"/>
          <w:szCs w:val="28"/>
          <w:rtl/>
        </w:rPr>
        <w:t xml:space="preserve"> </w:t>
      </w:r>
      <w:r w:rsidRPr="009F7E32">
        <w:rPr>
          <w:rFonts w:cs="David" w:hint="cs"/>
          <w:b/>
          <w:bCs/>
          <w:sz w:val="28"/>
          <w:szCs w:val="28"/>
          <w:rtl/>
        </w:rPr>
        <w:t>אינו משקף לרוב עמדה חד-משמעית בשאלה</w:t>
      </w:r>
      <w:r w:rsidRPr="00EF4B4B">
        <w:rPr>
          <w:rFonts w:cs="David" w:hint="cs"/>
          <w:sz w:val="28"/>
          <w:szCs w:val="28"/>
          <w:rtl/>
        </w:rPr>
        <w:t xml:space="preserve"> של תחולת הכללים הקבועים בו בכל הנוגע לביטויים הנעשים </w:t>
      </w:r>
      <w:r w:rsidRPr="004C755F">
        <w:rPr>
          <w:rFonts w:cs="David" w:hint="cs"/>
          <w:b/>
          <w:bCs/>
          <w:sz w:val="28"/>
          <w:szCs w:val="28"/>
          <w:rtl/>
        </w:rPr>
        <w:t>במסגרת המרשתת</w:t>
      </w:r>
      <w:r w:rsidRPr="00EF4B4B">
        <w:rPr>
          <w:rFonts w:cs="David" w:hint="cs"/>
          <w:sz w:val="28"/>
          <w:szCs w:val="28"/>
          <w:rtl/>
        </w:rPr>
        <w:t xml:space="preserve">. </w:t>
      </w:r>
      <w:r>
        <w:rPr>
          <w:rFonts w:cs="David" w:hint="cs"/>
          <w:sz w:val="28"/>
          <w:szCs w:val="28"/>
          <w:rtl/>
        </w:rPr>
        <w:t xml:space="preserve">מבחינת המחוקק, </w:t>
      </w:r>
      <w:r w:rsidRPr="00EF4B4B">
        <w:rPr>
          <w:rFonts w:cs="David" w:hint="cs"/>
          <w:sz w:val="28"/>
          <w:szCs w:val="28"/>
          <w:rtl/>
        </w:rPr>
        <w:t xml:space="preserve">בדרך כלל, </w:t>
      </w:r>
      <w:r w:rsidRPr="00D8095F">
        <w:rPr>
          <w:rFonts w:cs="David" w:hint="cs"/>
          <w:b/>
          <w:bCs/>
          <w:sz w:val="28"/>
          <w:szCs w:val="28"/>
          <w:rtl/>
        </w:rPr>
        <w:t>הסדרים משפטיים חקוקים אינם מבחינים בין מסגרות להבעת דעה.</w:t>
      </w:r>
      <w:r w:rsidRPr="00EF4B4B">
        <w:rPr>
          <w:rFonts w:cs="David" w:hint="cs"/>
          <w:sz w:val="28"/>
          <w:szCs w:val="28"/>
          <w:rtl/>
        </w:rPr>
        <w:t xml:space="preserve"> רוב ההגבלות הפליליות והנזיקיות על סוגים שונים של ביטויים</w:t>
      </w:r>
      <w:r>
        <w:rPr>
          <w:rFonts w:cs="David" w:hint="cs"/>
          <w:sz w:val="28"/>
          <w:szCs w:val="28"/>
          <w:rtl/>
        </w:rPr>
        <w:t xml:space="preserve">, </w:t>
      </w:r>
      <w:r w:rsidRPr="00AF5654">
        <w:rPr>
          <w:rFonts w:cs="David" w:hint="cs"/>
          <w:b/>
          <w:bCs/>
          <w:sz w:val="28"/>
          <w:szCs w:val="28"/>
          <w:rtl/>
        </w:rPr>
        <w:t>כדוגמת ביטוי הסתה לגזענות ולאלימות</w:t>
      </w:r>
      <w:r w:rsidRPr="00AF5654">
        <w:rPr>
          <w:rFonts w:cs="David" w:hint="cs"/>
          <w:sz w:val="28"/>
          <w:szCs w:val="28"/>
          <w:rtl/>
        </w:rPr>
        <w:t>,</w:t>
      </w:r>
      <w:r w:rsidRPr="00EF4B4B">
        <w:rPr>
          <w:rFonts w:cs="David" w:hint="cs"/>
          <w:sz w:val="28"/>
          <w:szCs w:val="28"/>
          <w:rtl/>
        </w:rPr>
        <w:t xml:space="preserve"> אינן תלויות באמצעי שדרכו בוטאו</w:t>
      </w:r>
      <w:r>
        <w:rPr>
          <w:rFonts w:cs="David" w:hint="cs"/>
          <w:sz w:val="28"/>
          <w:szCs w:val="28"/>
          <w:rtl/>
        </w:rPr>
        <w:t xml:space="preserve">. </w:t>
      </w:r>
      <w:r w:rsidRPr="00EF4B4B">
        <w:rPr>
          <w:rFonts w:cs="David" w:hint="cs"/>
          <w:sz w:val="28"/>
          <w:szCs w:val="28"/>
          <w:rtl/>
        </w:rPr>
        <w:t xml:space="preserve">יחד עם זאת, יש </w:t>
      </w:r>
      <w:r w:rsidRPr="005703BE">
        <w:rPr>
          <w:rFonts w:cs="David" w:hint="cs"/>
          <w:b/>
          <w:bCs/>
          <w:sz w:val="28"/>
          <w:szCs w:val="28"/>
          <w:rtl/>
        </w:rPr>
        <w:t>חריגים</w:t>
      </w:r>
      <w:r w:rsidRPr="00EF4B4B">
        <w:rPr>
          <w:rFonts w:cs="David" w:hint="cs"/>
          <w:sz w:val="28"/>
          <w:szCs w:val="28"/>
          <w:rtl/>
        </w:rPr>
        <w:t xml:space="preserve"> ודוגמאות להוראות חקוקות שמחילות כללים מפורשים על ביטויים הנעשים במסגרת המרשתת.</w:t>
      </w:r>
      <w:r w:rsidRPr="00EF4B4B">
        <w:rPr>
          <w:rStyle w:val="a5"/>
          <w:rFonts w:cs="David"/>
          <w:sz w:val="28"/>
          <w:szCs w:val="28"/>
          <w:rtl/>
        </w:rPr>
        <w:footnoteReference w:id="171"/>
      </w:r>
      <w:r w:rsidRPr="00EF4B4B">
        <w:rPr>
          <w:rFonts w:cs="David" w:hint="cs"/>
          <w:sz w:val="28"/>
          <w:szCs w:val="28"/>
          <w:rtl/>
        </w:rPr>
        <w:t xml:space="preserve"> </w:t>
      </w:r>
    </w:p>
    <w:p w:rsidR="004B1862" w:rsidRDefault="004B1862" w:rsidP="004B1862">
      <w:pPr>
        <w:spacing w:line="360" w:lineRule="auto"/>
        <w:jc w:val="both"/>
        <w:rPr>
          <w:rFonts w:cs="David"/>
          <w:sz w:val="28"/>
          <w:szCs w:val="28"/>
          <w:rtl/>
        </w:rPr>
      </w:pPr>
      <w:r w:rsidRPr="009A596A">
        <w:rPr>
          <w:rFonts w:cs="David" w:hint="cs"/>
          <w:sz w:val="28"/>
          <w:szCs w:val="28"/>
          <w:rtl/>
        </w:rPr>
        <w:t>לפיכך, בהיעדר הסדרה מיוחדת וללא התייחסות מפורשת של המחוקק הישראלי,</w:t>
      </w:r>
      <w:r w:rsidRPr="0033142E">
        <w:rPr>
          <w:rFonts w:cs="David" w:hint="cs"/>
          <w:b/>
          <w:bCs/>
          <w:sz w:val="28"/>
          <w:szCs w:val="28"/>
          <w:rtl/>
        </w:rPr>
        <w:t xml:space="preserve"> חופש הביטוי במרשתת כפוף אך ורק לאיסורים הכלל</w:t>
      </w:r>
      <w:r>
        <w:rPr>
          <w:rFonts w:cs="David" w:hint="cs"/>
          <w:b/>
          <w:bCs/>
          <w:sz w:val="28"/>
          <w:szCs w:val="28"/>
          <w:rtl/>
        </w:rPr>
        <w:t>י</w:t>
      </w:r>
      <w:r w:rsidRPr="0033142E">
        <w:rPr>
          <w:rFonts w:cs="David" w:hint="cs"/>
          <w:b/>
          <w:bCs/>
          <w:sz w:val="28"/>
          <w:szCs w:val="28"/>
          <w:rtl/>
        </w:rPr>
        <w:t>ים שבחוק</w:t>
      </w:r>
      <w:r>
        <w:rPr>
          <w:rFonts w:cs="David" w:hint="cs"/>
          <w:sz w:val="28"/>
          <w:szCs w:val="28"/>
          <w:rtl/>
        </w:rPr>
        <w:t>, שחלים על כל אדם בישראל, כגון חוקי הגנה על זכויות יוצרים, הגנה על שמו הטוב של האדם או על פרטיותו, פרסום חומרים פדופיליים ועוד.</w:t>
      </w:r>
      <w:r>
        <w:rPr>
          <w:rStyle w:val="a5"/>
          <w:rFonts w:cs="David"/>
          <w:sz w:val="28"/>
          <w:szCs w:val="28"/>
          <w:rtl/>
        </w:rPr>
        <w:footnoteReference w:id="172"/>
      </w:r>
      <w:r>
        <w:rPr>
          <w:rFonts w:cs="David" w:hint="cs"/>
          <w:sz w:val="28"/>
          <w:szCs w:val="28"/>
          <w:rtl/>
        </w:rPr>
        <w:t xml:space="preserve"> </w:t>
      </w:r>
      <w:r w:rsidRPr="009A596A">
        <w:rPr>
          <w:rFonts w:cs="David" w:hint="cs"/>
          <w:b/>
          <w:bCs/>
          <w:sz w:val="28"/>
          <w:szCs w:val="28"/>
          <w:rtl/>
        </w:rPr>
        <w:t>לעניינה של עבודה ז</w:t>
      </w:r>
      <w:r>
        <w:rPr>
          <w:rFonts w:cs="David" w:hint="cs"/>
          <w:b/>
          <w:bCs/>
          <w:sz w:val="28"/>
          <w:szCs w:val="28"/>
          <w:rtl/>
        </w:rPr>
        <w:t>ו, האיסורים שבסעיפים 144ב ו 144</w:t>
      </w:r>
      <w:r w:rsidRPr="009A596A">
        <w:rPr>
          <w:rFonts w:cs="David" w:hint="cs"/>
          <w:b/>
          <w:bCs/>
          <w:sz w:val="28"/>
          <w:szCs w:val="28"/>
          <w:rtl/>
        </w:rPr>
        <w:t>ד2 שהובאו לעיל.</w:t>
      </w:r>
      <w:r>
        <w:rPr>
          <w:rFonts w:cs="David" w:hint="cs"/>
          <w:b/>
          <w:bCs/>
          <w:sz w:val="28"/>
          <w:szCs w:val="28"/>
          <w:rtl/>
        </w:rPr>
        <w:t xml:space="preserve"> </w:t>
      </w:r>
      <w:r>
        <w:rPr>
          <w:rFonts w:cs="David" w:hint="cs"/>
          <w:sz w:val="28"/>
          <w:szCs w:val="28"/>
          <w:rtl/>
        </w:rPr>
        <w:t xml:space="preserve">שונה המצב בכלי התקשורת המסורתיים, המודפסים והמשודרים, ובדגש על האלקטרוניים, </w:t>
      </w:r>
      <w:r w:rsidRPr="00494162">
        <w:rPr>
          <w:rFonts w:cs="David" w:hint="cs"/>
          <w:b/>
          <w:bCs/>
          <w:sz w:val="28"/>
          <w:szCs w:val="28"/>
          <w:rtl/>
        </w:rPr>
        <w:t>שם נקבעה הסדרה מיוחדת</w:t>
      </w:r>
      <w:r>
        <w:rPr>
          <w:rFonts w:cs="David" w:hint="cs"/>
          <w:sz w:val="28"/>
          <w:szCs w:val="28"/>
          <w:rtl/>
        </w:rPr>
        <w:t xml:space="preserve"> וחלות הגבלות שונות בנוסף לאיסורים הכלליים המופיעים בחוק.</w:t>
      </w:r>
      <w:r>
        <w:rPr>
          <w:rStyle w:val="a5"/>
          <w:rFonts w:cs="David"/>
          <w:sz w:val="28"/>
          <w:szCs w:val="28"/>
          <w:rtl/>
        </w:rPr>
        <w:footnoteReference w:id="173"/>
      </w:r>
      <w:r>
        <w:rPr>
          <w:rFonts w:cs="David" w:hint="cs"/>
          <w:sz w:val="28"/>
          <w:szCs w:val="28"/>
          <w:rtl/>
        </w:rPr>
        <w:t xml:space="preserve"> </w:t>
      </w:r>
    </w:p>
    <w:p w:rsidR="004B1862" w:rsidRPr="00EF4B4B" w:rsidRDefault="004B1862" w:rsidP="004B1862">
      <w:pPr>
        <w:spacing w:line="360" w:lineRule="auto"/>
        <w:jc w:val="both"/>
        <w:rPr>
          <w:rFonts w:cs="David"/>
          <w:sz w:val="28"/>
          <w:szCs w:val="28"/>
          <w:rtl/>
        </w:rPr>
      </w:pPr>
      <w:r>
        <w:rPr>
          <w:rFonts w:cs="David" w:hint="cs"/>
          <w:sz w:val="28"/>
          <w:szCs w:val="28"/>
          <w:rtl/>
        </w:rPr>
        <w:lastRenderedPageBreak/>
        <w:t>גם בתי המשפט בישראל</w:t>
      </w:r>
      <w:r w:rsidRPr="00EF4B4B">
        <w:rPr>
          <w:rFonts w:cs="David" w:hint="cs"/>
          <w:sz w:val="28"/>
          <w:szCs w:val="28"/>
          <w:rtl/>
        </w:rPr>
        <w:t>, אשר פירשו הוראות חקוקות קבעו לעיתים</w:t>
      </w:r>
      <w:r>
        <w:rPr>
          <w:rFonts w:cs="David" w:hint="cs"/>
          <w:sz w:val="28"/>
          <w:szCs w:val="28"/>
          <w:rtl/>
        </w:rPr>
        <w:t>,</w:t>
      </w:r>
      <w:r w:rsidRPr="00EF4B4B">
        <w:rPr>
          <w:rFonts w:cs="David" w:hint="cs"/>
          <w:sz w:val="28"/>
          <w:szCs w:val="28"/>
          <w:rtl/>
        </w:rPr>
        <w:t xml:space="preserve"> שיש להחיל את החוקים על ביטויים ב</w:t>
      </w:r>
      <w:r>
        <w:rPr>
          <w:rFonts w:cs="David" w:hint="cs"/>
          <w:sz w:val="28"/>
          <w:szCs w:val="28"/>
          <w:rtl/>
        </w:rPr>
        <w:t>מסגרות של ה</w:t>
      </w:r>
      <w:r w:rsidRPr="00EF4B4B">
        <w:rPr>
          <w:rFonts w:cs="David" w:hint="cs"/>
          <w:sz w:val="28"/>
          <w:szCs w:val="28"/>
          <w:rtl/>
        </w:rPr>
        <w:t xml:space="preserve">מרשתת, </w:t>
      </w:r>
      <w:r w:rsidRPr="00D14368">
        <w:rPr>
          <w:rFonts w:cs="David" w:hint="cs"/>
          <w:b/>
          <w:bCs/>
          <w:sz w:val="28"/>
          <w:szCs w:val="28"/>
          <w:rtl/>
        </w:rPr>
        <w:t>גם בהיעדר התייחסות מפורשת בחוק למרשתת</w:t>
      </w:r>
      <w:r>
        <w:rPr>
          <w:rFonts w:cs="David" w:hint="cs"/>
          <w:sz w:val="28"/>
          <w:szCs w:val="28"/>
          <w:rtl/>
        </w:rPr>
        <w:t xml:space="preserve">, </w:t>
      </w:r>
      <w:r w:rsidRPr="00EF4B4B">
        <w:rPr>
          <w:rFonts w:cs="David" w:hint="cs"/>
          <w:sz w:val="28"/>
          <w:szCs w:val="28"/>
          <w:rtl/>
        </w:rPr>
        <w:t xml:space="preserve">אך לעיתים </w:t>
      </w:r>
      <w:r w:rsidRPr="00D14368">
        <w:rPr>
          <w:rFonts w:cs="David" w:hint="cs"/>
          <w:b/>
          <w:bCs/>
          <w:sz w:val="28"/>
          <w:szCs w:val="28"/>
          <w:rtl/>
        </w:rPr>
        <w:t>קבעו את ההפך</w:t>
      </w:r>
      <w:r w:rsidRPr="00EF4B4B">
        <w:rPr>
          <w:rFonts w:cs="David" w:hint="cs"/>
          <w:sz w:val="28"/>
          <w:szCs w:val="28"/>
          <w:rtl/>
        </w:rPr>
        <w:t>.</w:t>
      </w:r>
      <w:r>
        <w:rPr>
          <w:rStyle w:val="a5"/>
          <w:rFonts w:cs="David"/>
          <w:sz w:val="28"/>
          <w:szCs w:val="28"/>
          <w:rtl/>
        </w:rPr>
        <w:footnoteReference w:id="174"/>
      </w:r>
    </w:p>
    <w:p w:rsidR="004B1862" w:rsidRDefault="004B1862" w:rsidP="004B1862">
      <w:pPr>
        <w:spacing w:line="360" w:lineRule="auto"/>
        <w:jc w:val="both"/>
        <w:rPr>
          <w:rFonts w:cs="David"/>
          <w:sz w:val="28"/>
          <w:szCs w:val="28"/>
          <w:rtl/>
        </w:rPr>
      </w:pPr>
      <w:r>
        <w:rPr>
          <w:rFonts w:cs="David" w:hint="cs"/>
          <w:sz w:val="28"/>
          <w:szCs w:val="28"/>
          <w:rtl/>
        </w:rPr>
        <w:t>כדי להתמודד עם שתי העמדות שלעיל ועם חוסר העקביות שבהתייחסות המחוקק והפסיקה, עוסקת הספרות המשפטית בשאלה</w:t>
      </w:r>
      <w:r w:rsidRPr="009F3633">
        <w:rPr>
          <w:rFonts w:cs="David" w:hint="cs"/>
          <w:sz w:val="28"/>
          <w:szCs w:val="28"/>
          <w:rtl/>
        </w:rPr>
        <w:t xml:space="preserve">, </w:t>
      </w:r>
      <w:r w:rsidRPr="00D60B4A">
        <w:rPr>
          <w:rFonts w:cs="David" w:hint="cs"/>
          <w:b/>
          <w:bCs/>
          <w:sz w:val="28"/>
          <w:szCs w:val="28"/>
          <w:rtl/>
        </w:rPr>
        <w:t xml:space="preserve">האם לאור המאפיינים הייחודיים של המרשתת ישנה הצדקה לקבוע גבולות לחופש הביטוי </w:t>
      </w:r>
      <w:r w:rsidRPr="009F3633">
        <w:rPr>
          <w:rFonts w:cs="David" w:hint="cs"/>
          <w:sz w:val="28"/>
          <w:szCs w:val="28"/>
          <w:rtl/>
        </w:rPr>
        <w:t>ולקבוע כללים אחרים</w:t>
      </w:r>
      <w:r w:rsidRPr="00EF4B4B">
        <w:rPr>
          <w:rFonts w:cs="David" w:hint="cs"/>
          <w:sz w:val="28"/>
          <w:szCs w:val="28"/>
          <w:rtl/>
        </w:rPr>
        <w:t xml:space="preserve"> ושו</w:t>
      </w:r>
      <w:r>
        <w:rPr>
          <w:rFonts w:cs="David" w:hint="cs"/>
          <w:sz w:val="28"/>
          <w:szCs w:val="28"/>
          <w:rtl/>
        </w:rPr>
        <w:t xml:space="preserve">נים על הביטויים הנעשים </w:t>
      </w:r>
      <w:r w:rsidRPr="00C8487D">
        <w:rPr>
          <w:rFonts w:cs="David" w:hint="cs"/>
          <w:b/>
          <w:bCs/>
          <w:sz w:val="28"/>
          <w:szCs w:val="28"/>
          <w:rtl/>
        </w:rPr>
        <w:t>במרשתת</w:t>
      </w:r>
      <w:r>
        <w:rPr>
          <w:rFonts w:cs="David" w:hint="cs"/>
          <w:sz w:val="28"/>
          <w:szCs w:val="28"/>
          <w:rtl/>
        </w:rPr>
        <w:t xml:space="preserve"> להבדיל מאמצעי תקשורת אחרים?</w:t>
      </w:r>
    </w:p>
    <w:p w:rsidR="004B1862" w:rsidRDefault="004B1862" w:rsidP="004B1862">
      <w:pPr>
        <w:spacing w:line="360" w:lineRule="auto"/>
        <w:jc w:val="both"/>
        <w:rPr>
          <w:rFonts w:cs="David"/>
          <w:sz w:val="28"/>
          <w:szCs w:val="28"/>
          <w:rtl/>
        </w:rPr>
      </w:pPr>
      <w:r w:rsidRPr="008B214D">
        <w:rPr>
          <w:rFonts w:cs="David" w:hint="cs"/>
          <w:sz w:val="28"/>
          <w:szCs w:val="28"/>
          <w:rtl/>
        </w:rPr>
        <w:t xml:space="preserve">שאלת </w:t>
      </w:r>
      <w:r w:rsidRPr="008B214D">
        <w:rPr>
          <w:rFonts w:cs="David" w:hint="cs"/>
          <w:b/>
          <w:bCs/>
          <w:sz w:val="28"/>
          <w:szCs w:val="28"/>
          <w:rtl/>
        </w:rPr>
        <w:t>גבולות חופש</w:t>
      </w:r>
      <w:r w:rsidRPr="008B214D">
        <w:rPr>
          <w:rFonts w:cs="David" w:hint="cs"/>
          <w:sz w:val="28"/>
          <w:szCs w:val="28"/>
          <w:rtl/>
        </w:rPr>
        <w:t xml:space="preserve"> </w:t>
      </w:r>
      <w:r>
        <w:rPr>
          <w:rFonts w:cs="David" w:hint="cs"/>
          <w:sz w:val="28"/>
          <w:szCs w:val="28"/>
          <w:rtl/>
        </w:rPr>
        <w:t xml:space="preserve">הביטוי </w:t>
      </w:r>
      <w:r w:rsidRPr="00B4591A">
        <w:rPr>
          <w:rFonts w:cs="David" w:hint="cs"/>
          <w:b/>
          <w:bCs/>
          <w:sz w:val="28"/>
          <w:szCs w:val="28"/>
          <w:rtl/>
        </w:rPr>
        <w:t>מציבה בכל עוצמתה את ההתנגשויות בין האידאה של חופש הביטוי המוחלט, לבין הצורך להגן על אותם אינטרסים וערכים אחרים, שאינם מתיישבים עם חופש ביטוי מוחלט</w:t>
      </w:r>
      <w:r>
        <w:rPr>
          <w:rFonts w:cs="David" w:hint="cs"/>
          <w:b/>
          <w:bCs/>
          <w:sz w:val="28"/>
          <w:szCs w:val="28"/>
          <w:rtl/>
        </w:rPr>
        <w:t>, כדוגמת אלו המוגנים בעבירות ההסתה לגזענות ולאלימות.</w:t>
      </w:r>
      <w:r>
        <w:rPr>
          <w:rStyle w:val="a5"/>
          <w:rFonts w:cs="David"/>
          <w:sz w:val="28"/>
          <w:szCs w:val="28"/>
          <w:rtl/>
        </w:rPr>
        <w:footnoteReference w:id="175"/>
      </w:r>
      <w:r>
        <w:rPr>
          <w:rFonts w:cs="David" w:hint="cs"/>
          <w:sz w:val="28"/>
          <w:szCs w:val="28"/>
          <w:rtl/>
        </w:rPr>
        <w:t xml:space="preserve"> </w:t>
      </w:r>
    </w:p>
    <w:p w:rsidR="004B1862" w:rsidRDefault="004B1862" w:rsidP="004B1862">
      <w:pPr>
        <w:spacing w:line="360" w:lineRule="auto"/>
        <w:jc w:val="both"/>
        <w:rPr>
          <w:rFonts w:cs="David"/>
          <w:sz w:val="28"/>
          <w:szCs w:val="28"/>
          <w:rtl/>
        </w:rPr>
      </w:pPr>
      <w:r w:rsidRPr="00AA66CA">
        <w:rPr>
          <w:rFonts w:cs="David" w:hint="cs"/>
          <w:sz w:val="28"/>
          <w:szCs w:val="28"/>
          <w:rtl/>
        </w:rPr>
        <w:t>מצד אחד, ניתן לטע</w:t>
      </w:r>
      <w:r>
        <w:rPr>
          <w:rFonts w:cs="David" w:hint="cs"/>
          <w:sz w:val="28"/>
          <w:szCs w:val="28"/>
          <w:rtl/>
        </w:rPr>
        <w:t>ו</w:t>
      </w:r>
      <w:r w:rsidRPr="00AA66CA">
        <w:rPr>
          <w:rFonts w:cs="David" w:hint="cs"/>
          <w:sz w:val="28"/>
          <w:szCs w:val="28"/>
          <w:rtl/>
        </w:rPr>
        <w:t xml:space="preserve">ן כי </w:t>
      </w:r>
      <w:r w:rsidRPr="00EF4B4B">
        <w:rPr>
          <w:rFonts w:cs="David" w:hint="cs"/>
          <w:sz w:val="28"/>
          <w:szCs w:val="28"/>
          <w:rtl/>
        </w:rPr>
        <w:t xml:space="preserve">למרות מורשת עתיקה וליברלית בזכות חופש הביטוי, </w:t>
      </w:r>
      <w:r>
        <w:rPr>
          <w:rFonts w:cs="David" w:hint="cs"/>
          <w:sz w:val="28"/>
          <w:szCs w:val="28"/>
          <w:rtl/>
        </w:rPr>
        <w:t xml:space="preserve">בפועל </w:t>
      </w:r>
      <w:r w:rsidRPr="00EF4B4B">
        <w:rPr>
          <w:rFonts w:cs="David" w:hint="cs"/>
          <w:sz w:val="28"/>
          <w:szCs w:val="28"/>
          <w:rtl/>
        </w:rPr>
        <w:t xml:space="preserve">רק </w:t>
      </w:r>
      <w:r>
        <w:rPr>
          <w:rFonts w:cs="David" w:hint="cs"/>
          <w:sz w:val="28"/>
          <w:szCs w:val="28"/>
          <w:rtl/>
        </w:rPr>
        <w:t xml:space="preserve">עם </w:t>
      </w:r>
      <w:r w:rsidRPr="00EF4B4B">
        <w:rPr>
          <w:rFonts w:cs="David" w:hint="cs"/>
          <w:sz w:val="28"/>
          <w:szCs w:val="28"/>
          <w:rtl/>
        </w:rPr>
        <w:t>הופעת המרשתת ב</w:t>
      </w:r>
      <w:r>
        <w:rPr>
          <w:rFonts w:cs="David" w:hint="cs"/>
          <w:sz w:val="28"/>
          <w:szCs w:val="28"/>
          <w:rtl/>
        </w:rPr>
        <w:t>ראשית</w:t>
      </w:r>
      <w:r w:rsidRPr="00EF4B4B">
        <w:rPr>
          <w:rFonts w:cs="David" w:hint="cs"/>
          <w:sz w:val="28"/>
          <w:szCs w:val="28"/>
          <w:rtl/>
        </w:rPr>
        <w:t xml:space="preserve"> שנות התשעים של המאה הקודמת, ובדגש </w:t>
      </w:r>
      <w:r w:rsidRPr="008E09CE">
        <w:rPr>
          <w:rFonts w:cs="David" w:hint="cs"/>
          <w:b/>
          <w:bCs/>
          <w:sz w:val="28"/>
          <w:szCs w:val="28"/>
          <w:rtl/>
        </w:rPr>
        <w:t>ע</w:t>
      </w:r>
      <w:r>
        <w:rPr>
          <w:rFonts w:cs="David" w:hint="cs"/>
          <w:b/>
          <w:bCs/>
          <w:sz w:val="28"/>
          <w:szCs w:val="28"/>
          <w:rtl/>
        </w:rPr>
        <w:t>ל</w:t>
      </w:r>
      <w:r w:rsidRPr="008E09CE">
        <w:rPr>
          <w:rFonts w:cs="David" w:hint="cs"/>
          <w:b/>
          <w:bCs/>
          <w:sz w:val="28"/>
          <w:szCs w:val="28"/>
          <w:rtl/>
        </w:rPr>
        <w:t xml:space="preserve"> הופעת הרשתות החברתיות</w:t>
      </w:r>
      <w:r w:rsidRPr="00EF4B4B">
        <w:rPr>
          <w:rFonts w:cs="David" w:hint="cs"/>
          <w:sz w:val="28"/>
          <w:szCs w:val="28"/>
          <w:rtl/>
        </w:rPr>
        <w:t xml:space="preserve"> באמצע העשור הראשון של המאה הנוכחית, הוענק תוכן ממ</w:t>
      </w:r>
      <w:r>
        <w:rPr>
          <w:rFonts w:cs="David" w:hint="cs"/>
          <w:sz w:val="28"/>
          <w:szCs w:val="28"/>
          <w:rtl/>
        </w:rPr>
        <w:t xml:space="preserve">שי ומשמעותי למושג 'חופש הביטוי'. מצד שני, </w:t>
      </w:r>
      <w:r w:rsidRPr="008E09CE">
        <w:rPr>
          <w:rFonts w:cs="David" w:hint="cs"/>
          <w:b/>
          <w:bCs/>
          <w:sz w:val="28"/>
          <w:szCs w:val="28"/>
          <w:rtl/>
        </w:rPr>
        <w:t>לנוכח השיח הגזעני והמסית הרב הקיים ברשת</w:t>
      </w:r>
      <w:r>
        <w:rPr>
          <w:rFonts w:cs="David" w:hint="cs"/>
          <w:sz w:val="28"/>
          <w:szCs w:val="28"/>
          <w:rtl/>
        </w:rPr>
        <w:t xml:space="preserve"> ומגמת העלייה שלו משנה לשנה, כפי שניתן להסיק מן הנתונים שהוצגו לעיל</w:t>
      </w:r>
      <w:r w:rsidRPr="006B5F93">
        <w:rPr>
          <w:rFonts w:cs="David" w:hint="cs"/>
          <w:sz w:val="28"/>
          <w:szCs w:val="28"/>
          <w:rtl/>
        </w:rPr>
        <w:t>, נשאלת השאלה</w:t>
      </w:r>
      <w:r>
        <w:rPr>
          <w:rFonts w:cs="David" w:hint="cs"/>
          <w:b/>
          <w:bCs/>
          <w:sz w:val="28"/>
          <w:szCs w:val="28"/>
          <w:rtl/>
        </w:rPr>
        <w:t xml:space="preserve"> </w:t>
      </w:r>
      <w:r>
        <w:rPr>
          <w:rFonts w:cs="David" w:hint="cs"/>
          <w:sz w:val="28"/>
          <w:szCs w:val="28"/>
          <w:rtl/>
        </w:rPr>
        <w:t>האם באמת ניתן לקיים במרשתת שיח דמוקרטי במובנו המהותי וחופש ביטוי במובן זה שכל אחד ממשתמשי הרשת לא רק רשאי להתבטא, אלא גם יכול בפועל להתבטא ואף מצליח להישמע?</w:t>
      </w:r>
      <w:r>
        <w:rPr>
          <w:rStyle w:val="a5"/>
          <w:rFonts w:cs="David"/>
          <w:sz w:val="28"/>
          <w:szCs w:val="28"/>
          <w:rtl/>
        </w:rPr>
        <w:footnoteReference w:id="176"/>
      </w:r>
    </w:p>
    <w:p w:rsidR="004B1862" w:rsidRDefault="004B1862" w:rsidP="004B1862">
      <w:pPr>
        <w:spacing w:line="360" w:lineRule="auto"/>
        <w:jc w:val="both"/>
        <w:rPr>
          <w:rFonts w:cs="David"/>
          <w:sz w:val="28"/>
          <w:szCs w:val="28"/>
          <w:rtl/>
        </w:rPr>
      </w:pPr>
      <w:r w:rsidRPr="00793A74">
        <w:rPr>
          <w:rFonts w:cs="David" w:hint="cs"/>
          <w:b/>
          <w:bCs/>
          <w:sz w:val="28"/>
          <w:szCs w:val="28"/>
          <w:rtl/>
        </w:rPr>
        <w:t>שתי גישות קצה קיימות בנושא גבולות החופש</w:t>
      </w:r>
      <w:r w:rsidR="00F044B2">
        <w:rPr>
          <w:rFonts w:cs="David" w:hint="cs"/>
          <w:b/>
          <w:bCs/>
          <w:sz w:val="28"/>
          <w:szCs w:val="28"/>
          <w:rtl/>
        </w:rPr>
        <w:t xml:space="preserve"> </w:t>
      </w:r>
      <w:r w:rsidR="00F044B2" w:rsidRPr="00AF5654">
        <w:rPr>
          <w:rFonts w:cs="David" w:hint="cs"/>
          <w:b/>
          <w:bCs/>
          <w:sz w:val="28"/>
          <w:szCs w:val="28"/>
          <w:rtl/>
        </w:rPr>
        <w:t>ולכל אחת מהן השפעה (הפוכה) על עיצוב המדיניות המשפטית במרשתת</w:t>
      </w:r>
      <w:r w:rsidRPr="00AF5654">
        <w:rPr>
          <w:rFonts w:cs="David" w:hint="cs"/>
          <w:sz w:val="28"/>
          <w:szCs w:val="28"/>
          <w:rtl/>
        </w:rPr>
        <w:t>. האחת, ג</w:t>
      </w:r>
      <w:r>
        <w:rPr>
          <w:rFonts w:cs="David" w:hint="cs"/>
          <w:sz w:val="28"/>
          <w:szCs w:val="28"/>
          <w:rtl/>
        </w:rPr>
        <w:t xml:space="preserve">ישה ליבראלית קלאסית, אשר רואה בחופש הביטוי ערך עליון ולכן על המרשתת להיות מרחב פתוח המאפשר לרבים להתבטא באופן עצמאי וישיר במעיין 'הייד פארק' וירטואלי. משום כך </w:t>
      </w:r>
      <w:r w:rsidRPr="00793A74">
        <w:rPr>
          <w:rFonts w:cs="David" w:hint="cs"/>
          <w:b/>
          <w:bCs/>
          <w:sz w:val="28"/>
          <w:szCs w:val="28"/>
          <w:rtl/>
        </w:rPr>
        <w:t>עליו להישאר חף מכל ריסון, פיקוח והגבלה וכי</w:t>
      </w:r>
      <w:r w:rsidRPr="00AA66CA">
        <w:rPr>
          <w:rFonts w:cs="David" w:hint="cs"/>
          <w:b/>
          <w:bCs/>
          <w:sz w:val="28"/>
          <w:szCs w:val="28"/>
          <w:rtl/>
        </w:rPr>
        <w:t xml:space="preserve"> אל לו לעולם המשפט להתערב בעיצוב היחסים בין המשתמשים השונים </w:t>
      </w:r>
      <w:r w:rsidRPr="00AF5654">
        <w:rPr>
          <w:rFonts w:cs="David" w:hint="cs"/>
          <w:b/>
          <w:bCs/>
          <w:sz w:val="28"/>
          <w:szCs w:val="28"/>
          <w:rtl/>
        </w:rPr>
        <w:t>במרשתת, גם אם בכך מוענקת במה לשיח גזעני ומסית</w:t>
      </w:r>
      <w:r w:rsidRPr="00AF5654">
        <w:rPr>
          <w:rFonts w:cs="David" w:hint="cs"/>
          <w:sz w:val="28"/>
          <w:szCs w:val="28"/>
          <w:rtl/>
        </w:rPr>
        <w:t>.</w:t>
      </w:r>
      <w:r>
        <w:rPr>
          <w:rFonts w:cs="David" w:hint="cs"/>
          <w:sz w:val="28"/>
          <w:szCs w:val="28"/>
          <w:rtl/>
        </w:rPr>
        <w:t xml:space="preserve">  </w:t>
      </w:r>
    </w:p>
    <w:p w:rsidR="004B1862" w:rsidRDefault="004B1862" w:rsidP="004B1862">
      <w:pPr>
        <w:spacing w:line="360" w:lineRule="auto"/>
        <w:jc w:val="both"/>
        <w:rPr>
          <w:rFonts w:cs="David"/>
          <w:sz w:val="28"/>
          <w:szCs w:val="28"/>
          <w:rtl/>
        </w:rPr>
      </w:pPr>
      <w:r w:rsidRPr="00793A74">
        <w:rPr>
          <w:rFonts w:cs="David" w:hint="cs"/>
          <w:b/>
          <w:bCs/>
          <w:sz w:val="28"/>
          <w:szCs w:val="28"/>
          <w:rtl/>
        </w:rPr>
        <w:t>מולה</w:t>
      </w:r>
      <w:r>
        <w:rPr>
          <w:rFonts w:cs="David" w:hint="cs"/>
          <w:sz w:val="28"/>
          <w:szCs w:val="28"/>
          <w:rtl/>
        </w:rPr>
        <w:t xml:space="preserve"> עומדת גישת קתרין מקינון,</w:t>
      </w:r>
      <w:r>
        <w:rPr>
          <w:rStyle w:val="a5"/>
          <w:rFonts w:cs="David"/>
          <w:sz w:val="28"/>
          <w:szCs w:val="28"/>
          <w:rtl/>
        </w:rPr>
        <w:footnoteReference w:id="177"/>
      </w:r>
      <w:r>
        <w:rPr>
          <w:rFonts w:cs="David" w:hint="cs"/>
          <w:sz w:val="28"/>
          <w:szCs w:val="28"/>
          <w:rtl/>
        </w:rPr>
        <w:t xml:space="preserve"> שעל פיה אם חופש ביטוי של קבוצה אחת פוגע ביכולתה של קבוצה אחרת להתבטא ולהישמע, </w:t>
      </w:r>
      <w:r w:rsidRPr="00397B49">
        <w:rPr>
          <w:rFonts w:cs="David" w:hint="cs"/>
          <w:b/>
          <w:bCs/>
          <w:sz w:val="28"/>
          <w:szCs w:val="28"/>
          <w:rtl/>
        </w:rPr>
        <w:t>אזי נדרש איזון בין חופש הביטוי של שתי הקבוצות</w:t>
      </w:r>
      <w:r>
        <w:rPr>
          <w:rFonts w:cs="David" w:hint="cs"/>
          <w:sz w:val="28"/>
          <w:szCs w:val="28"/>
          <w:rtl/>
        </w:rPr>
        <w:t xml:space="preserve">. לפי תפיסתה, כאשר קבוצה אחת משתיקה את הקבוצה האחרת, </w:t>
      </w:r>
      <w:r>
        <w:rPr>
          <w:rFonts w:cs="David" w:hint="cs"/>
          <w:sz w:val="28"/>
          <w:szCs w:val="28"/>
          <w:rtl/>
        </w:rPr>
        <w:lastRenderedPageBreak/>
        <w:t xml:space="preserve">הגבלת חופש הביטוי של הקבוצה הפוגעת, חיונית כדי להגן על חופש הביטוי של הקבוצה הנפגעת ובנסיבות אלו, הגבלת חופש הביטוי אינה מהווה פגיעה בו, אלא דווקא חיזוק שלו, שכן </w:t>
      </w:r>
      <w:r w:rsidRPr="003A4496">
        <w:rPr>
          <w:rFonts w:cs="David" w:hint="cs"/>
          <w:b/>
          <w:bCs/>
          <w:sz w:val="28"/>
          <w:szCs w:val="28"/>
          <w:rtl/>
        </w:rPr>
        <w:t>ביטויי הסתה ושנאה מרתיעים מתבטאים אחרים</w:t>
      </w:r>
      <w:r>
        <w:rPr>
          <w:rFonts w:cs="David" w:hint="cs"/>
          <w:b/>
          <w:bCs/>
          <w:sz w:val="28"/>
          <w:szCs w:val="28"/>
          <w:rtl/>
        </w:rPr>
        <w:t>.</w:t>
      </w:r>
      <w:r w:rsidRPr="003A4496">
        <w:rPr>
          <w:rFonts w:cs="David" w:hint="cs"/>
          <w:b/>
          <w:bCs/>
          <w:sz w:val="28"/>
          <w:szCs w:val="28"/>
          <w:rtl/>
        </w:rPr>
        <w:t xml:space="preserve"> </w:t>
      </w:r>
      <w:r w:rsidRPr="00BE61D8">
        <w:rPr>
          <w:rFonts w:cs="David" w:hint="cs"/>
          <w:sz w:val="28"/>
          <w:szCs w:val="28"/>
          <w:rtl/>
        </w:rPr>
        <w:t xml:space="preserve">לכן, </w:t>
      </w:r>
      <w:r w:rsidRPr="00BE61D8">
        <w:rPr>
          <w:rFonts w:cs="David" w:hint="cs"/>
          <w:b/>
          <w:bCs/>
          <w:sz w:val="28"/>
          <w:szCs w:val="28"/>
          <w:rtl/>
        </w:rPr>
        <w:t>ריסון והגבלה של ביטויים אלו</w:t>
      </w:r>
      <w:r w:rsidRPr="00BE61D8">
        <w:rPr>
          <w:rFonts w:cs="David" w:hint="cs"/>
          <w:sz w:val="28"/>
          <w:szCs w:val="28"/>
          <w:rtl/>
        </w:rPr>
        <w:t>, אם בחוק ואם באכיפה</w:t>
      </w:r>
      <w:r w:rsidRPr="00BE61D8">
        <w:rPr>
          <w:rFonts w:cs="David" w:hint="cs"/>
          <w:b/>
          <w:bCs/>
          <w:sz w:val="28"/>
          <w:szCs w:val="28"/>
          <w:rtl/>
        </w:rPr>
        <w:t>, תורמים</w:t>
      </w:r>
      <w:r w:rsidRPr="00BE61D8">
        <w:rPr>
          <w:rFonts w:cs="David" w:hint="cs"/>
          <w:sz w:val="28"/>
          <w:szCs w:val="28"/>
          <w:rtl/>
        </w:rPr>
        <w:t xml:space="preserve"> לחופש הביטוי ולא גורעים ממנו. </w:t>
      </w:r>
    </w:p>
    <w:p w:rsidR="004B1862" w:rsidRDefault="004B1862" w:rsidP="004B1862">
      <w:pPr>
        <w:spacing w:line="360" w:lineRule="auto"/>
        <w:jc w:val="both"/>
        <w:rPr>
          <w:rFonts w:cs="David"/>
          <w:sz w:val="28"/>
          <w:szCs w:val="28"/>
          <w:rtl/>
        </w:rPr>
      </w:pPr>
      <w:r>
        <w:rPr>
          <w:rFonts w:cs="David" w:hint="cs"/>
          <w:sz w:val="28"/>
          <w:szCs w:val="28"/>
          <w:rtl/>
        </w:rPr>
        <w:t xml:space="preserve">מעניין לראות כי </w:t>
      </w:r>
      <w:r w:rsidRPr="00E5098E">
        <w:rPr>
          <w:rFonts w:cs="David" w:hint="cs"/>
          <w:b/>
          <w:bCs/>
          <w:sz w:val="28"/>
          <w:szCs w:val="28"/>
          <w:rtl/>
        </w:rPr>
        <w:t xml:space="preserve">בפרקליטות המדינה מאמצים גישה </w:t>
      </w:r>
      <w:r w:rsidRPr="00AF5654">
        <w:rPr>
          <w:rFonts w:cs="David" w:hint="cs"/>
          <w:b/>
          <w:bCs/>
          <w:sz w:val="28"/>
          <w:szCs w:val="28"/>
          <w:rtl/>
        </w:rPr>
        <w:t>דומה בכל הנוגע לעבירות ביטוי והסתה</w:t>
      </w:r>
      <w:r>
        <w:rPr>
          <w:rFonts w:cs="David" w:hint="cs"/>
          <w:sz w:val="28"/>
          <w:szCs w:val="28"/>
          <w:rtl/>
        </w:rPr>
        <w:t>. בראיון עם שלומי אברמזון, הוא טוען כי:</w:t>
      </w:r>
      <w:r>
        <w:rPr>
          <w:rStyle w:val="a5"/>
          <w:rFonts w:cs="David"/>
          <w:sz w:val="28"/>
          <w:szCs w:val="28"/>
          <w:rtl/>
        </w:rPr>
        <w:footnoteReference w:id="178"/>
      </w:r>
    </w:p>
    <w:p w:rsidR="004B1862" w:rsidRPr="000E6ADA" w:rsidRDefault="004B1862" w:rsidP="004B1862">
      <w:pPr>
        <w:spacing w:line="360" w:lineRule="auto"/>
        <w:ind w:left="720"/>
        <w:jc w:val="both"/>
        <w:rPr>
          <w:rFonts w:cs="David"/>
          <w:sz w:val="24"/>
          <w:szCs w:val="24"/>
          <w:rtl/>
        </w:rPr>
      </w:pPr>
      <w:r w:rsidRPr="000E6ADA">
        <w:rPr>
          <w:rFonts w:cs="David" w:hint="cs"/>
          <w:sz w:val="24"/>
          <w:szCs w:val="24"/>
          <w:rtl/>
        </w:rPr>
        <w:t>המציאות הקיימת בעייתית. פוגעים בחופש הביטוי בכך שאנשים מהצד הנפגע מפחדים לדבר. ההגנה על חופש הביטוי של צד אחד מייצרת פגיעה בחופש הביטוי של הצד האחר.</w:t>
      </w:r>
    </w:p>
    <w:p w:rsidR="004B1862" w:rsidRDefault="004B1862" w:rsidP="004B1862">
      <w:pPr>
        <w:spacing w:line="360" w:lineRule="auto"/>
        <w:jc w:val="both"/>
        <w:rPr>
          <w:rFonts w:cs="David"/>
          <w:b/>
          <w:bCs/>
          <w:color w:val="FF0000"/>
          <w:sz w:val="28"/>
          <w:szCs w:val="28"/>
          <w:rtl/>
        </w:rPr>
      </w:pPr>
      <w:r>
        <w:rPr>
          <w:rFonts w:cs="David" w:hint="cs"/>
          <w:sz w:val="28"/>
          <w:szCs w:val="28"/>
          <w:rtl/>
        </w:rPr>
        <w:t>מוסיפה מקינון ומציינת</w:t>
      </w:r>
      <w:r>
        <w:rPr>
          <w:rStyle w:val="a5"/>
          <w:rFonts w:cs="David"/>
          <w:sz w:val="28"/>
          <w:szCs w:val="28"/>
          <w:rtl/>
        </w:rPr>
        <w:footnoteReference w:id="179"/>
      </w:r>
      <w:r>
        <w:rPr>
          <w:rFonts w:cs="David" w:hint="cs"/>
          <w:sz w:val="28"/>
          <w:szCs w:val="28"/>
          <w:rtl/>
        </w:rPr>
        <w:t xml:space="preserve"> מתח נוסף הקיים בין הזכות לחופש ביטוי, כפי שזו מוצאת לה ביטוי במרשתת ובין הזכות לשוויון. לטענתה, חופש הביטוי של הקבוצה האחת עלול לפגוע בזכות לשוויון של הקבוצה האחרת, בייחוד אם חופש הביטוי מאפשר הדגשה של סטריאוטיפים, נחיתות וחולשה של חברי הקבוצה האחרת - </w:t>
      </w:r>
      <w:r w:rsidRPr="00AF5654">
        <w:rPr>
          <w:rFonts w:cs="David" w:hint="cs"/>
          <w:b/>
          <w:bCs/>
          <w:sz w:val="28"/>
          <w:szCs w:val="28"/>
          <w:rtl/>
        </w:rPr>
        <w:t>בדיוק כפי שקורה בשיח הגזעני והמסית כנגד המיעוט הערבי</w:t>
      </w:r>
      <w:r>
        <w:rPr>
          <w:rFonts w:cs="David" w:hint="cs"/>
          <w:sz w:val="28"/>
          <w:szCs w:val="28"/>
          <w:rtl/>
        </w:rPr>
        <w:t xml:space="preserve">. לטענתה, בחברה לא שוויונית משתמשת הקבוצה החזקה בחופש הביטוי, כדי לשמר את כוחה ולדכא את הקבוצה החלשה. לכן, הזכות לשוויון מחייבת התחשבות בפערים הקיימים בחברה, </w:t>
      </w:r>
      <w:r w:rsidRPr="001847A3">
        <w:rPr>
          <w:rFonts w:cs="David" w:hint="cs"/>
          <w:b/>
          <w:bCs/>
          <w:sz w:val="28"/>
          <w:szCs w:val="28"/>
          <w:rtl/>
        </w:rPr>
        <w:t xml:space="preserve">גם באמצעות הגבלתו של חופש </w:t>
      </w:r>
      <w:r w:rsidRPr="006418BE">
        <w:rPr>
          <w:rFonts w:cs="David" w:hint="cs"/>
          <w:b/>
          <w:bCs/>
          <w:sz w:val="28"/>
          <w:szCs w:val="28"/>
          <w:rtl/>
        </w:rPr>
        <w:t>הביטוי, בחוק ובפסיקה, כאשר זה מופנה אל ה</w:t>
      </w:r>
      <w:r>
        <w:rPr>
          <w:rFonts w:cs="David" w:hint="cs"/>
          <w:b/>
          <w:bCs/>
          <w:sz w:val="28"/>
          <w:szCs w:val="28"/>
          <w:rtl/>
        </w:rPr>
        <w:t>קבוצות החלשות.</w:t>
      </w:r>
    </w:p>
    <w:p w:rsidR="004B1862" w:rsidRDefault="004B1862" w:rsidP="00AF5654">
      <w:pPr>
        <w:spacing w:line="360" w:lineRule="auto"/>
        <w:jc w:val="both"/>
        <w:rPr>
          <w:rFonts w:cs="David"/>
          <w:sz w:val="28"/>
          <w:szCs w:val="28"/>
          <w:rtl/>
        </w:rPr>
      </w:pPr>
      <w:r w:rsidRPr="00B5430C">
        <w:rPr>
          <w:rFonts w:cs="David" w:hint="cs"/>
          <w:sz w:val="28"/>
          <w:szCs w:val="28"/>
          <w:rtl/>
        </w:rPr>
        <w:t xml:space="preserve">נראה </w:t>
      </w:r>
      <w:r w:rsidRPr="00B5430C">
        <w:rPr>
          <w:rFonts w:cs="David" w:hint="cs"/>
          <w:b/>
          <w:bCs/>
          <w:sz w:val="28"/>
          <w:szCs w:val="28"/>
          <w:rtl/>
        </w:rPr>
        <w:t>שגישתה המאזנת</w:t>
      </w:r>
      <w:r w:rsidRPr="00B5430C">
        <w:rPr>
          <w:rFonts w:cs="David" w:hint="cs"/>
          <w:sz w:val="28"/>
          <w:szCs w:val="28"/>
          <w:rtl/>
        </w:rPr>
        <w:t xml:space="preserve"> של מקינון מתאימה יותר להתמודדות עם תופעת השיח הגזעני והמסית</w:t>
      </w:r>
      <w:r w:rsidR="00DC451D">
        <w:rPr>
          <w:rFonts w:cs="David" w:hint="cs"/>
          <w:sz w:val="28"/>
          <w:szCs w:val="28"/>
          <w:rtl/>
        </w:rPr>
        <w:t xml:space="preserve"> המתנהל במרשתת וברשתות החברתיות. </w:t>
      </w:r>
      <w:r w:rsidRPr="00B5430C">
        <w:rPr>
          <w:rFonts w:cs="David" w:hint="cs"/>
          <w:sz w:val="28"/>
          <w:szCs w:val="28"/>
          <w:rtl/>
        </w:rPr>
        <w:t xml:space="preserve">על פי תפיסה זו, יש  מקום להכיר משפטית בחופש לגלוש - החופש של אזרחים לגלוש מרצונם החופשי לאתרים </w:t>
      </w:r>
      <w:r w:rsidRPr="00AF5654">
        <w:rPr>
          <w:rFonts w:cs="David" w:hint="cs"/>
          <w:sz w:val="28"/>
          <w:szCs w:val="28"/>
          <w:rtl/>
        </w:rPr>
        <w:t>זמינים ונגישים</w:t>
      </w:r>
      <w:r w:rsidRPr="00B5430C">
        <w:rPr>
          <w:rFonts w:cs="David" w:hint="cs"/>
          <w:sz w:val="28"/>
          <w:szCs w:val="28"/>
          <w:rtl/>
        </w:rPr>
        <w:t xml:space="preserve"> ברשת ואין למדינה זכות להגביל את הגלישה.</w:t>
      </w:r>
      <w:r w:rsidRPr="00B5430C">
        <w:rPr>
          <w:rStyle w:val="a5"/>
          <w:rFonts w:cs="David"/>
          <w:sz w:val="28"/>
          <w:szCs w:val="28"/>
          <w:rtl/>
        </w:rPr>
        <w:footnoteReference w:id="180"/>
      </w:r>
      <w:r w:rsidRPr="00B5430C">
        <w:rPr>
          <w:rFonts w:cs="David" w:hint="cs"/>
          <w:sz w:val="28"/>
          <w:szCs w:val="28"/>
          <w:rtl/>
        </w:rPr>
        <w:t xml:space="preserve"> </w:t>
      </w:r>
      <w:r w:rsidRPr="00FC3A9B">
        <w:rPr>
          <w:rFonts w:cs="David" w:hint="cs"/>
          <w:b/>
          <w:bCs/>
          <w:sz w:val="28"/>
          <w:szCs w:val="28"/>
          <w:rtl/>
        </w:rPr>
        <w:t>אך החופש הזה, כמו החופש להתבטא באתרים אלו,  אינו מוחלט והוא כפוף לערכים ש</w:t>
      </w:r>
      <w:r w:rsidR="00AF5654">
        <w:rPr>
          <w:rFonts w:cs="David" w:hint="cs"/>
          <w:b/>
          <w:bCs/>
          <w:sz w:val="28"/>
          <w:szCs w:val="28"/>
          <w:rtl/>
        </w:rPr>
        <w:t xml:space="preserve">ל </w:t>
      </w:r>
      <w:r w:rsidRPr="00FC3A9B">
        <w:rPr>
          <w:rFonts w:cs="David" w:hint="cs"/>
          <w:b/>
          <w:bCs/>
          <w:sz w:val="28"/>
          <w:szCs w:val="28"/>
          <w:rtl/>
        </w:rPr>
        <w:t xml:space="preserve">כל חברה וחברה, ובנסיבות חריגות וכאשר יש תנאים מחמירים, צריך שיגברו עליו אינטרסים וערכים אחרים, </w:t>
      </w:r>
      <w:r w:rsidRPr="00AF5654">
        <w:rPr>
          <w:rFonts w:cs="David" w:hint="cs"/>
          <w:b/>
          <w:bCs/>
          <w:sz w:val="28"/>
          <w:szCs w:val="28"/>
          <w:rtl/>
        </w:rPr>
        <w:t>כמו האינטרס הציבורי למנוע שיח גזעני ומסית לאלימות כנגד מיעוטים</w:t>
      </w:r>
      <w:r w:rsidRPr="00AF5654">
        <w:rPr>
          <w:rFonts w:cs="David" w:hint="cs"/>
          <w:sz w:val="28"/>
          <w:szCs w:val="28"/>
          <w:rtl/>
        </w:rPr>
        <w:t>. בכל מקרה</w:t>
      </w:r>
      <w:r w:rsidRPr="00B5430C">
        <w:rPr>
          <w:rFonts w:cs="David" w:hint="cs"/>
          <w:sz w:val="28"/>
          <w:szCs w:val="28"/>
          <w:rtl/>
        </w:rPr>
        <w:t xml:space="preserve">, יש לשאוף </w:t>
      </w:r>
      <w:r w:rsidRPr="00FC3A9B">
        <w:rPr>
          <w:rFonts w:cs="David" w:hint="cs"/>
          <w:b/>
          <w:bCs/>
          <w:sz w:val="28"/>
          <w:szCs w:val="28"/>
          <w:rtl/>
        </w:rPr>
        <w:t>לפתרון מידתי</w:t>
      </w:r>
      <w:r w:rsidRPr="00B5430C">
        <w:rPr>
          <w:rFonts w:cs="David" w:hint="cs"/>
          <w:sz w:val="28"/>
          <w:szCs w:val="28"/>
          <w:rtl/>
        </w:rPr>
        <w:t xml:space="preserve"> וכזה שאינו פוגע בזכויות האזרחים במדינה דמוקרטית במידה העולה על הנדרש.</w:t>
      </w:r>
    </w:p>
    <w:p w:rsidR="00BC0EA2" w:rsidRDefault="00BC0EA2" w:rsidP="00C80269">
      <w:pPr>
        <w:spacing w:line="360" w:lineRule="auto"/>
        <w:jc w:val="both"/>
        <w:rPr>
          <w:rFonts w:cs="David"/>
          <w:b/>
          <w:bCs/>
          <w:sz w:val="32"/>
          <w:szCs w:val="32"/>
          <w:rtl/>
        </w:rPr>
      </w:pPr>
    </w:p>
    <w:p w:rsidR="00C80269" w:rsidRDefault="009E783C" w:rsidP="000D4E9E">
      <w:pPr>
        <w:spacing w:line="360" w:lineRule="auto"/>
        <w:jc w:val="both"/>
        <w:rPr>
          <w:rFonts w:cs="David"/>
          <w:b/>
          <w:bCs/>
          <w:sz w:val="32"/>
          <w:szCs w:val="32"/>
          <w:rtl/>
        </w:rPr>
      </w:pPr>
      <w:r>
        <w:rPr>
          <w:rFonts w:cs="David" w:hint="cs"/>
          <w:b/>
          <w:bCs/>
          <w:sz w:val="32"/>
          <w:szCs w:val="32"/>
          <w:rtl/>
        </w:rPr>
        <w:lastRenderedPageBreak/>
        <w:t>ד</w:t>
      </w:r>
      <w:r w:rsidR="00C80269" w:rsidRPr="00271735">
        <w:rPr>
          <w:rFonts w:cs="David" w:hint="cs"/>
          <w:b/>
          <w:bCs/>
          <w:sz w:val="32"/>
          <w:szCs w:val="32"/>
          <w:rtl/>
        </w:rPr>
        <w:t xml:space="preserve">. </w:t>
      </w:r>
      <w:r w:rsidR="00C80269">
        <w:rPr>
          <w:rFonts w:cs="David" w:hint="cs"/>
          <w:b/>
          <w:bCs/>
          <w:sz w:val="32"/>
          <w:szCs w:val="32"/>
          <w:rtl/>
        </w:rPr>
        <w:t xml:space="preserve">הסדרה </w:t>
      </w:r>
      <w:r w:rsidR="00831EF2">
        <w:rPr>
          <w:rFonts w:cs="David" w:hint="cs"/>
          <w:b/>
          <w:bCs/>
          <w:sz w:val="32"/>
          <w:szCs w:val="32"/>
          <w:rtl/>
        </w:rPr>
        <w:t xml:space="preserve">ביחס לעבירות </w:t>
      </w:r>
      <w:r w:rsidR="000D4E9E">
        <w:rPr>
          <w:rFonts w:cs="David" w:hint="cs"/>
          <w:b/>
          <w:bCs/>
          <w:sz w:val="32"/>
          <w:szCs w:val="32"/>
          <w:rtl/>
        </w:rPr>
        <w:t>ה</w:t>
      </w:r>
      <w:r w:rsidR="00831EF2">
        <w:rPr>
          <w:rFonts w:cs="David" w:hint="cs"/>
          <w:b/>
          <w:bCs/>
          <w:sz w:val="32"/>
          <w:szCs w:val="32"/>
          <w:rtl/>
        </w:rPr>
        <w:t>הסתה במרשתת</w:t>
      </w:r>
    </w:p>
    <w:p w:rsidR="00FB1323" w:rsidRPr="00FB1323" w:rsidRDefault="004B1862" w:rsidP="00A3389B">
      <w:pPr>
        <w:spacing w:line="360" w:lineRule="auto"/>
        <w:jc w:val="both"/>
        <w:rPr>
          <w:rFonts w:cs="David"/>
          <w:b/>
          <w:bCs/>
          <w:sz w:val="28"/>
          <w:szCs w:val="28"/>
          <w:rtl/>
        </w:rPr>
      </w:pPr>
      <w:r>
        <w:rPr>
          <w:rFonts w:cs="David" w:hint="cs"/>
          <w:sz w:val="28"/>
          <w:szCs w:val="28"/>
          <w:rtl/>
        </w:rPr>
        <w:t xml:space="preserve">לאחר שנמצא כי יש מקום להגביל את חופש הביטוי במרשתת </w:t>
      </w:r>
      <w:r w:rsidR="00403803" w:rsidRPr="00403803">
        <w:rPr>
          <w:rFonts w:cs="David" w:hint="cs"/>
          <w:sz w:val="28"/>
          <w:szCs w:val="28"/>
          <w:rtl/>
        </w:rPr>
        <w:t>נשאלת</w:t>
      </w:r>
      <w:r w:rsidR="00403803" w:rsidRPr="00C50AE1">
        <w:rPr>
          <w:rFonts w:cs="David" w:hint="cs"/>
          <w:sz w:val="28"/>
          <w:szCs w:val="28"/>
          <w:rtl/>
        </w:rPr>
        <w:t xml:space="preserve"> השאלה</w:t>
      </w:r>
      <w:r w:rsidR="003C437C">
        <w:rPr>
          <w:rFonts w:cs="David" w:hint="cs"/>
          <w:sz w:val="28"/>
          <w:szCs w:val="28"/>
          <w:rtl/>
        </w:rPr>
        <w:t xml:space="preserve"> </w:t>
      </w:r>
      <w:r w:rsidR="003C437C" w:rsidRPr="003C437C">
        <w:rPr>
          <w:rFonts w:cs="David" w:hint="cs"/>
          <w:b/>
          <w:bCs/>
          <w:sz w:val="28"/>
          <w:szCs w:val="28"/>
          <w:rtl/>
        </w:rPr>
        <w:t xml:space="preserve">האם יש מקום להסדרה ואם כן, </w:t>
      </w:r>
      <w:r w:rsidR="002272FE" w:rsidRPr="003C437C">
        <w:rPr>
          <w:rFonts w:cs="David" w:hint="cs"/>
          <w:b/>
          <w:bCs/>
          <w:sz w:val="28"/>
          <w:szCs w:val="28"/>
          <w:rtl/>
        </w:rPr>
        <w:t>כ</w:t>
      </w:r>
      <w:r w:rsidR="002272FE" w:rsidRPr="00A3389B">
        <w:rPr>
          <w:rFonts w:cs="David" w:hint="cs"/>
          <w:b/>
          <w:bCs/>
          <w:sz w:val="28"/>
          <w:szCs w:val="28"/>
          <w:rtl/>
        </w:rPr>
        <w:t>יצד</w:t>
      </w:r>
      <w:r w:rsidR="002272FE" w:rsidRPr="003C437C">
        <w:rPr>
          <w:rFonts w:cs="David" w:hint="cs"/>
          <w:b/>
          <w:bCs/>
          <w:sz w:val="28"/>
          <w:szCs w:val="28"/>
          <w:rtl/>
        </w:rPr>
        <w:t xml:space="preserve"> ניתן ונכון להסדיר היבטים שונים של המרשתת</w:t>
      </w:r>
      <w:r w:rsidR="002272FE" w:rsidRPr="00403803">
        <w:rPr>
          <w:rFonts w:cs="David" w:hint="cs"/>
          <w:sz w:val="28"/>
          <w:szCs w:val="28"/>
          <w:rtl/>
        </w:rPr>
        <w:t xml:space="preserve"> ושל פעילות</w:t>
      </w:r>
      <w:r w:rsidR="002272FE">
        <w:rPr>
          <w:rFonts w:cs="David" w:hint="cs"/>
          <w:sz w:val="28"/>
          <w:szCs w:val="28"/>
          <w:rtl/>
        </w:rPr>
        <w:t xml:space="preserve"> עבריינית במסגרתה, </w:t>
      </w:r>
      <w:r w:rsidR="002272FE" w:rsidRPr="00BA1A5B">
        <w:rPr>
          <w:rFonts w:cs="David" w:hint="cs"/>
          <w:b/>
          <w:bCs/>
          <w:sz w:val="28"/>
          <w:szCs w:val="28"/>
          <w:rtl/>
        </w:rPr>
        <w:t xml:space="preserve">בעיקר </w:t>
      </w:r>
      <w:r w:rsidR="002272FE">
        <w:rPr>
          <w:rFonts w:cs="David" w:hint="cs"/>
          <w:b/>
          <w:bCs/>
          <w:sz w:val="28"/>
          <w:szCs w:val="28"/>
          <w:rtl/>
        </w:rPr>
        <w:t xml:space="preserve">כזו הנוגעת </w:t>
      </w:r>
      <w:r w:rsidR="002272FE" w:rsidRPr="00BA1A5B">
        <w:rPr>
          <w:rFonts w:cs="David" w:hint="cs"/>
          <w:b/>
          <w:bCs/>
          <w:sz w:val="28"/>
          <w:szCs w:val="28"/>
          <w:rtl/>
        </w:rPr>
        <w:t>ל</w:t>
      </w:r>
      <w:r w:rsidR="002272FE">
        <w:rPr>
          <w:rFonts w:cs="David" w:hint="cs"/>
          <w:b/>
          <w:bCs/>
          <w:sz w:val="28"/>
          <w:szCs w:val="28"/>
          <w:rtl/>
        </w:rPr>
        <w:t xml:space="preserve">שיח גזעני ומסית </w:t>
      </w:r>
      <w:r w:rsidR="002272FE" w:rsidRPr="00BA1A5B">
        <w:rPr>
          <w:rFonts w:cs="David" w:hint="cs"/>
          <w:b/>
          <w:bCs/>
          <w:sz w:val="28"/>
          <w:szCs w:val="28"/>
          <w:rtl/>
        </w:rPr>
        <w:t>ולאלימות</w:t>
      </w:r>
      <w:r w:rsidR="00C80269" w:rsidRPr="00C50AE1">
        <w:rPr>
          <w:rFonts w:cs="David" w:hint="cs"/>
          <w:b/>
          <w:bCs/>
          <w:sz w:val="28"/>
          <w:szCs w:val="28"/>
          <w:rtl/>
        </w:rPr>
        <w:t>?</w:t>
      </w:r>
      <w:r w:rsidR="00C80269">
        <w:rPr>
          <w:rFonts w:cs="David" w:hint="cs"/>
          <w:sz w:val="28"/>
          <w:szCs w:val="28"/>
          <w:rtl/>
        </w:rPr>
        <w:t xml:space="preserve"> שאלה זו מתעוררת לאור קיומן של אפשרויות טכנולוגיות פשוטות יחסית</w:t>
      </w:r>
      <w:r w:rsidR="00C50AE1">
        <w:rPr>
          <w:rFonts w:cs="David" w:hint="cs"/>
          <w:sz w:val="28"/>
          <w:szCs w:val="28"/>
          <w:rtl/>
        </w:rPr>
        <w:t>,</w:t>
      </w:r>
      <w:r w:rsidR="00C80269">
        <w:rPr>
          <w:rFonts w:cs="David" w:hint="cs"/>
          <w:sz w:val="28"/>
          <w:szCs w:val="28"/>
          <w:rtl/>
        </w:rPr>
        <w:t xml:space="preserve"> לעקוף את הוראות החוק. האם ניתן לאכוף את הוראות החוק של המדינה לאור הגלובליות של המר</w:t>
      </w:r>
      <w:r w:rsidR="00FB1323">
        <w:rPr>
          <w:rFonts w:cs="David" w:hint="cs"/>
          <w:sz w:val="28"/>
          <w:szCs w:val="28"/>
          <w:rtl/>
        </w:rPr>
        <w:t>ש</w:t>
      </w:r>
      <w:r w:rsidR="00C80269">
        <w:rPr>
          <w:rFonts w:cs="David" w:hint="cs"/>
          <w:sz w:val="28"/>
          <w:szCs w:val="28"/>
          <w:rtl/>
        </w:rPr>
        <w:t xml:space="preserve">תת? האם זה מעשי? </w:t>
      </w:r>
      <w:r w:rsidR="00A3389B">
        <w:rPr>
          <w:rFonts w:cs="David" w:hint="cs"/>
          <w:sz w:val="28"/>
          <w:szCs w:val="28"/>
          <w:rtl/>
        </w:rPr>
        <w:t xml:space="preserve">שהרי </w:t>
      </w:r>
      <w:r w:rsidR="00C80269">
        <w:rPr>
          <w:rFonts w:cs="David" w:hint="cs"/>
          <w:sz w:val="28"/>
          <w:szCs w:val="28"/>
          <w:rtl/>
        </w:rPr>
        <w:t xml:space="preserve">יכול כל גולש במרשתת וברשתות החברתיות להעלות תכנים ללא כל </w:t>
      </w:r>
      <w:r w:rsidR="00A3389B">
        <w:rPr>
          <w:rFonts w:cs="David" w:hint="cs"/>
          <w:sz w:val="28"/>
          <w:szCs w:val="28"/>
          <w:rtl/>
        </w:rPr>
        <w:t xml:space="preserve">מגבלה </w:t>
      </w:r>
      <w:r w:rsidR="00FB1323" w:rsidRPr="00A3389B">
        <w:rPr>
          <w:rFonts w:cs="David" w:hint="cs"/>
          <w:b/>
          <w:bCs/>
          <w:sz w:val="28"/>
          <w:szCs w:val="28"/>
          <w:rtl/>
        </w:rPr>
        <w:t>וכך עושים כל אלו המשתמשים ברשת להפצת דעותיהם ועמדותיהם הגזעניות</w:t>
      </w:r>
      <w:r w:rsidR="00C80269" w:rsidRPr="00A3389B">
        <w:rPr>
          <w:rFonts w:cs="David" w:hint="cs"/>
          <w:b/>
          <w:bCs/>
          <w:sz w:val="28"/>
          <w:szCs w:val="28"/>
          <w:rtl/>
        </w:rPr>
        <w:t>.</w:t>
      </w:r>
    </w:p>
    <w:p w:rsidR="00C80269" w:rsidRDefault="00C80269" w:rsidP="000A0898">
      <w:pPr>
        <w:spacing w:line="360" w:lineRule="auto"/>
        <w:jc w:val="both"/>
        <w:rPr>
          <w:rFonts w:cs="David"/>
          <w:sz w:val="28"/>
          <w:szCs w:val="28"/>
          <w:rtl/>
        </w:rPr>
      </w:pPr>
      <w:r>
        <w:rPr>
          <w:rFonts w:cs="David" w:hint="cs"/>
          <w:sz w:val="28"/>
          <w:szCs w:val="28"/>
          <w:rtl/>
        </w:rPr>
        <w:t>הטכנולוגיות, המאפשרות להעלות תכנים על ידי המשתמשים הולכות ומתפתחות בצעדי ענק. לעיתים, התכנים הללו הינם עבירות פליליות (</w:t>
      </w:r>
      <w:r w:rsidRPr="00CC4647">
        <w:rPr>
          <w:rFonts w:cs="David" w:hint="cs"/>
          <w:b/>
          <w:bCs/>
          <w:sz w:val="28"/>
          <w:szCs w:val="28"/>
          <w:rtl/>
        </w:rPr>
        <w:t>הסתה</w:t>
      </w:r>
      <w:r w:rsidR="00CC4647">
        <w:rPr>
          <w:rFonts w:cs="David" w:hint="cs"/>
          <w:b/>
          <w:bCs/>
          <w:sz w:val="28"/>
          <w:szCs w:val="28"/>
          <w:rtl/>
        </w:rPr>
        <w:t xml:space="preserve"> לגזענות ולאלימות</w:t>
      </w:r>
      <w:r>
        <w:rPr>
          <w:rFonts w:cs="David" w:hint="cs"/>
          <w:sz w:val="28"/>
          <w:szCs w:val="28"/>
          <w:rtl/>
        </w:rPr>
        <w:t>, פדופיליה, תרמיות בניירות ערך) ולעיתים עוולות אזרחיות (לשון הרע, פגיעה בפרטיות, הפרת קניין רוחני ועוד). זאת</w:t>
      </w:r>
      <w:r w:rsidR="000A0898">
        <w:rPr>
          <w:rFonts w:cs="David" w:hint="cs"/>
          <w:sz w:val="28"/>
          <w:szCs w:val="28"/>
          <w:rtl/>
        </w:rPr>
        <w:t xml:space="preserve"> ועוד</w:t>
      </w:r>
      <w:r>
        <w:rPr>
          <w:rFonts w:cs="David" w:hint="cs"/>
          <w:sz w:val="28"/>
          <w:szCs w:val="28"/>
          <w:rtl/>
        </w:rPr>
        <w:t xml:space="preserve">, הטכנולוגיות </w:t>
      </w:r>
      <w:r w:rsidR="000A0898">
        <w:rPr>
          <w:rFonts w:cs="David" w:hint="cs"/>
          <w:sz w:val="28"/>
          <w:szCs w:val="28"/>
          <w:rtl/>
        </w:rPr>
        <w:t>מסייעות</w:t>
      </w:r>
      <w:r>
        <w:rPr>
          <w:rFonts w:cs="David" w:hint="cs"/>
          <w:sz w:val="28"/>
          <w:szCs w:val="28"/>
          <w:rtl/>
        </w:rPr>
        <w:t xml:space="preserve"> למבצע העבירה או העוולה להישאר אנונימי, אם יחפוץ בכך.</w:t>
      </w:r>
    </w:p>
    <w:p w:rsidR="00C80269" w:rsidRDefault="00C80269" w:rsidP="006877EE">
      <w:pPr>
        <w:spacing w:line="360" w:lineRule="auto"/>
        <w:jc w:val="both"/>
        <w:rPr>
          <w:rFonts w:cs="David"/>
          <w:sz w:val="28"/>
          <w:szCs w:val="28"/>
          <w:rtl/>
        </w:rPr>
      </w:pPr>
      <w:r>
        <w:rPr>
          <w:rFonts w:cs="David" w:hint="cs"/>
          <w:sz w:val="28"/>
          <w:szCs w:val="28"/>
          <w:rtl/>
        </w:rPr>
        <w:t>מיכל אגמון-גונן מתייחסת לנושא זה</w:t>
      </w:r>
      <w:r w:rsidR="00B130D7">
        <w:rPr>
          <w:rFonts w:cs="David" w:hint="cs"/>
          <w:sz w:val="28"/>
          <w:szCs w:val="28"/>
          <w:rtl/>
        </w:rPr>
        <w:t xml:space="preserve"> ומציינת </w:t>
      </w:r>
      <w:r>
        <w:rPr>
          <w:rStyle w:val="a5"/>
          <w:rFonts w:cs="David"/>
          <w:sz w:val="28"/>
          <w:szCs w:val="28"/>
          <w:rtl/>
        </w:rPr>
        <w:footnoteReference w:id="181"/>
      </w:r>
      <w:r>
        <w:rPr>
          <w:rFonts w:cs="David" w:hint="cs"/>
          <w:sz w:val="28"/>
          <w:szCs w:val="28"/>
          <w:rtl/>
        </w:rPr>
        <w:t xml:space="preserve"> כי בהקשר של המרשתת עוסקת החקיקה, הן המדינתית והן הבינלאומית, בשני מישורים. האחד, נוגע בתכנים המפרים עצמם ומתי ייחשבו עבירה או עוולה, ו</w:t>
      </w:r>
      <w:r w:rsidR="006877EE">
        <w:rPr>
          <w:rFonts w:cs="David" w:hint="cs"/>
          <w:sz w:val="28"/>
          <w:szCs w:val="28"/>
          <w:rtl/>
        </w:rPr>
        <w:t xml:space="preserve">מהי </w:t>
      </w:r>
      <w:r>
        <w:rPr>
          <w:rFonts w:cs="David" w:hint="cs"/>
          <w:sz w:val="28"/>
          <w:szCs w:val="28"/>
          <w:rtl/>
        </w:rPr>
        <w:t>האחריות של המשתמשים וספקי השירות לאותן עבירות ועוולות. המישור השני</w:t>
      </w:r>
      <w:r w:rsidR="00343D8E">
        <w:rPr>
          <w:rFonts w:cs="David" w:hint="cs"/>
          <w:sz w:val="28"/>
          <w:szCs w:val="28"/>
          <w:rtl/>
        </w:rPr>
        <w:t>,</w:t>
      </w:r>
      <w:r>
        <w:rPr>
          <w:rFonts w:cs="David" w:hint="cs"/>
          <w:sz w:val="28"/>
          <w:szCs w:val="28"/>
          <w:rtl/>
        </w:rPr>
        <w:t xml:space="preserve"> נוגע בטכנולוגיות המאפשרות את העבירות והעוולות.</w:t>
      </w:r>
    </w:p>
    <w:p w:rsidR="00C80269" w:rsidRDefault="00C80269" w:rsidP="006877EE">
      <w:pPr>
        <w:spacing w:line="360" w:lineRule="auto"/>
        <w:jc w:val="both"/>
        <w:rPr>
          <w:rFonts w:cs="David"/>
          <w:sz w:val="28"/>
          <w:szCs w:val="28"/>
          <w:rtl/>
        </w:rPr>
      </w:pPr>
      <w:r>
        <w:rPr>
          <w:rFonts w:cs="David" w:hint="cs"/>
          <w:sz w:val="28"/>
          <w:szCs w:val="28"/>
          <w:rtl/>
        </w:rPr>
        <w:t>בשאלת תכני ההסדרים בשני המישורים, מבקשת אגמון-גונן לברר איזה סוג של חקיקה נדרשת, כאשר ניתן לעקוף את הוראות החוק באמצעים טכנולוגיים או באמצעות פעילות ממדינה שאין בה חקיקה דומה, לאור גלובליות הרשת?</w:t>
      </w:r>
    </w:p>
    <w:p w:rsidR="00C80269" w:rsidRDefault="00C80269" w:rsidP="0062357A">
      <w:pPr>
        <w:spacing w:line="360" w:lineRule="auto"/>
        <w:jc w:val="both"/>
        <w:rPr>
          <w:rFonts w:cs="David"/>
          <w:sz w:val="28"/>
          <w:szCs w:val="28"/>
          <w:rtl/>
        </w:rPr>
      </w:pPr>
      <w:r>
        <w:rPr>
          <w:rFonts w:cs="David" w:hint="cs"/>
          <w:sz w:val="28"/>
          <w:szCs w:val="28"/>
          <w:rtl/>
        </w:rPr>
        <w:t>השאל</w:t>
      </w:r>
      <w:r w:rsidR="0062357A">
        <w:rPr>
          <w:rFonts w:cs="David" w:hint="cs"/>
          <w:sz w:val="28"/>
          <w:szCs w:val="28"/>
          <w:rtl/>
        </w:rPr>
        <w:t>ות</w:t>
      </w:r>
      <w:r>
        <w:rPr>
          <w:rFonts w:cs="David" w:hint="cs"/>
          <w:sz w:val="28"/>
          <w:szCs w:val="28"/>
          <w:rtl/>
        </w:rPr>
        <w:t xml:space="preserve"> מתחדד</w:t>
      </w:r>
      <w:r w:rsidR="0062357A">
        <w:rPr>
          <w:rFonts w:cs="David" w:hint="cs"/>
          <w:sz w:val="28"/>
          <w:szCs w:val="28"/>
          <w:rtl/>
        </w:rPr>
        <w:t>ו</w:t>
      </w:r>
      <w:r>
        <w:rPr>
          <w:rFonts w:cs="David" w:hint="cs"/>
          <w:sz w:val="28"/>
          <w:szCs w:val="28"/>
          <w:rtl/>
        </w:rPr>
        <w:t>ת גם לאור הקושי באכיפת ההסדרים הנוגעים לפעילות במרשתת, שלא ניתן להפריד בינה ובין המאפיינים הייחודיים למרשתת כפי שהוצגו לעיל, בייחוד כאשר הולך ונעשה קשה להגיע לעבריין</w:t>
      </w:r>
      <w:r w:rsidR="00937575" w:rsidRPr="000A0898">
        <w:rPr>
          <w:rFonts w:cs="David" w:hint="cs"/>
          <w:sz w:val="28"/>
          <w:szCs w:val="28"/>
          <w:rtl/>
        </w:rPr>
        <w:t xml:space="preserve">, </w:t>
      </w:r>
      <w:r w:rsidR="00937575" w:rsidRPr="000A0898">
        <w:rPr>
          <w:rFonts w:cs="David" w:hint="cs"/>
          <w:b/>
          <w:bCs/>
          <w:sz w:val="28"/>
          <w:szCs w:val="28"/>
          <w:rtl/>
        </w:rPr>
        <w:t xml:space="preserve">כדוגמת </w:t>
      </w:r>
      <w:r w:rsidR="00A628E6" w:rsidRPr="000A0898">
        <w:rPr>
          <w:rFonts w:cs="David" w:hint="cs"/>
          <w:b/>
          <w:bCs/>
          <w:sz w:val="28"/>
          <w:szCs w:val="28"/>
          <w:rtl/>
        </w:rPr>
        <w:t xml:space="preserve">אותו אדם </w:t>
      </w:r>
      <w:r w:rsidR="00937575" w:rsidRPr="000A0898">
        <w:rPr>
          <w:rFonts w:cs="David" w:hint="cs"/>
          <w:b/>
          <w:bCs/>
          <w:sz w:val="28"/>
          <w:szCs w:val="28"/>
          <w:rtl/>
        </w:rPr>
        <w:t>המסית לגזענות ולאלימות</w:t>
      </w:r>
      <w:r w:rsidRPr="000A0898">
        <w:rPr>
          <w:rFonts w:cs="David" w:hint="cs"/>
          <w:sz w:val="28"/>
          <w:szCs w:val="28"/>
          <w:rtl/>
        </w:rPr>
        <w:t xml:space="preserve"> </w:t>
      </w:r>
      <w:r>
        <w:rPr>
          <w:rFonts w:cs="David" w:hint="cs"/>
          <w:sz w:val="28"/>
          <w:szCs w:val="28"/>
          <w:rtl/>
        </w:rPr>
        <w:t>(כולל קושי באיתור המחשב, השרת או המשתמש עצמו). גם במקרים שבהם הוא אותר ובהנחה שאף ניתן נגדו פסק דין, נשאלת השאלה: האם קיימים כלים לאכוף פסק דין כזה במדינה שבה הפעילות אינה אסורה?</w:t>
      </w:r>
    </w:p>
    <w:p w:rsidR="00140648" w:rsidRPr="00140648" w:rsidRDefault="00140648" w:rsidP="000A0898">
      <w:pPr>
        <w:spacing w:line="360" w:lineRule="auto"/>
        <w:jc w:val="both"/>
        <w:rPr>
          <w:rFonts w:cs="David"/>
          <w:sz w:val="28"/>
          <w:szCs w:val="28"/>
          <w:rtl/>
        </w:rPr>
      </w:pPr>
      <w:r>
        <w:rPr>
          <w:rFonts w:cs="David" w:hint="cs"/>
          <w:sz w:val="28"/>
          <w:szCs w:val="28"/>
          <w:rtl/>
        </w:rPr>
        <w:lastRenderedPageBreak/>
        <w:t xml:space="preserve">סעיף זה יעסוק בניסיון לתת מענה לשאלות הללו מתוך הבנה כי ההתפתחות הטכנולוגית היא בלתי נמנעת ויסקור את החלופות הקיימות להסדרת הפעילות ברשת </w:t>
      </w:r>
      <w:r w:rsidR="008264EB">
        <w:rPr>
          <w:rFonts w:cs="David" w:hint="cs"/>
          <w:sz w:val="28"/>
          <w:szCs w:val="28"/>
          <w:rtl/>
        </w:rPr>
        <w:t>-</w:t>
      </w:r>
      <w:r>
        <w:rPr>
          <w:rFonts w:cs="David" w:hint="cs"/>
          <w:sz w:val="28"/>
          <w:szCs w:val="28"/>
          <w:rtl/>
        </w:rPr>
        <w:t xml:space="preserve"> הסדרה חקיקתית מדינתית של הפעילות ברשת או שמא יש להשאיר נושאים אלו להסדרה פרטית של השחקנים המעורבים ברשת</w:t>
      </w:r>
      <w:r w:rsidR="0040733F">
        <w:rPr>
          <w:rFonts w:cs="David" w:hint="cs"/>
          <w:sz w:val="28"/>
          <w:szCs w:val="28"/>
          <w:rtl/>
        </w:rPr>
        <w:t xml:space="preserve">. לאחר מכן, </w:t>
      </w:r>
      <w:r w:rsidR="0060347C">
        <w:rPr>
          <w:rFonts w:cs="David" w:hint="cs"/>
          <w:sz w:val="28"/>
          <w:szCs w:val="28"/>
          <w:rtl/>
        </w:rPr>
        <w:t>יבחן הסעיף כיצד משתלבות הסדרות אלו בעיצוב מדיניות המידע בסביבה הדיגיטלית-טכנולוגית ומה מקומם של הערכים החברתיים בעיצוב זה.</w:t>
      </w:r>
    </w:p>
    <w:p w:rsidR="00C80269" w:rsidRPr="00836A7D" w:rsidRDefault="009E783C" w:rsidP="000A72BC">
      <w:pPr>
        <w:spacing w:line="360" w:lineRule="auto"/>
        <w:jc w:val="both"/>
        <w:rPr>
          <w:rFonts w:cs="David"/>
          <w:b/>
          <w:bCs/>
          <w:sz w:val="28"/>
          <w:szCs w:val="28"/>
          <w:rtl/>
        </w:rPr>
      </w:pPr>
      <w:r>
        <w:rPr>
          <w:rFonts w:cs="David" w:hint="cs"/>
          <w:b/>
          <w:bCs/>
          <w:sz w:val="28"/>
          <w:szCs w:val="28"/>
          <w:rtl/>
        </w:rPr>
        <w:t>ד</w:t>
      </w:r>
      <w:r w:rsidR="00C80269" w:rsidRPr="009B3061">
        <w:rPr>
          <w:rFonts w:cs="David" w:hint="cs"/>
          <w:b/>
          <w:bCs/>
          <w:sz w:val="28"/>
          <w:szCs w:val="28"/>
          <w:rtl/>
        </w:rPr>
        <w:t xml:space="preserve">.1 </w:t>
      </w:r>
      <w:r w:rsidR="009B3061" w:rsidRPr="009B3061">
        <w:rPr>
          <w:rFonts w:cs="David" w:hint="cs"/>
          <w:b/>
          <w:bCs/>
          <w:sz w:val="28"/>
          <w:szCs w:val="28"/>
          <w:rtl/>
        </w:rPr>
        <w:t xml:space="preserve">הסדרה </w:t>
      </w:r>
      <w:r w:rsidR="00140648">
        <w:rPr>
          <w:rFonts w:cs="David" w:hint="cs"/>
          <w:b/>
          <w:bCs/>
          <w:sz w:val="28"/>
          <w:szCs w:val="28"/>
          <w:rtl/>
        </w:rPr>
        <w:t xml:space="preserve">חקיקתית </w:t>
      </w:r>
      <w:r w:rsidR="009B3061" w:rsidRPr="009B3061">
        <w:rPr>
          <w:rFonts w:cs="David" w:hint="cs"/>
          <w:b/>
          <w:bCs/>
          <w:sz w:val="28"/>
          <w:szCs w:val="28"/>
          <w:rtl/>
        </w:rPr>
        <w:t>מדינתית</w:t>
      </w:r>
    </w:p>
    <w:p w:rsidR="00C80269" w:rsidRPr="00497DEE" w:rsidRDefault="00C80269" w:rsidP="00C80269">
      <w:pPr>
        <w:spacing w:line="360" w:lineRule="auto"/>
        <w:jc w:val="both"/>
        <w:rPr>
          <w:rFonts w:cs="David"/>
          <w:sz w:val="28"/>
          <w:szCs w:val="28"/>
          <w:rtl/>
        </w:rPr>
      </w:pPr>
      <w:r w:rsidRPr="00497DEE">
        <w:rPr>
          <w:rFonts w:cs="David" w:hint="cs"/>
          <w:sz w:val="28"/>
          <w:szCs w:val="28"/>
          <w:rtl/>
        </w:rPr>
        <w:t xml:space="preserve">המרשתת היא גלובלית ואינה מתוחמת בגבולות מדיניים. בכך גם ייחודה וכשמה כן היא </w:t>
      </w:r>
      <w:r w:rsidRPr="00B92164">
        <w:rPr>
          <w:rFonts w:cs="David"/>
          <w:b/>
          <w:bCs/>
          <w:sz w:val="28"/>
          <w:szCs w:val="28"/>
        </w:rPr>
        <w:t>W</w:t>
      </w:r>
      <w:r w:rsidRPr="00DE0258">
        <w:rPr>
          <w:rFonts w:cs="David"/>
          <w:sz w:val="28"/>
          <w:szCs w:val="28"/>
        </w:rPr>
        <w:t xml:space="preserve">orld </w:t>
      </w:r>
      <w:r w:rsidRPr="00B92164">
        <w:rPr>
          <w:rFonts w:cs="David"/>
          <w:b/>
          <w:bCs/>
          <w:sz w:val="28"/>
          <w:szCs w:val="28"/>
        </w:rPr>
        <w:t>W</w:t>
      </w:r>
      <w:r w:rsidRPr="00DE0258">
        <w:rPr>
          <w:rFonts w:cs="David"/>
          <w:sz w:val="28"/>
          <w:szCs w:val="28"/>
        </w:rPr>
        <w:t xml:space="preserve">ide </w:t>
      </w:r>
      <w:r w:rsidRPr="00B92164">
        <w:rPr>
          <w:rFonts w:cs="David"/>
          <w:b/>
          <w:bCs/>
          <w:sz w:val="28"/>
          <w:szCs w:val="28"/>
        </w:rPr>
        <w:t>W</w:t>
      </w:r>
      <w:r w:rsidRPr="00DE0258">
        <w:rPr>
          <w:rFonts w:cs="David"/>
          <w:sz w:val="28"/>
          <w:szCs w:val="28"/>
        </w:rPr>
        <w:t>eb</w:t>
      </w:r>
      <w:r w:rsidRPr="00DE0258">
        <w:rPr>
          <w:rFonts w:cs="David" w:hint="cs"/>
          <w:sz w:val="28"/>
          <w:szCs w:val="28"/>
          <w:rtl/>
        </w:rPr>
        <w:t>.</w:t>
      </w:r>
      <w:r w:rsidRPr="00497DEE">
        <w:rPr>
          <w:rFonts w:cs="David" w:hint="cs"/>
          <w:sz w:val="28"/>
          <w:szCs w:val="28"/>
          <w:rtl/>
        </w:rPr>
        <w:t xml:space="preserve"> </w:t>
      </w:r>
      <w:r>
        <w:rPr>
          <w:rFonts w:cs="David" w:hint="cs"/>
          <w:sz w:val="28"/>
          <w:szCs w:val="28"/>
          <w:rtl/>
        </w:rPr>
        <w:t xml:space="preserve">בניגוד לכך, </w:t>
      </w:r>
      <w:r w:rsidRPr="00497DEE">
        <w:rPr>
          <w:rFonts w:cs="David" w:hint="cs"/>
          <w:sz w:val="28"/>
          <w:szCs w:val="28"/>
          <w:rtl/>
        </w:rPr>
        <w:t xml:space="preserve">המשפט המדינתי הוא מטבעו מקומי וחל בגבולות גאוגרפיים. הבדל מהותי זה מעלה שאלות נכבדות בתחום הסדרת הפעילות במרשתת, בוודאי כאשר הנתונים של כמות העושים שימוש במרשתת </w:t>
      </w:r>
      <w:r>
        <w:rPr>
          <w:rFonts w:cs="David" w:hint="cs"/>
          <w:sz w:val="28"/>
          <w:szCs w:val="28"/>
          <w:rtl/>
        </w:rPr>
        <w:t xml:space="preserve">מראים על </w:t>
      </w:r>
      <w:r w:rsidRPr="00497DEE">
        <w:rPr>
          <w:rFonts w:cs="David" w:hint="cs"/>
          <w:sz w:val="28"/>
          <w:szCs w:val="28"/>
          <w:rtl/>
        </w:rPr>
        <w:t>מגמת עלייה קבועה.</w:t>
      </w:r>
    </w:p>
    <w:p w:rsidR="00C80269" w:rsidRDefault="00C80269" w:rsidP="00A72129">
      <w:pPr>
        <w:spacing w:line="360" w:lineRule="auto"/>
        <w:jc w:val="both"/>
        <w:rPr>
          <w:rFonts w:cs="David"/>
          <w:sz w:val="28"/>
          <w:szCs w:val="28"/>
          <w:rtl/>
        </w:rPr>
      </w:pPr>
      <w:r w:rsidRPr="00497DEE">
        <w:rPr>
          <w:rFonts w:cs="David" w:hint="cs"/>
          <w:sz w:val="28"/>
          <w:szCs w:val="28"/>
          <w:rtl/>
        </w:rPr>
        <w:t xml:space="preserve">הגלובליות של המרשתת גורמת גם לקושי במישור הסמכות הבינלאומית והאכיפה. אין חוק ואיסור במדינה אחת דומה בהכרח לחוק ואיסור במדינה אחרת. ומה </w:t>
      </w:r>
      <w:r>
        <w:rPr>
          <w:rFonts w:cs="David" w:hint="cs"/>
          <w:sz w:val="28"/>
          <w:szCs w:val="28"/>
          <w:rtl/>
        </w:rPr>
        <w:t xml:space="preserve">הדין </w:t>
      </w:r>
      <w:r w:rsidRPr="00497DEE">
        <w:rPr>
          <w:rFonts w:cs="David" w:hint="cs"/>
          <w:sz w:val="28"/>
          <w:szCs w:val="28"/>
          <w:rtl/>
        </w:rPr>
        <w:t xml:space="preserve"> כאשר עבירה או עוולה על פי חוקי מדינה אחת, </w:t>
      </w:r>
      <w:r w:rsidR="00266E9B" w:rsidRPr="008949BE">
        <w:rPr>
          <w:rFonts w:cs="David" w:hint="cs"/>
          <w:b/>
          <w:bCs/>
          <w:sz w:val="28"/>
          <w:szCs w:val="28"/>
          <w:rtl/>
        </w:rPr>
        <w:t>למשל, עבירות הסתה</w:t>
      </w:r>
      <w:r w:rsidR="00266E9B">
        <w:rPr>
          <w:rFonts w:cs="David" w:hint="cs"/>
          <w:sz w:val="28"/>
          <w:szCs w:val="28"/>
          <w:rtl/>
        </w:rPr>
        <w:t xml:space="preserve">, </w:t>
      </w:r>
      <w:r>
        <w:rPr>
          <w:rFonts w:cs="David" w:hint="cs"/>
          <w:sz w:val="28"/>
          <w:szCs w:val="28"/>
          <w:rtl/>
        </w:rPr>
        <w:t>מתבצעת</w:t>
      </w:r>
      <w:r w:rsidRPr="00497DEE">
        <w:rPr>
          <w:rFonts w:cs="David" w:hint="cs"/>
          <w:sz w:val="28"/>
          <w:szCs w:val="28"/>
          <w:rtl/>
        </w:rPr>
        <w:t xml:space="preserve"> בשרתים שנמצאים במדינה שאינה אוסרת את המעש</w:t>
      </w:r>
      <w:r>
        <w:rPr>
          <w:rFonts w:cs="David" w:hint="cs"/>
          <w:sz w:val="28"/>
          <w:szCs w:val="28"/>
          <w:rtl/>
        </w:rPr>
        <w:t>ה או מגדירה את האיסור באופן שונה? בשנים האחרונות קרה שצווים שנתנו בתי משפט במדינה אחת לא נאכפו במדינה אחרת, משום שספקי המרשתת או השרתים, אליהם הועלה המידע המפר, היו במדינה שבה הדין שונה.</w:t>
      </w:r>
      <w:r w:rsidR="00A72129">
        <w:rPr>
          <w:rFonts w:cs="David" w:hint="cs"/>
          <w:sz w:val="28"/>
          <w:szCs w:val="28"/>
          <w:rtl/>
        </w:rPr>
        <w:t xml:space="preserve"> </w:t>
      </w:r>
      <w:r w:rsidR="00D23CD3">
        <w:rPr>
          <w:rFonts w:cs="David" w:hint="cs"/>
          <w:sz w:val="28"/>
          <w:szCs w:val="28"/>
          <w:rtl/>
        </w:rPr>
        <w:t xml:space="preserve">כך לדוגמה, </w:t>
      </w:r>
      <w:r>
        <w:rPr>
          <w:rFonts w:cs="David" w:hint="cs"/>
          <w:sz w:val="28"/>
          <w:szCs w:val="28"/>
          <w:rtl/>
        </w:rPr>
        <w:t xml:space="preserve">הורה בית </w:t>
      </w:r>
      <w:r w:rsidR="00D23CD3">
        <w:rPr>
          <w:rFonts w:cs="David" w:hint="cs"/>
          <w:sz w:val="28"/>
          <w:szCs w:val="28"/>
          <w:rtl/>
        </w:rPr>
        <w:t>ה</w:t>
      </w:r>
      <w:r>
        <w:rPr>
          <w:rFonts w:cs="David" w:hint="cs"/>
          <w:sz w:val="28"/>
          <w:szCs w:val="28"/>
          <w:rtl/>
        </w:rPr>
        <w:t>משפט בצרפת לחברת 'יאהו!' האמריקנית למנוע מגולשים מצרפת לסחור בפריטים נאציים באתר מכירות פומביות מקוון שניהלה, שכן סחר בפריטים נאציים אסור על פי חוקי צרפת.</w:t>
      </w:r>
      <w:r>
        <w:rPr>
          <w:rStyle w:val="a5"/>
          <w:rFonts w:cs="David"/>
          <w:sz w:val="28"/>
          <w:szCs w:val="28"/>
          <w:rtl/>
        </w:rPr>
        <w:footnoteReference w:id="182"/>
      </w:r>
      <w:r>
        <w:rPr>
          <w:rFonts w:cs="David" w:hint="cs"/>
          <w:sz w:val="28"/>
          <w:szCs w:val="28"/>
          <w:rtl/>
        </w:rPr>
        <w:t xml:space="preserve"> לאחר התנהלות משפטית עניפה הפסידה 'יאהו!', אך בית המשפט הפדרלי בארצות הברית הותיר את שאלת האכיפה פתוחה.</w:t>
      </w:r>
    </w:p>
    <w:p w:rsidR="00C80269" w:rsidRDefault="00C80269" w:rsidP="00266E9B">
      <w:pPr>
        <w:spacing w:line="360" w:lineRule="auto"/>
        <w:jc w:val="both"/>
        <w:rPr>
          <w:rFonts w:cs="David"/>
          <w:sz w:val="28"/>
          <w:szCs w:val="28"/>
          <w:rtl/>
        </w:rPr>
      </w:pPr>
      <w:r>
        <w:rPr>
          <w:rFonts w:cs="David" w:hint="cs"/>
          <w:sz w:val="28"/>
          <w:szCs w:val="28"/>
          <w:rtl/>
        </w:rPr>
        <w:t>לפיכך, יש הטוענים כי חשיבותה של החקיקה המקומית ושל האכיפה תגבר רק אם יהיה שיתוף פעולה בין מדינות, לפחות באותם מקרים בהם הדין דומה. לעומתם, יש הטוענים כי מאחר שעדיין יהיו מדינות שלא יכבדו פסקי דין, אזי החשיבות של החקיקה והאכיפה אינה רבה.</w:t>
      </w:r>
      <w:r>
        <w:rPr>
          <w:rStyle w:val="a5"/>
          <w:rFonts w:cs="David"/>
          <w:sz w:val="28"/>
          <w:szCs w:val="28"/>
          <w:rtl/>
        </w:rPr>
        <w:footnoteReference w:id="183"/>
      </w:r>
      <w:r>
        <w:rPr>
          <w:rFonts w:cs="David" w:hint="cs"/>
          <w:sz w:val="28"/>
          <w:szCs w:val="28"/>
          <w:rtl/>
        </w:rPr>
        <w:t xml:space="preserve"> כך שלמעשה, במישור הלאומי אין כל אפשרות </w:t>
      </w:r>
      <w:r w:rsidRPr="00545AB6">
        <w:rPr>
          <w:rFonts w:cs="David" w:hint="cs"/>
          <w:b/>
          <w:bCs/>
          <w:sz w:val="28"/>
          <w:szCs w:val="28"/>
          <w:rtl/>
        </w:rPr>
        <w:t>מעשית</w:t>
      </w:r>
      <w:r>
        <w:rPr>
          <w:rFonts w:cs="David" w:hint="cs"/>
          <w:sz w:val="28"/>
          <w:szCs w:val="28"/>
          <w:rtl/>
        </w:rPr>
        <w:t xml:space="preserve"> לאסור העלאת תכנים מסוימים לרשת</w:t>
      </w:r>
      <w:r w:rsidR="00266E9B" w:rsidRPr="00CF3AD3">
        <w:rPr>
          <w:rFonts w:cs="David" w:hint="cs"/>
          <w:sz w:val="28"/>
          <w:szCs w:val="28"/>
          <w:rtl/>
        </w:rPr>
        <w:t xml:space="preserve">, </w:t>
      </w:r>
      <w:r w:rsidR="00266E9B" w:rsidRPr="00CF3AD3">
        <w:rPr>
          <w:rFonts w:cs="David" w:hint="cs"/>
          <w:b/>
          <w:bCs/>
          <w:sz w:val="28"/>
          <w:szCs w:val="28"/>
          <w:rtl/>
        </w:rPr>
        <w:t>גם אם הינם פוגעניים, גזעניים ומסיתים</w:t>
      </w:r>
      <w:r w:rsidR="00266E9B">
        <w:rPr>
          <w:rFonts w:cs="David" w:hint="cs"/>
          <w:sz w:val="28"/>
          <w:szCs w:val="28"/>
          <w:rtl/>
        </w:rPr>
        <w:t>,</w:t>
      </w:r>
      <w:r>
        <w:rPr>
          <w:rFonts w:cs="David" w:hint="cs"/>
          <w:sz w:val="28"/>
          <w:szCs w:val="28"/>
          <w:rtl/>
        </w:rPr>
        <w:t xml:space="preserve"> או על הצגתם בה וכפי שטוענת אגמון-גונן, איסורים שכאלה יכולים </w:t>
      </w:r>
      <w:r>
        <w:rPr>
          <w:rFonts w:cs="David" w:hint="cs"/>
          <w:sz w:val="28"/>
          <w:szCs w:val="28"/>
          <w:rtl/>
        </w:rPr>
        <w:lastRenderedPageBreak/>
        <w:t>להתאפשר רק בהסכמה בינלאומית. לדעתה, לא ניתן להשיג הסכמה כזו בכל נושא שהוא ובפרט בכאלו המערבים ערכים חברתיים כמו חופש הביטוי, הזכות לשם טוב, זכויות יוצרים וכדומה.</w:t>
      </w:r>
      <w:r>
        <w:rPr>
          <w:rStyle w:val="a5"/>
          <w:rFonts w:cs="David"/>
          <w:sz w:val="28"/>
          <w:szCs w:val="28"/>
          <w:rtl/>
        </w:rPr>
        <w:footnoteReference w:id="184"/>
      </w:r>
    </w:p>
    <w:p w:rsidR="00C80269" w:rsidRDefault="00C80269" w:rsidP="004E1E1D">
      <w:pPr>
        <w:spacing w:line="360" w:lineRule="auto"/>
        <w:jc w:val="both"/>
        <w:rPr>
          <w:rFonts w:cs="David"/>
          <w:sz w:val="28"/>
          <w:szCs w:val="28"/>
          <w:rtl/>
        </w:rPr>
      </w:pPr>
      <w:r>
        <w:rPr>
          <w:rFonts w:cs="David" w:hint="cs"/>
          <w:sz w:val="28"/>
          <w:szCs w:val="28"/>
          <w:rtl/>
        </w:rPr>
        <w:t xml:space="preserve">לטעמה של אגמון-גונן, גבולות ושטח טריטוריאלי הם </w:t>
      </w:r>
      <w:r w:rsidRPr="00DE01DE">
        <w:rPr>
          <w:rFonts w:cs="David" w:hint="cs"/>
          <w:b/>
          <w:bCs/>
          <w:sz w:val="28"/>
          <w:szCs w:val="28"/>
          <w:rtl/>
        </w:rPr>
        <w:t>תנאי הכרחי</w:t>
      </w:r>
      <w:r>
        <w:rPr>
          <w:rFonts w:cs="David" w:hint="cs"/>
          <w:sz w:val="28"/>
          <w:szCs w:val="28"/>
          <w:rtl/>
        </w:rPr>
        <w:t xml:space="preserve"> לקיומה של אכיפה משפטית יעילה, </w:t>
      </w:r>
      <w:r w:rsidRPr="00654B23">
        <w:rPr>
          <w:rFonts w:cs="David" w:hint="cs"/>
          <w:b/>
          <w:bCs/>
          <w:sz w:val="28"/>
          <w:szCs w:val="28"/>
          <w:rtl/>
        </w:rPr>
        <w:t>ולכן הקושי האמור ב'עידן המרשתת' מחייב התייחסות משפטית אחרת</w:t>
      </w:r>
      <w:r>
        <w:rPr>
          <w:rFonts w:cs="David" w:hint="cs"/>
          <w:sz w:val="28"/>
          <w:szCs w:val="28"/>
          <w:rtl/>
        </w:rPr>
        <w:t>, שכן הוא קושי איכותי ולא כמותי.</w:t>
      </w:r>
      <w:r>
        <w:rPr>
          <w:rStyle w:val="a5"/>
          <w:rFonts w:cs="David"/>
          <w:sz w:val="28"/>
          <w:szCs w:val="28"/>
          <w:rtl/>
        </w:rPr>
        <w:footnoteReference w:id="185"/>
      </w:r>
      <w:r>
        <w:rPr>
          <w:rFonts w:cs="David" w:hint="cs"/>
          <w:sz w:val="28"/>
          <w:szCs w:val="28"/>
          <w:rtl/>
        </w:rPr>
        <w:t xml:space="preserve"> אין כוונתה לכך שצריך למחוק עבירות או עוולות מספר החוקים, אלא שבמקרים של עבירות ועוולות, </w:t>
      </w:r>
      <w:r w:rsidRPr="00567A64">
        <w:rPr>
          <w:rFonts w:cs="David" w:hint="cs"/>
          <w:b/>
          <w:bCs/>
          <w:sz w:val="28"/>
          <w:szCs w:val="28"/>
          <w:rtl/>
        </w:rPr>
        <w:t>המבוצעות ברשת</w:t>
      </w:r>
      <w:r>
        <w:rPr>
          <w:rFonts w:cs="David" w:hint="cs"/>
          <w:sz w:val="28"/>
          <w:szCs w:val="28"/>
          <w:rtl/>
        </w:rPr>
        <w:t xml:space="preserve"> יש להגביל את אפשרות הגישה לבתי המשפט </w:t>
      </w:r>
      <w:r w:rsidRPr="00904402">
        <w:rPr>
          <w:rFonts w:cs="David" w:hint="cs"/>
          <w:b/>
          <w:bCs/>
          <w:sz w:val="28"/>
          <w:szCs w:val="28"/>
          <w:rtl/>
        </w:rPr>
        <w:t xml:space="preserve">רק למקרים שבהם ניתן לזהות את העבריין או </w:t>
      </w:r>
      <w:r>
        <w:rPr>
          <w:rFonts w:cs="David" w:hint="cs"/>
          <w:b/>
          <w:bCs/>
          <w:sz w:val="28"/>
          <w:szCs w:val="28"/>
          <w:rtl/>
        </w:rPr>
        <w:t xml:space="preserve">את </w:t>
      </w:r>
      <w:r w:rsidRPr="00904402">
        <w:rPr>
          <w:rFonts w:cs="David" w:hint="cs"/>
          <w:b/>
          <w:bCs/>
          <w:sz w:val="28"/>
          <w:szCs w:val="28"/>
          <w:rtl/>
        </w:rPr>
        <w:t>גורם העוולה.</w:t>
      </w:r>
      <w:r>
        <w:rPr>
          <w:rFonts w:cs="David" w:hint="cs"/>
          <w:b/>
          <w:bCs/>
          <w:sz w:val="28"/>
          <w:szCs w:val="28"/>
          <w:rtl/>
        </w:rPr>
        <w:t xml:space="preserve"> </w:t>
      </w:r>
    </w:p>
    <w:p w:rsidR="00C80269" w:rsidRDefault="00C80269" w:rsidP="00C80269">
      <w:pPr>
        <w:spacing w:line="360" w:lineRule="auto"/>
        <w:jc w:val="both"/>
        <w:rPr>
          <w:rFonts w:cs="David"/>
          <w:sz w:val="28"/>
          <w:szCs w:val="28"/>
          <w:rtl/>
        </w:rPr>
      </w:pPr>
      <w:r>
        <w:rPr>
          <w:rFonts w:cs="David" w:hint="cs"/>
          <w:sz w:val="28"/>
          <w:szCs w:val="28"/>
          <w:rtl/>
        </w:rPr>
        <w:t xml:space="preserve">בכל הנוגע להסדרה המשפטית של פעילויות ברשת אומרת אגמון-גונן, כי נקודת המוצא הינה שלשלטון החוק יש צד מהותי, הנוגע לתוכנו של החוק וכן צד פורמלי, לפיו זכויות וחובות נקבעות בחקיקה ועל כולם למלא את הוראות החוק. </w:t>
      </w:r>
      <w:r w:rsidRPr="00F836DF">
        <w:rPr>
          <w:rFonts w:cs="David" w:hint="cs"/>
          <w:b/>
          <w:bCs/>
          <w:sz w:val="28"/>
          <w:szCs w:val="28"/>
          <w:rtl/>
        </w:rPr>
        <w:t>מ</w:t>
      </w:r>
      <w:r>
        <w:rPr>
          <w:rFonts w:cs="David" w:hint="cs"/>
          <w:b/>
          <w:bCs/>
          <w:sz w:val="28"/>
          <w:szCs w:val="28"/>
          <w:rtl/>
        </w:rPr>
        <w:t>שעה</w:t>
      </w:r>
      <w:r w:rsidRPr="00F836DF">
        <w:rPr>
          <w:rFonts w:cs="David" w:hint="cs"/>
          <w:b/>
          <w:bCs/>
          <w:sz w:val="28"/>
          <w:szCs w:val="28"/>
          <w:rtl/>
        </w:rPr>
        <w:t xml:space="preserve"> שמחליטים כי יש מקום להסדיר תחום או נושא מסוים בחוק, יש לדאוג לכך שהוראות החוק ייאכפו</w:t>
      </w:r>
      <w:r>
        <w:rPr>
          <w:rFonts w:cs="David" w:hint="cs"/>
          <w:sz w:val="28"/>
          <w:szCs w:val="28"/>
          <w:rtl/>
        </w:rPr>
        <w:t xml:space="preserve">. החוק נבחן ביכולתו לחייב את כל מי שעליו הוא חל. לכן, יש לקבוע הסדרים מתאימים, שניתן יהיה לאוכפם. </w:t>
      </w:r>
      <w:r w:rsidRPr="00E94BEB">
        <w:rPr>
          <w:rFonts w:cs="David" w:hint="cs"/>
          <w:sz w:val="28"/>
          <w:szCs w:val="28"/>
          <w:rtl/>
        </w:rPr>
        <w:t>מה שחשוב לדעתה בהקשר זה,</w:t>
      </w:r>
      <w:r>
        <w:rPr>
          <w:rFonts w:cs="David" w:hint="cs"/>
          <w:b/>
          <w:bCs/>
          <w:sz w:val="28"/>
          <w:szCs w:val="28"/>
          <w:rtl/>
        </w:rPr>
        <w:t xml:space="preserve"> היא יכולת האכיפה ולא האכיפה בפועל</w:t>
      </w:r>
      <w:r w:rsidRPr="00B5185A">
        <w:rPr>
          <w:rFonts w:cs="David" w:hint="cs"/>
          <w:sz w:val="28"/>
          <w:szCs w:val="28"/>
          <w:rtl/>
        </w:rPr>
        <w:t>.</w:t>
      </w:r>
      <w:r>
        <w:rPr>
          <w:rStyle w:val="a5"/>
          <w:rFonts w:cs="David"/>
          <w:sz w:val="28"/>
          <w:szCs w:val="28"/>
          <w:rtl/>
        </w:rPr>
        <w:footnoteReference w:id="186"/>
      </w:r>
      <w:r w:rsidRPr="00B5185A">
        <w:rPr>
          <w:rFonts w:cs="David" w:hint="cs"/>
          <w:sz w:val="28"/>
          <w:szCs w:val="28"/>
          <w:rtl/>
        </w:rPr>
        <w:t xml:space="preserve"> גם בעולם החוץ-אינטרנטי יש עבריינים </w:t>
      </w:r>
      <w:r>
        <w:rPr>
          <w:rFonts w:cs="David" w:hint="cs"/>
          <w:sz w:val="28"/>
          <w:szCs w:val="28"/>
          <w:rtl/>
        </w:rPr>
        <w:t>ש</w:t>
      </w:r>
      <w:r w:rsidRPr="00B5185A">
        <w:rPr>
          <w:rFonts w:cs="David" w:hint="cs"/>
          <w:sz w:val="28"/>
          <w:szCs w:val="28"/>
          <w:rtl/>
        </w:rPr>
        <w:t>אינם נתפסים</w:t>
      </w:r>
      <w:r>
        <w:rPr>
          <w:rFonts w:cs="David" w:hint="cs"/>
          <w:sz w:val="28"/>
          <w:szCs w:val="28"/>
          <w:rtl/>
        </w:rPr>
        <w:t>,</w:t>
      </w:r>
      <w:r w:rsidRPr="00B5185A">
        <w:rPr>
          <w:rFonts w:cs="David" w:hint="cs"/>
          <w:sz w:val="28"/>
          <w:szCs w:val="28"/>
          <w:rtl/>
        </w:rPr>
        <w:t xml:space="preserve"> עבירות והפרות </w:t>
      </w:r>
      <w:r>
        <w:rPr>
          <w:rFonts w:cs="David" w:hint="cs"/>
          <w:sz w:val="28"/>
          <w:szCs w:val="28"/>
          <w:rtl/>
        </w:rPr>
        <w:t>ש</w:t>
      </w:r>
      <w:r w:rsidRPr="00B5185A">
        <w:rPr>
          <w:rFonts w:cs="David" w:hint="cs"/>
          <w:sz w:val="28"/>
          <w:szCs w:val="28"/>
          <w:rtl/>
        </w:rPr>
        <w:t xml:space="preserve">אינן באות על תיקונן וחוקים </w:t>
      </w:r>
      <w:r>
        <w:rPr>
          <w:rFonts w:cs="David" w:hint="cs"/>
          <w:sz w:val="28"/>
          <w:szCs w:val="28"/>
          <w:rtl/>
        </w:rPr>
        <w:t>ש</w:t>
      </w:r>
      <w:r w:rsidRPr="00B5185A">
        <w:rPr>
          <w:rFonts w:cs="David" w:hint="cs"/>
          <w:sz w:val="28"/>
          <w:szCs w:val="28"/>
          <w:rtl/>
        </w:rPr>
        <w:t xml:space="preserve">אינם נאכפים במלואם. אולם ככלל, במקרים </w:t>
      </w:r>
      <w:r w:rsidRPr="007128A0">
        <w:rPr>
          <w:rFonts w:cs="David" w:hint="cs"/>
          <w:b/>
          <w:bCs/>
          <w:sz w:val="28"/>
          <w:szCs w:val="28"/>
          <w:rtl/>
        </w:rPr>
        <w:t>רבים</w:t>
      </w:r>
      <w:r w:rsidRPr="00B5185A">
        <w:rPr>
          <w:rFonts w:cs="David" w:hint="cs"/>
          <w:sz w:val="28"/>
          <w:szCs w:val="28"/>
          <w:rtl/>
        </w:rPr>
        <w:t xml:space="preserve"> </w:t>
      </w:r>
      <w:r>
        <w:rPr>
          <w:rFonts w:cs="David" w:hint="cs"/>
          <w:sz w:val="28"/>
          <w:szCs w:val="28"/>
          <w:rtl/>
        </w:rPr>
        <w:t xml:space="preserve">נאכף </w:t>
      </w:r>
      <w:r w:rsidRPr="00B5185A">
        <w:rPr>
          <w:rFonts w:cs="David" w:hint="cs"/>
          <w:sz w:val="28"/>
          <w:szCs w:val="28"/>
          <w:rtl/>
        </w:rPr>
        <w:t xml:space="preserve">החוק. </w:t>
      </w:r>
      <w:r w:rsidRPr="00290CCC">
        <w:rPr>
          <w:rFonts w:cs="David" w:hint="cs"/>
          <w:b/>
          <w:bCs/>
          <w:sz w:val="28"/>
          <w:szCs w:val="28"/>
          <w:rtl/>
        </w:rPr>
        <w:t>במצב דברים שבמרבית המקרים במרשתת העבריינים לא יאותרו, מלכתחילה כמעט שלא קיימת יכולת אכיפה</w:t>
      </w:r>
      <w:r>
        <w:rPr>
          <w:rFonts w:cs="David" w:hint="cs"/>
          <w:sz w:val="28"/>
          <w:szCs w:val="28"/>
          <w:rtl/>
        </w:rPr>
        <w:t xml:space="preserve">. </w:t>
      </w:r>
    </w:p>
    <w:p w:rsidR="00C80269" w:rsidRPr="007128A0" w:rsidRDefault="00C80269" w:rsidP="00BC5CEB">
      <w:pPr>
        <w:spacing w:line="360" w:lineRule="auto"/>
        <w:jc w:val="both"/>
        <w:rPr>
          <w:rFonts w:cs="David"/>
          <w:b/>
          <w:bCs/>
          <w:sz w:val="28"/>
          <w:szCs w:val="28"/>
          <w:rtl/>
        </w:rPr>
      </w:pPr>
      <w:r w:rsidRPr="00665E91">
        <w:rPr>
          <w:rFonts w:cs="David" w:hint="cs"/>
          <w:sz w:val="28"/>
          <w:szCs w:val="28"/>
          <w:rtl/>
        </w:rPr>
        <w:t xml:space="preserve">בנושא </w:t>
      </w:r>
      <w:r w:rsidRPr="007128A0">
        <w:rPr>
          <w:rFonts w:cs="David" w:hint="cs"/>
          <w:sz w:val="28"/>
          <w:szCs w:val="28"/>
          <w:rtl/>
        </w:rPr>
        <w:t>זה</w:t>
      </w:r>
      <w:r w:rsidRPr="00665E91">
        <w:rPr>
          <w:rFonts w:cs="David" w:hint="cs"/>
          <w:b/>
          <w:bCs/>
          <w:sz w:val="28"/>
          <w:szCs w:val="28"/>
          <w:rtl/>
        </w:rPr>
        <w:t xml:space="preserve"> של יכולת האכיפה</w:t>
      </w:r>
      <w:r w:rsidRPr="007128A0">
        <w:rPr>
          <w:rFonts w:cs="David" w:hint="cs"/>
          <w:b/>
          <w:bCs/>
          <w:sz w:val="28"/>
          <w:szCs w:val="28"/>
          <w:rtl/>
        </w:rPr>
        <w:t>, מול המסיתים לגזענות ולאלימות ברשתות החברתיות</w:t>
      </w:r>
      <w:r w:rsidRPr="00665E91">
        <w:rPr>
          <w:rFonts w:cs="David" w:hint="cs"/>
          <w:sz w:val="28"/>
          <w:szCs w:val="28"/>
          <w:rtl/>
        </w:rPr>
        <w:t xml:space="preserve"> בישראל תדון העבודה בהמשך, </w:t>
      </w:r>
      <w:r w:rsidR="00BC5CEB">
        <w:rPr>
          <w:rFonts w:cs="David" w:hint="cs"/>
          <w:sz w:val="28"/>
          <w:szCs w:val="28"/>
          <w:rtl/>
        </w:rPr>
        <w:t xml:space="preserve">שכן </w:t>
      </w:r>
      <w:r w:rsidRPr="00665E91">
        <w:rPr>
          <w:rFonts w:cs="David" w:hint="cs"/>
          <w:sz w:val="28"/>
          <w:szCs w:val="28"/>
          <w:rtl/>
        </w:rPr>
        <w:t xml:space="preserve">דומה שבמקרה פרטני זה, </w:t>
      </w:r>
      <w:r w:rsidRPr="007128A0">
        <w:rPr>
          <w:rFonts w:cs="David" w:hint="cs"/>
          <w:b/>
          <w:bCs/>
          <w:sz w:val="28"/>
          <w:szCs w:val="28"/>
          <w:rtl/>
        </w:rPr>
        <w:t xml:space="preserve">אין קושי ממשי באיתור העבריינים. </w:t>
      </w:r>
    </w:p>
    <w:p w:rsidR="00C80269" w:rsidRPr="007128A0" w:rsidRDefault="00BC5CEB" w:rsidP="00C80269">
      <w:pPr>
        <w:spacing w:line="360" w:lineRule="auto"/>
        <w:jc w:val="both"/>
        <w:rPr>
          <w:rFonts w:cs="David"/>
          <w:b/>
          <w:bCs/>
          <w:sz w:val="28"/>
          <w:szCs w:val="28"/>
          <w:rtl/>
        </w:rPr>
      </w:pPr>
      <w:r>
        <w:rPr>
          <w:rFonts w:cs="David" w:hint="cs"/>
          <w:b/>
          <w:bCs/>
          <w:sz w:val="28"/>
          <w:szCs w:val="28"/>
          <w:rtl/>
        </w:rPr>
        <w:t xml:space="preserve">כידוע, </w:t>
      </w:r>
      <w:r w:rsidR="00C80269" w:rsidRPr="00985BB8">
        <w:rPr>
          <w:rFonts w:cs="David" w:hint="cs"/>
          <w:b/>
          <w:bCs/>
          <w:sz w:val="28"/>
          <w:szCs w:val="28"/>
          <w:rtl/>
        </w:rPr>
        <w:t>יש חסרונות לחוקים שלא ניתן לאכוף</w:t>
      </w:r>
      <w:r w:rsidR="00C80269">
        <w:rPr>
          <w:rFonts w:cs="David" w:hint="cs"/>
          <w:sz w:val="28"/>
          <w:szCs w:val="28"/>
          <w:rtl/>
        </w:rPr>
        <w:t>. הם אינם פותרים את הבעיה ואי אכיפתם מחלישה את כוחה הנורמטיבי של החקיקה בכלל. לתביעות על יסוד חקיקה יש גם ערך חינוכי - להצהיר על נורמה ולהראות שהמדינה לוקחת ברצינות את הנושא</w:t>
      </w:r>
      <w:r w:rsidR="00C80269" w:rsidRPr="00C71CC0">
        <w:rPr>
          <w:rFonts w:cs="David" w:hint="cs"/>
          <w:sz w:val="28"/>
          <w:szCs w:val="28"/>
          <w:rtl/>
        </w:rPr>
        <w:t xml:space="preserve">. </w:t>
      </w:r>
      <w:r w:rsidR="00C80269" w:rsidRPr="007128A0">
        <w:rPr>
          <w:rFonts w:cs="David" w:hint="cs"/>
          <w:b/>
          <w:bCs/>
          <w:sz w:val="28"/>
          <w:szCs w:val="28"/>
          <w:rtl/>
        </w:rPr>
        <w:t xml:space="preserve">ערך חינוכי זה נפגם בהיעדר יכולת אכיפה. </w:t>
      </w:r>
    </w:p>
    <w:p w:rsidR="00C80269" w:rsidRDefault="00C80269" w:rsidP="00BC5CEB">
      <w:pPr>
        <w:spacing w:line="360" w:lineRule="auto"/>
        <w:jc w:val="both"/>
        <w:rPr>
          <w:rFonts w:cs="David"/>
          <w:sz w:val="28"/>
          <w:szCs w:val="28"/>
          <w:rtl/>
        </w:rPr>
      </w:pPr>
      <w:r>
        <w:rPr>
          <w:rFonts w:cs="David" w:hint="cs"/>
          <w:sz w:val="28"/>
          <w:szCs w:val="28"/>
          <w:rtl/>
        </w:rPr>
        <w:t>בהקשר זה יש לומר, כי ציות לחוק אינו נובע תמיד מיכולת אכיפה של הוראותיו באמצעות בית משפט</w:t>
      </w:r>
      <w:r w:rsidR="006E2F06">
        <w:rPr>
          <w:rFonts w:cs="David" w:hint="cs"/>
          <w:sz w:val="28"/>
          <w:szCs w:val="28"/>
          <w:rtl/>
        </w:rPr>
        <w:t xml:space="preserve"> והמשטרה</w:t>
      </w:r>
      <w:r>
        <w:rPr>
          <w:rFonts w:cs="David" w:hint="cs"/>
          <w:sz w:val="28"/>
          <w:szCs w:val="28"/>
          <w:rtl/>
        </w:rPr>
        <w:t xml:space="preserve">, שכן </w:t>
      </w:r>
      <w:r w:rsidRPr="00885765">
        <w:rPr>
          <w:rFonts w:cs="David" w:hint="cs"/>
          <w:b/>
          <w:bCs/>
          <w:sz w:val="28"/>
          <w:szCs w:val="28"/>
          <w:rtl/>
        </w:rPr>
        <w:t xml:space="preserve">במרבית מהמקרים הציות לחוק נובע מעצם </w:t>
      </w:r>
      <w:r w:rsidRPr="00885765">
        <w:rPr>
          <w:rFonts w:cs="David" w:hint="cs"/>
          <w:b/>
          <w:bCs/>
          <w:sz w:val="28"/>
          <w:szCs w:val="28"/>
          <w:rtl/>
        </w:rPr>
        <w:lastRenderedPageBreak/>
        <w:t>העובדה שמדובר בחוק ומתוקפו הנורמטיבי</w:t>
      </w:r>
      <w:r>
        <w:rPr>
          <w:rFonts w:cs="David" w:hint="cs"/>
          <w:sz w:val="28"/>
          <w:szCs w:val="28"/>
          <w:rtl/>
        </w:rPr>
        <w:t>. גם ב</w:t>
      </w:r>
      <w:r w:rsidR="00BC5CEB">
        <w:rPr>
          <w:rFonts w:cs="David" w:hint="cs"/>
          <w:sz w:val="28"/>
          <w:szCs w:val="28"/>
          <w:rtl/>
        </w:rPr>
        <w:t>נוגע ל</w:t>
      </w:r>
      <w:r>
        <w:rPr>
          <w:rFonts w:cs="David" w:hint="cs"/>
          <w:sz w:val="28"/>
          <w:szCs w:val="28"/>
          <w:rtl/>
        </w:rPr>
        <w:t>רשתות החברתיות, ניתן לומר</w:t>
      </w:r>
      <w:r w:rsidR="00BC5CEB">
        <w:rPr>
          <w:rFonts w:cs="David" w:hint="cs"/>
          <w:sz w:val="28"/>
          <w:szCs w:val="28"/>
          <w:rtl/>
        </w:rPr>
        <w:t xml:space="preserve"> </w:t>
      </w:r>
      <w:r>
        <w:rPr>
          <w:rFonts w:cs="David" w:hint="cs"/>
          <w:sz w:val="28"/>
          <w:szCs w:val="28"/>
          <w:rtl/>
        </w:rPr>
        <w:t xml:space="preserve">כי המשתמשים שומרים על כללי המשחק. למשל, אין כמעט דיווחים על הונאות, למרות שמיליוני משתמשים לוקחים חלק במכירות פומביות. אך, עדיין מתבצעות במרשתת וברשתות החברתיות עבירות, ואלו הם המקרים שבעניינם </w:t>
      </w:r>
      <w:r w:rsidRPr="001125D8">
        <w:rPr>
          <w:rFonts w:cs="David" w:hint="cs"/>
          <w:b/>
          <w:bCs/>
          <w:sz w:val="28"/>
          <w:szCs w:val="28"/>
          <w:rtl/>
        </w:rPr>
        <w:t>נדרשת האכיפה, אשר כמעט ואינה מתקיימת.</w:t>
      </w:r>
      <w:r>
        <w:rPr>
          <w:rFonts w:cs="David" w:hint="cs"/>
          <w:sz w:val="28"/>
          <w:szCs w:val="28"/>
          <w:rtl/>
        </w:rPr>
        <w:t xml:space="preserve"> </w:t>
      </w:r>
      <w:r w:rsidRPr="00BC5CEB">
        <w:rPr>
          <w:rFonts w:cs="David" w:hint="cs"/>
          <w:b/>
          <w:bCs/>
          <w:sz w:val="28"/>
          <w:szCs w:val="28"/>
          <w:rtl/>
        </w:rPr>
        <w:t>השיח הגזעני והמסית ברשת הינו דוגמה לכך.</w:t>
      </w:r>
    </w:p>
    <w:p w:rsidR="00C80269" w:rsidRDefault="00C80269" w:rsidP="00860812">
      <w:pPr>
        <w:spacing w:line="360" w:lineRule="auto"/>
        <w:jc w:val="both"/>
        <w:rPr>
          <w:rFonts w:cs="David"/>
          <w:sz w:val="28"/>
          <w:szCs w:val="28"/>
          <w:rtl/>
        </w:rPr>
      </w:pPr>
      <w:r>
        <w:rPr>
          <w:rFonts w:cs="David" w:hint="cs"/>
          <w:sz w:val="28"/>
          <w:szCs w:val="28"/>
          <w:rtl/>
        </w:rPr>
        <w:t xml:space="preserve">קרניאל ושניר טוענים, כי לצד הטעמים הפרקטיים לקשיי האכיפה </w:t>
      </w:r>
      <w:r w:rsidRPr="00EE42F0">
        <w:rPr>
          <w:rFonts w:cs="David" w:hint="cs"/>
          <w:b/>
          <w:bCs/>
          <w:sz w:val="28"/>
          <w:szCs w:val="28"/>
          <w:rtl/>
        </w:rPr>
        <w:t>ישנם כמה שיקולי מדיניות שבגינם לא מוצדק לאכוף רגולציה של המרשתת</w:t>
      </w:r>
      <w:r>
        <w:rPr>
          <w:rFonts w:cs="David" w:hint="cs"/>
          <w:sz w:val="28"/>
          <w:szCs w:val="28"/>
          <w:rtl/>
        </w:rPr>
        <w:t>: היעדר ריכוזיות ומונופול, עלויות עסקה נמוכות והיעדר 'קהל שבוי'.</w:t>
      </w:r>
      <w:r>
        <w:rPr>
          <w:rStyle w:val="a5"/>
          <w:rFonts w:cs="David"/>
          <w:sz w:val="28"/>
          <w:szCs w:val="28"/>
          <w:rtl/>
        </w:rPr>
        <w:footnoteReference w:id="187"/>
      </w:r>
      <w:r>
        <w:rPr>
          <w:rFonts w:cs="David" w:hint="cs"/>
          <w:sz w:val="28"/>
          <w:szCs w:val="28"/>
          <w:rtl/>
        </w:rPr>
        <w:t xml:space="preserve"> אגמון-גונן מוסיפה מספר שיקולים: היווצרות 'אפקט מצנן' ובלימת התפתחות הרשת והטכנולוגיות הקשורות בה ופגיעה בחופש המידע וביצירתיות.</w:t>
      </w:r>
      <w:r>
        <w:rPr>
          <w:rStyle w:val="a5"/>
          <w:rFonts w:cs="David"/>
          <w:sz w:val="28"/>
          <w:szCs w:val="28"/>
          <w:rtl/>
        </w:rPr>
        <w:footnoteReference w:id="188"/>
      </w:r>
      <w:r>
        <w:rPr>
          <w:rFonts w:cs="David" w:hint="cs"/>
          <w:sz w:val="28"/>
          <w:szCs w:val="28"/>
          <w:rtl/>
        </w:rPr>
        <w:t xml:space="preserve"> העבודה תעמוד על שיקולים אלו בקצרה.</w:t>
      </w:r>
    </w:p>
    <w:p w:rsidR="00C80269" w:rsidRDefault="00C80269" w:rsidP="00860812">
      <w:pPr>
        <w:spacing w:line="360" w:lineRule="auto"/>
        <w:ind w:left="283"/>
        <w:jc w:val="both"/>
        <w:rPr>
          <w:rFonts w:cs="David"/>
          <w:sz w:val="28"/>
          <w:szCs w:val="28"/>
          <w:rtl/>
        </w:rPr>
      </w:pPr>
      <w:r w:rsidRPr="00093140">
        <w:rPr>
          <w:rFonts w:cs="David" w:hint="cs"/>
          <w:b/>
          <w:bCs/>
          <w:sz w:val="28"/>
          <w:szCs w:val="28"/>
          <w:rtl/>
        </w:rPr>
        <w:t>היעדר ריכוזיות</w:t>
      </w:r>
      <w:r>
        <w:rPr>
          <w:rStyle w:val="a5"/>
          <w:rFonts w:cs="David"/>
          <w:sz w:val="28"/>
          <w:szCs w:val="28"/>
          <w:rtl/>
        </w:rPr>
        <w:footnoteReference w:id="189"/>
      </w:r>
      <w:r>
        <w:rPr>
          <w:rFonts w:cs="David" w:hint="cs"/>
          <w:sz w:val="28"/>
          <w:szCs w:val="28"/>
          <w:rtl/>
        </w:rPr>
        <w:t xml:space="preserve"> </w:t>
      </w:r>
      <w:r w:rsidRPr="00E9391A">
        <w:rPr>
          <w:rFonts w:cs="David" w:hint="cs"/>
          <w:b/>
          <w:bCs/>
          <w:sz w:val="28"/>
          <w:szCs w:val="28"/>
          <w:rtl/>
        </w:rPr>
        <w:t>-</w:t>
      </w:r>
      <w:r>
        <w:rPr>
          <w:rFonts w:cs="David" w:hint="cs"/>
          <w:sz w:val="28"/>
          <w:szCs w:val="28"/>
          <w:rtl/>
        </w:rPr>
        <w:t xml:space="preserve"> מונופולים וריכוזיות נוצרים בעיקר בשל קבלת בלעדיות על משאב מוגבל. בעולם הלא וירטואלי </w:t>
      </w:r>
      <w:r w:rsidR="00860812">
        <w:rPr>
          <w:rFonts w:cs="David" w:hint="cs"/>
          <w:sz w:val="28"/>
          <w:szCs w:val="28"/>
          <w:rtl/>
        </w:rPr>
        <w:t xml:space="preserve">עשוי </w:t>
      </w:r>
      <w:r>
        <w:rPr>
          <w:rFonts w:cs="David" w:hint="cs"/>
          <w:sz w:val="28"/>
          <w:szCs w:val="28"/>
          <w:rtl/>
        </w:rPr>
        <w:t xml:space="preserve">בעל המונופול לתמחר את שרותיו במחיר גבוה ממחירו האמיתי או לתת שירות ברמה נמוכה. כך עלול להיווצר כשל שוק או פגיעה בצרכנים או שניהם גם יחד. פתרון אפשרי מצד המדינה לטיפול בכך הוא הטלת הגבלות על חופש הפעולה של גופים אלו - רגולציה. זוהי למעשה הסדרה מדינתית המעניקה למפקח (לרגולטור) את הסמכות לנקוט בצעדים המתאימים כדי להבטיח שאותם גופים לא ינצלו את כוחם לרעה. כך גם עשתה המדינה בעניין גופי התקשורת בישראל, ברשימה של חוקים, מתוך חשש ששוק התקשורת, במדיה או באזור מסוים אחר, ירוכז אצל גוף אחד שיטיל על הצרכנים עלויות גבוהות או מוצר נחות. </w:t>
      </w:r>
    </w:p>
    <w:p w:rsidR="00C80269" w:rsidRDefault="00C80269" w:rsidP="00315C0A">
      <w:pPr>
        <w:spacing w:line="360" w:lineRule="auto"/>
        <w:ind w:left="283"/>
        <w:jc w:val="both"/>
        <w:rPr>
          <w:rFonts w:cs="David"/>
          <w:b/>
          <w:bCs/>
          <w:sz w:val="28"/>
          <w:szCs w:val="28"/>
          <w:rtl/>
        </w:rPr>
      </w:pPr>
      <w:r>
        <w:rPr>
          <w:rFonts w:cs="David" w:hint="cs"/>
          <w:sz w:val="28"/>
          <w:szCs w:val="28"/>
          <w:rtl/>
        </w:rPr>
        <w:t xml:space="preserve">המהפכה הטכנולוגית בתחום המרשתת מאפשרת כיום למידע מכל סוג, לרבות טקסט, אודיו ווידאו להגיע לכל מקום באמצעות המרשתת. עיתונאות מקוונת ושידור מקוון פותחים את שוק התקשורת למפעילים רבים ומצמצמים בכך את החשש מפני מונופולים ו'קרטליזציה' בענף. בכך, </w:t>
      </w:r>
      <w:r w:rsidRPr="00B71794">
        <w:rPr>
          <w:rFonts w:cs="David" w:hint="cs"/>
          <w:b/>
          <w:bCs/>
          <w:sz w:val="28"/>
          <w:szCs w:val="28"/>
          <w:rtl/>
        </w:rPr>
        <w:t>פוחת הצורך ברגולציה של</w:t>
      </w:r>
      <w:r w:rsidR="00315C0A">
        <w:rPr>
          <w:rFonts w:cs="David" w:hint="cs"/>
          <w:b/>
          <w:bCs/>
          <w:sz w:val="28"/>
          <w:szCs w:val="28"/>
          <w:rtl/>
        </w:rPr>
        <w:t xml:space="preserve"> תכנים וגובר חופש הביטוי במרשתת, </w:t>
      </w:r>
      <w:r w:rsidR="00315C0A" w:rsidRPr="00860812">
        <w:rPr>
          <w:rFonts w:cs="David" w:hint="cs"/>
          <w:b/>
          <w:bCs/>
          <w:sz w:val="28"/>
          <w:szCs w:val="28"/>
          <w:rtl/>
        </w:rPr>
        <w:t>אשר מאפשר גם תכנים פוגעניים, גזעניים ומסיתים.</w:t>
      </w:r>
    </w:p>
    <w:p w:rsidR="00C80269" w:rsidRDefault="00C80269" w:rsidP="00C80269">
      <w:pPr>
        <w:spacing w:line="360" w:lineRule="auto"/>
        <w:ind w:left="283"/>
        <w:jc w:val="both"/>
        <w:rPr>
          <w:rFonts w:cs="David"/>
          <w:sz w:val="28"/>
          <w:szCs w:val="28"/>
          <w:rtl/>
        </w:rPr>
      </w:pPr>
      <w:r>
        <w:rPr>
          <w:rFonts w:cs="David" w:hint="cs"/>
          <w:b/>
          <w:bCs/>
          <w:sz w:val="28"/>
          <w:szCs w:val="28"/>
          <w:rtl/>
        </w:rPr>
        <w:lastRenderedPageBreak/>
        <w:t>עלויות עסקה נמוכות</w:t>
      </w:r>
      <w:r>
        <w:rPr>
          <w:rStyle w:val="a5"/>
          <w:rFonts w:cs="David"/>
          <w:b/>
          <w:bCs/>
          <w:sz w:val="28"/>
          <w:szCs w:val="28"/>
          <w:rtl/>
        </w:rPr>
        <w:footnoteReference w:id="190"/>
      </w:r>
      <w:r>
        <w:rPr>
          <w:rFonts w:cs="David" w:hint="cs"/>
          <w:b/>
          <w:bCs/>
          <w:sz w:val="28"/>
          <w:szCs w:val="28"/>
          <w:rtl/>
        </w:rPr>
        <w:t xml:space="preserve"> - </w:t>
      </w:r>
      <w:r>
        <w:rPr>
          <w:rFonts w:cs="David" w:hint="cs"/>
          <w:sz w:val="28"/>
          <w:szCs w:val="28"/>
          <w:rtl/>
        </w:rPr>
        <w:t xml:space="preserve">כבר צוין לעיל בעניין 'חוק שריקי' כי המרשתת שינתה את מבנה השוק הכלכלי ואת החשיבה המסורתית על עסקאות כלכליות. בעוד שבשוק התקשורת המסורתית עלויות העסקה הן גבוהות במיוחד, הרי שבמרשתת העלויות הן נמוכות מאד ותשתיות השידור עומדות לרשותו של כל אדם החפץ בכך. </w:t>
      </w:r>
      <w:r w:rsidRPr="00B54BC7">
        <w:rPr>
          <w:rFonts w:cs="David" w:hint="cs"/>
          <w:b/>
          <w:bCs/>
          <w:sz w:val="28"/>
          <w:szCs w:val="28"/>
          <w:rtl/>
        </w:rPr>
        <w:t>הטלת פיקוח והגבלות זכות השידור במרשתת תגרום למחסומי כניסה גבוהים שיעוררו רתיעה אצל המשתמשים, יביאו לירידה בהיצע של השוק ויפגעו בחופש הביטוי</w:t>
      </w:r>
      <w:r>
        <w:rPr>
          <w:rFonts w:cs="David" w:hint="cs"/>
          <w:sz w:val="28"/>
          <w:szCs w:val="28"/>
          <w:rtl/>
        </w:rPr>
        <w:t>.</w:t>
      </w:r>
    </w:p>
    <w:p w:rsidR="00161D59" w:rsidRDefault="00C80269" w:rsidP="00C80269">
      <w:pPr>
        <w:spacing w:line="360" w:lineRule="auto"/>
        <w:ind w:left="283"/>
        <w:jc w:val="both"/>
        <w:rPr>
          <w:rFonts w:cs="David"/>
          <w:sz w:val="28"/>
          <w:szCs w:val="28"/>
          <w:rtl/>
        </w:rPr>
      </w:pPr>
      <w:r w:rsidRPr="009940A0">
        <w:rPr>
          <w:rFonts w:cs="David" w:hint="cs"/>
          <w:b/>
          <w:bCs/>
          <w:sz w:val="28"/>
          <w:szCs w:val="28"/>
          <w:rtl/>
        </w:rPr>
        <w:t>היעדר 'קהל שבוי'</w:t>
      </w:r>
      <w:r>
        <w:rPr>
          <w:rStyle w:val="a5"/>
          <w:rFonts w:cs="David"/>
          <w:sz w:val="28"/>
          <w:szCs w:val="28"/>
          <w:rtl/>
        </w:rPr>
        <w:footnoteReference w:id="191"/>
      </w:r>
      <w:r>
        <w:rPr>
          <w:rFonts w:cs="David" w:hint="cs"/>
          <w:sz w:val="28"/>
          <w:szCs w:val="28"/>
          <w:rtl/>
        </w:rPr>
        <w:t xml:space="preserve"> </w:t>
      </w:r>
      <w:r>
        <w:rPr>
          <w:rFonts w:cs="David"/>
          <w:sz w:val="28"/>
          <w:szCs w:val="28"/>
          <w:rtl/>
        </w:rPr>
        <w:t>–</w:t>
      </w:r>
      <w:r>
        <w:rPr>
          <w:rFonts w:cs="David" w:hint="cs"/>
          <w:sz w:val="28"/>
          <w:szCs w:val="28"/>
          <w:rtl/>
        </w:rPr>
        <w:t xml:space="preserve"> באמצעי התקשורת המסורתיים, כאשר גורם מסוים מחזיק בזכות לשדר או ברישיון להוציא לאור עיתון, קהל הצופים או הקוראים ניצב בפני עובדה מוגמרת באשר לתכנים ואין לו יכולת להשפיע עליהם במישרין. בשוק תקשורת מצומצם כמו בישראל, הופך הציבור ל'קהל שבוי' של אותם אמצעי תקשורת מרכזיים. המרשתת אינה כופה את תכניה על המשתמשים, "אינה חודרת ישירות לסלון הבית בזמן הצפייה משפחתית" ואף יכולה להיות נתונה לסינון תכנים לא רצויים באמצעות תוכנות מתאימות. כלומר, </w:t>
      </w:r>
      <w:r w:rsidRPr="00161D59">
        <w:rPr>
          <w:rFonts w:cs="David" w:hint="cs"/>
          <w:b/>
          <w:bCs/>
          <w:sz w:val="28"/>
          <w:szCs w:val="28"/>
          <w:rtl/>
        </w:rPr>
        <w:t>הטיעון של 'קהל שבוי' הופך ונהיה פחות רלוונטי בחלוף השנים, ככל שהשימוש במרשתת עולה ושוק התקשורת הופך למבוזר יותר</w:t>
      </w:r>
      <w:r>
        <w:rPr>
          <w:rFonts w:cs="David" w:hint="cs"/>
          <w:sz w:val="28"/>
          <w:szCs w:val="28"/>
          <w:rtl/>
        </w:rPr>
        <w:t>. גם המבנה הבסיסי של המרשתת מצמצם את החשש למונופול וריכוז שליטה בידי גורם אחד.</w:t>
      </w:r>
    </w:p>
    <w:p w:rsidR="00C80269" w:rsidRDefault="00C80269" w:rsidP="00FE13A6">
      <w:pPr>
        <w:spacing w:line="360" w:lineRule="auto"/>
        <w:ind w:left="283"/>
        <w:jc w:val="both"/>
        <w:rPr>
          <w:rFonts w:cs="David"/>
          <w:sz w:val="28"/>
          <w:szCs w:val="28"/>
          <w:rtl/>
        </w:rPr>
      </w:pPr>
      <w:r>
        <w:rPr>
          <w:rFonts w:cs="David" w:hint="cs"/>
          <w:sz w:val="28"/>
          <w:szCs w:val="28"/>
          <w:rtl/>
        </w:rPr>
        <w:t xml:space="preserve"> </w:t>
      </w:r>
      <w:r>
        <w:rPr>
          <w:rFonts w:cs="David" w:hint="cs"/>
          <w:b/>
          <w:bCs/>
          <w:sz w:val="28"/>
          <w:szCs w:val="28"/>
          <w:rtl/>
        </w:rPr>
        <w:t>'האפ</w:t>
      </w:r>
      <w:r w:rsidR="00133EFB">
        <w:rPr>
          <w:rFonts w:cs="David" w:hint="cs"/>
          <w:b/>
          <w:bCs/>
          <w:sz w:val="28"/>
          <w:szCs w:val="28"/>
          <w:rtl/>
        </w:rPr>
        <w:t>ק</w:t>
      </w:r>
      <w:r>
        <w:rPr>
          <w:rFonts w:cs="David" w:hint="cs"/>
          <w:b/>
          <w:bCs/>
          <w:sz w:val="28"/>
          <w:szCs w:val="28"/>
          <w:rtl/>
        </w:rPr>
        <w:t>ט המצנן' ובלימת התפתחות הרשת</w:t>
      </w:r>
      <w:r>
        <w:rPr>
          <w:rStyle w:val="a5"/>
          <w:rFonts w:cs="David"/>
          <w:b/>
          <w:bCs/>
          <w:sz w:val="28"/>
          <w:szCs w:val="28"/>
          <w:rtl/>
        </w:rPr>
        <w:footnoteReference w:id="192"/>
      </w:r>
      <w:r>
        <w:rPr>
          <w:rFonts w:cs="David" w:hint="cs"/>
          <w:b/>
          <w:bCs/>
          <w:sz w:val="28"/>
          <w:szCs w:val="28"/>
          <w:rtl/>
        </w:rPr>
        <w:t xml:space="preserve"> - </w:t>
      </w:r>
      <w:r>
        <w:rPr>
          <w:rFonts w:cs="David" w:hint="cs"/>
          <w:sz w:val="28"/>
          <w:szCs w:val="28"/>
          <w:rtl/>
        </w:rPr>
        <w:t xml:space="preserve">חקיקה להסדרת המרשתת יוצרת חוסר ודאות הנובעת מחוסר אפשרויות האכיפה ומגלובליות הרשת. גופים </w:t>
      </w:r>
      <w:r w:rsidR="001D6DD7">
        <w:rPr>
          <w:rFonts w:cs="David" w:hint="cs"/>
          <w:sz w:val="28"/>
          <w:szCs w:val="28"/>
          <w:rtl/>
        </w:rPr>
        <w:t xml:space="preserve">או אנשים </w:t>
      </w:r>
      <w:r>
        <w:rPr>
          <w:rFonts w:cs="David" w:hint="cs"/>
          <w:sz w:val="28"/>
          <w:szCs w:val="28"/>
          <w:rtl/>
        </w:rPr>
        <w:t xml:space="preserve">שלא יהיו בטוחים אם מידע מסוים, יצירה מסוימת או פרסומים מסוימים הם מותרים או אסורים - עלולים להימנע משימוש ברשת. </w:t>
      </w:r>
      <w:r w:rsidRPr="009A2BC0">
        <w:rPr>
          <w:rFonts w:cs="David" w:hint="cs"/>
          <w:b/>
          <w:bCs/>
          <w:sz w:val="28"/>
          <w:szCs w:val="28"/>
          <w:rtl/>
        </w:rPr>
        <w:t xml:space="preserve">לנורמות חקיקה הקובעות הגבלות חזקות מדי עלול להיות </w:t>
      </w:r>
      <w:r>
        <w:rPr>
          <w:rFonts w:cs="David" w:hint="cs"/>
          <w:b/>
          <w:bCs/>
          <w:sz w:val="28"/>
          <w:szCs w:val="28"/>
          <w:rtl/>
        </w:rPr>
        <w:t>'</w:t>
      </w:r>
      <w:r w:rsidRPr="009A2BC0">
        <w:rPr>
          <w:rFonts w:cs="David" w:hint="cs"/>
          <w:b/>
          <w:bCs/>
          <w:sz w:val="28"/>
          <w:szCs w:val="28"/>
          <w:rtl/>
        </w:rPr>
        <w:t>אפקט מצנן' ולגרום בכך להרתעת יתר</w:t>
      </w:r>
      <w:r>
        <w:rPr>
          <w:rFonts w:cs="David" w:hint="cs"/>
          <w:sz w:val="28"/>
          <w:szCs w:val="28"/>
          <w:rtl/>
        </w:rPr>
        <w:t>. ה'אפקט המצנן' יכול להגביל את נגישותם של אמצעי ביטוי ויצירה למשתתפים מהציבור הרחב וכן להגביל את גישת הציבור למידע או ליצירות שמקורם במשתמשים כולם. התוצאה היא צינון של רעיונות, של יצירה ושל שיח מבוזר</w:t>
      </w:r>
      <w:r w:rsidRPr="0052195C">
        <w:rPr>
          <w:rFonts w:cs="David" w:hint="cs"/>
          <w:b/>
          <w:bCs/>
          <w:sz w:val="28"/>
          <w:szCs w:val="28"/>
          <w:rtl/>
        </w:rPr>
        <w:t xml:space="preserve">. </w:t>
      </w:r>
      <w:r w:rsidRPr="00474809">
        <w:rPr>
          <w:rFonts w:cs="David" w:hint="cs"/>
          <w:sz w:val="28"/>
          <w:szCs w:val="28"/>
          <w:rtl/>
        </w:rPr>
        <w:t xml:space="preserve">פעמים רבות גולש, שמעלה יצירה לרשת, </w:t>
      </w:r>
      <w:r w:rsidRPr="00474809">
        <w:rPr>
          <w:rFonts w:cs="David" w:hint="cs"/>
          <w:b/>
          <w:bCs/>
          <w:sz w:val="28"/>
          <w:szCs w:val="28"/>
          <w:rtl/>
        </w:rPr>
        <w:t>אינו סבור כי הוא מפר חוק</w:t>
      </w:r>
      <w:r w:rsidRPr="00474809">
        <w:rPr>
          <w:rFonts w:cs="David" w:hint="cs"/>
          <w:sz w:val="28"/>
          <w:szCs w:val="28"/>
          <w:rtl/>
        </w:rPr>
        <w:t xml:space="preserve"> ועל כן 'איום' חקיקתי בדמות חשיפת שמו של אדם, שטוענים נגדו כי ביצע עבירה או עוולה, למשל, בהפרת דיני קניין רוחני, </w:t>
      </w:r>
      <w:r w:rsidRPr="00BE0B95">
        <w:rPr>
          <w:rFonts w:cs="David" w:hint="cs"/>
          <w:b/>
          <w:bCs/>
          <w:sz w:val="28"/>
          <w:szCs w:val="28"/>
          <w:rtl/>
        </w:rPr>
        <w:t>תרוקן מכל תוכן</w:t>
      </w:r>
      <w:r w:rsidRPr="00474809">
        <w:rPr>
          <w:rFonts w:cs="David" w:hint="cs"/>
          <w:sz w:val="28"/>
          <w:szCs w:val="28"/>
          <w:rtl/>
        </w:rPr>
        <w:t xml:space="preserve"> את הזכות לפרטיות, לאנונימיות </w:t>
      </w:r>
      <w:r w:rsidRPr="001D6DD7">
        <w:rPr>
          <w:rFonts w:cs="David" w:hint="cs"/>
          <w:b/>
          <w:bCs/>
          <w:sz w:val="28"/>
          <w:szCs w:val="28"/>
          <w:rtl/>
        </w:rPr>
        <w:lastRenderedPageBreak/>
        <w:t>ולחופש ביטוי</w:t>
      </w:r>
      <w:r>
        <w:rPr>
          <w:rFonts w:cs="David" w:hint="cs"/>
          <w:sz w:val="28"/>
          <w:szCs w:val="28"/>
          <w:rtl/>
        </w:rPr>
        <w:t>. לכן, איסור כזה יפגע בזרימת המידע לרשת ויבריח משתמשים ואתרים מאותה מדינה למדינות שאינן אוסרות זאת.</w:t>
      </w:r>
    </w:p>
    <w:p w:rsidR="001D6DD7" w:rsidRPr="00B34A2D" w:rsidRDefault="008712C2" w:rsidP="00B517E0">
      <w:pPr>
        <w:spacing w:line="360" w:lineRule="auto"/>
        <w:ind w:left="283"/>
        <w:jc w:val="both"/>
        <w:rPr>
          <w:rFonts w:cs="David"/>
          <w:sz w:val="28"/>
          <w:szCs w:val="28"/>
          <w:rtl/>
        </w:rPr>
      </w:pPr>
      <w:r>
        <w:rPr>
          <w:rFonts w:cs="David" w:hint="cs"/>
          <w:sz w:val="28"/>
          <w:szCs w:val="28"/>
          <w:rtl/>
        </w:rPr>
        <w:t xml:space="preserve">ניתן להשליך מטענה זו לכל האמור על </w:t>
      </w:r>
      <w:r w:rsidR="001D6DD7" w:rsidRPr="00B34A2D">
        <w:rPr>
          <w:rFonts w:cs="David" w:hint="cs"/>
          <w:sz w:val="28"/>
          <w:szCs w:val="28"/>
          <w:rtl/>
        </w:rPr>
        <w:t xml:space="preserve">השיח הגזעני ברשת. </w:t>
      </w:r>
      <w:r w:rsidR="00263D95" w:rsidRPr="00B34A2D">
        <w:rPr>
          <w:rFonts w:cs="David" w:hint="cs"/>
          <w:sz w:val="28"/>
          <w:szCs w:val="28"/>
          <w:rtl/>
        </w:rPr>
        <w:t xml:space="preserve">בין העוסקים </w:t>
      </w:r>
      <w:r w:rsidR="00CE7E60">
        <w:rPr>
          <w:rFonts w:cs="David" w:hint="cs"/>
          <w:sz w:val="28"/>
          <w:szCs w:val="28"/>
          <w:rtl/>
        </w:rPr>
        <w:t>באכיפה ב</w:t>
      </w:r>
      <w:r w:rsidR="00263D95" w:rsidRPr="00B34A2D">
        <w:rPr>
          <w:rFonts w:cs="David" w:hint="cs"/>
          <w:sz w:val="28"/>
          <w:szCs w:val="28"/>
          <w:rtl/>
        </w:rPr>
        <w:t>רשת,</w:t>
      </w:r>
      <w:r w:rsidR="001D6DD7" w:rsidRPr="00B34A2D">
        <w:rPr>
          <w:rFonts w:cs="David" w:hint="cs"/>
          <w:sz w:val="28"/>
          <w:szCs w:val="28"/>
          <w:rtl/>
        </w:rPr>
        <w:t xml:space="preserve"> </w:t>
      </w:r>
      <w:r>
        <w:rPr>
          <w:rFonts w:cs="David" w:hint="cs"/>
          <w:sz w:val="28"/>
          <w:szCs w:val="28"/>
          <w:rtl/>
        </w:rPr>
        <w:t xml:space="preserve">יש האומרים </w:t>
      </w:r>
      <w:r w:rsidR="00263D95" w:rsidRPr="00B34A2D">
        <w:rPr>
          <w:rFonts w:cs="David" w:hint="cs"/>
          <w:sz w:val="28"/>
          <w:szCs w:val="28"/>
          <w:rtl/>
        </w:rPr>
        <w:t xml:space="preserve">כי </w:t>
      </w:r>
      <w:r w:rsidR="00263D95" w:rsidRPr="00B34A2D">
        <w:rPr>
          <w:rFonts w:cs="David" w:hint="cs"/>
          <w:b/>
          <w:bCs/>
          <w:sz w:val="28"/>
          <w:szCs w:val="28"/>
          <w:rtl/>
        </w:rPr>
        <w:t>רבים מהמשתמשים</w:t>
      </w:r>
      <w:r w:rsidR="001D6DD7" w:rsidRPr="00B34A2D">
        <w:rPr>
          <w:rFonts w:cs="David" w:hint="cs"/>
          <w:b/>
          <w:bCs/>
          <w:sz w:val="28"/>
          <w:szCs w:val="28"/>
          <w:rtl/>
        </w:rPr>
        <w:t xml:space="preserve"> </w:t>
      </w:r>
      <w:r w:rsidR="00263D95" w:rsidRPr="00B34A2D">
        <w:rPr>
          <w:rFonts w:cs="David" w:hint="cs"/>
          <w:b/>
          <w:bCs/>
          <w:sz w:val="28"/>
          <w:szCs w:val="28"/>
          <w:rtl/>
        </w:rPr>
        <w:t>ה</w:t>
      </w:r>
      <w:r w:rsidR="001D6DD7" w:rsidRPr="00B34A2D">
        <w:rPr>
          <w:rFonts w:cs="David" w:hint="cs"/>
          <w:b/>
          <w:bCs/>
          <w:sz w:val="28"/>
          <w:szCs w:val="28"/>
          <w:rtl/>
        </w:rPr>
        <w:t xml:space="preserve">מתבטאים בגסות ובשיח מתלהם כנגד ערבים, אינם </w:t>
      </w:r>
      <w:r w:rsidR="00133EFB" w:rsidRPr="00B34A2D">
        <w:rPr>
          <w:rFonts w:cs="David" w:hint="cs"/>
          <w:b/>
          <w:bCs/>
          <w:sz w:val="28"/>
          <w:szCs w:val="28"/>
          <w:rtl/>
        </w:rPr>
        <w:t>סבורים כי יש בכך הפרה של החוק</w:t>
      </w:r>
      <w:r w:rsidR="00133EFB" w:rsidRPr="00B34A2D">
        <w:rPr>
          <w:rFonts w:cs="David" w:hint="cs"/>
          <w:sz w:val="28"/>
          <w:szCs w:val="28"/>
          <w:rtl/>
        </w:rPr>
        <w:t>.</w:t>
      </w:r>
      <w:r w:rsidR="00263D95" w:rsidRPr="00B34A2D">
        <w:rPr>
          <w:rStyle w:val="a5"/>
          <w:rFonts w:cs="David"/>
          <w:sz w:val="28"/>
          <w:szCs w:val="28"/>
          <w:rtl/>
        </w:rPr>
        <w:footnoteReference w:id="193"/>
      </w:r>
      <w:r w:rsidR="00133EFB" w:rsidRPr="00B34A2D">
        <w:rPr>
          <w:rFonts w:cs="David" w:hint="cs"/>
          <w:sz w:val="28"/>
          <w:szCs w:val="28"/>
          <w:rtl/>
        </w:rPr>
        <w:t xml:space="preserve"> </w:t>
      </w:r>
      <w:r w:rsidR="0000514C">
        <w:rPr>
          <w:rFonts w:cs="David" w:hint="cs"/>
          <w:sz w:val="28"/>
          <w:szCs w:val="28"/>
          <w:rtl/>
        </w:rPr>
        <w:t xml:space="preserve">לכן, </w:t>
      </w:r>
      <w:r w:rsidR="00466D7A" w:rsidRPr="00B34A2D">
        <w:rPr>
          <w:rFonts w:cs="David" w:hint="cs"/>
          <w:sz w:val="28"/>
          <w:szCs w:val="28"/>
          <w:rtl/>
        </w:rPr>
        <w:t xml:space="preserve">החשש כי </w:t>
      </w:r>
      <w:r w:rsidR="00263D95" w:rsidRPr="00B34A2D">
        <w:rPr>
          <w:rFonts w:cs="David" w:hint="cs"/>
          <w:sz w:val="28"/>
          <w:szCs w:val="28"/>
          <w:rtl/>
        </w:rPr>
        <w:t xml:space="preserve"> 'איום חקיקתי' יפגע </w:t>
      </w:r>
      <w:r w:rsidR="00466D7A" w:rsidRPr="00B34A2D">
        <w:rPr>
          <w:rFonts w:cs="David" w:hint="cs"/>
          <w:sz w:val="28"/>
          <w:szCs w:val="28"/>
          <w:rtl/>
        </w:rPr>
        <w:t xml:space="preserve">בפועל </w:t>
      </w:r>
      <w:r w:rsidR="00263D95" w:rsidRPr="00B34A2D">
        <w:rPr>
          <w:rFonts w:cs="David" w:hint="cs"/>
          <w:sz w:val="28"/>
          <w:szCs w:val="28"/>
          <w:rtl/>
        </w:rPr>
        <w:t>באופן לא מידתי</w:t>
      </w:r>
      <w:r w:rsidR="00133EFB" w:rsidRPr="00B34A2D">
        <w:rPr>
          <w:rFonts w:cs="David" w:hint="cs"/>
          <w:sz w:val="28"/>
          <w:szCs w:val="28"/>
          <w:rtl/>
        </w:rPr>
        <w:t xml:space="preserve"> בחופש הביטוי של כל </w:t>
      </w:r>
      <w:r w:rsidR="00B34A2D">
        <w:rPr>
          <w:rFonts w:cs="David" w:hint="cs"/>
          <w:sz w:val="28"/>
          <w:szCs w:val="28"/>
          <w:rtl/>
        </w:rPr>
        <w:t>אלו,</w:t>
      </w:r>
      <w:r w:rsidR="00133EFB" w:rsidRPr="00B34A2D">
        <w:rPr>
          <w:rFonts w:cs="David" w:hint="cs"/>
          <w:sz w:val="28"/>
          <w:szCs w:val="28"/>
          <w:rtl/>
        </w:rPr>
        <w:t xml:space="preserve"> </w:t>
      </w:r>
      <w:r>
        <w:rPr>
          <w:rFonts w:cs="David" w:hint="cs"/>
          <w:sz w:val="28"/>
          <w:szCs w:val="28"/>
          <w:rtl/>
        </w:rPr>
        <w:t xml:space="preserve">תקף גם </w:t>
      </w:r>
      <w:r w:rsidR="0000514C">
        <w:rPr>
          <w:rFonts w:cs="David" w:hint="cs"/>
          <w:sz w:val="28"/>
          <w:szCs w:val="28"/>
          <w:rtl/>
        </w:rPr>
        <w:t>כאן.</w:t>
      </w:r>
    </w:p>
    <w:p w:rsidR="00C80269" w:rsidRPr="00307322" w:rsidRDefault="00C80269" w:rsidP="00C80269">
      <w:pPr>
        <w:spacing w:line="360" w:lineRule="auto"/>
        <w:ind w:left="283"/>
        <w:jc w:val="both"/>
        <w:rPr>
          <w:rFonts w:cs="David"/>
          <w:sz w:val="28"/>
          <w:szCs w:val="28"/>
          <w:rtl/>
        </w:rPr>
      </w:pPr>
      <w:r w:rsidRPr="009A17F4">
        <w:rPr>
          <w:rFonts w:cs="David" w:hint="cs"/>
          <w:b/>
          <w:bCs/>
          <w:sz w:val="28"/>
          <w:szCs w:val="28"/>
          <w:rtl/>
        </w:rPr>
        <w:t>הגבלות על פיתוח טכנולוגי</w:t>
      </w:r>
      <w:r>
        <w:rPr>
          <w:rStyle w:val="a5"/>
          <w:rFonts w:cs="David"/>
          <w:sz w:val="28"/>
          <w:szCs w:val="28"/>
          <w:rtl/>
        </w:rPr>
        <w:footnoteReference w:id="194"/>
      </w:r>
      <w:r>
        <w:rPr>
          <w:rFonts w:cs="David" w:hint="cs"/>
          <w:sz w:val="28"/>
          <w:szCs w:val="28"/>
          <w:rtl/>
        </w:rPr>
        <w:t xml:space="preserve"> </w:t>
      </w:r>
      <w:r w:rsidRPr="00BE0B95">
        <w:rPr>
          <w:rFonts w:cs="David" w:hint="cs"/>
          <w:b/>
          <w:bCs/>
          <w:sz w:val="28"/>
          <w:szCs w:val="28"/>
          <w:rtl/>
        </w:rPr>
        <w:t>-</w:t>
      </w:r>
      <w:r>
        <w:rPr>
          <w:rFonts w:cs="David" w:hint="cs"/>
          <w:sz w:val="28"/>
          <w:szCs w:val="28"/>
          <w:rtl/>
        </w:rPr>
        <w:t xml:space="preserve"> פיתוחים טכנולוגיים מאפשרים הן שימושים מפרים במרשתת, כגון הפרה של זכויות קניין רוחני והן שימושים מותרים. הטלת הגבלות חקיקתיות על פיתוח טכנולוגיות מסוימות, שניתן לעשות בהן שימוש מותר אך גם אסור, תוביל להאטה בפיתוחים טכנולוגיים. </w:t>
      </w:r>
    </w:p>
    <w:p w:rsidR="00C80269" w:rsidRDefault="00C80269" w:rsidP="00AC315C">
      <w:pPr>
        <w:spacing w:line="360" w:lineRule="auto"/>
        <w:jc w:val="both"/>
        <w:rPr>
          <w:rFonts w:cs="David"/>
          <w:sz w:val="28"/>
          <w:szCs w:val="28"/>
          <w:rtl/>
        </w:rPr>
      </w:pPr>
      <w:r>
        <w:rPr>
          <w:rFonts w:cs="David" w:hint="cs"/>
          <w:sz w:val="28"/>
          <w:szCs w:val="28"/>
          <w:rtl/>
        </w:rPr>
        <w:t xml:space="preserve">אגמון-גונן מסכמת את עמדתה כי לאור החשיבות שהיא רואה בעיקרון שלטון החוק ובהסדרים המדינתיים בנושאים מסוימים שאינם נוגעים לרשת, </w:t>
      </w:r>
      <w:r w:rsidRPr="00355148">
        <w:rPr>
          <w:rFonts w:cs="David" w:hint="cs"/>
          <w:b/>
          <w:bCs/>
          <w:sz w:val="28"/>
          <w:szCs w:val="28"/>
          <w:rtl/>
        </w:rPr>
        <w:t>אין להסדיר את הפעילויות ברשת בחקיקה מדינתית.</w:t>
      </w:r>
      <w:r>
        <w:rPr>
          <w:rFonts w:cs="David" w:hint="cs"/>
          <w:sz w:val="28"/>
          <w:szCs w:val="28"/>
          <w:rtl/>
        </w:rPr>
        <w:t xml:space="preserve"> לדעתה, ככל שחקיקה פנימית החלה על פעילויות מחוץ לרשת חלה גם על פעילויות בתוך הרשת, </w:t>
      </w:r>
      <w:r w:rsidRPr="0091736B">
        <w:rPr>
          <w:rFonts w:cs="David" w:hint="cs"/>
          <w:b/>
          <w:bCs/>
          <w:sz w:val="28"/>
          <w:szCs w:val="28"/>
          <w:rtl/>
        </w:rPr>
        <w:t>יש להבהיר בחקיקה באילו תנאים ניתן יהיה לנהל הליכים משפטיים בישראל אם מדובר בעבירה שבוצעה ברשת</w:t>
      </w:r>
      <w:r>
        <w:rPr>
          <w:rFonts w:cs="David" w:hint="cs"/>
          <w:sz w:val="28"/>
          <w:szCs w:val="28"/>
          <w:rtl/>
        </w:rPr>
        <w:t>.</w:t>
      </w:r>
      <w:r>
        <w:rPr>
          <w:rStyle w:val="a5"/>
          <w:rFonts w:cs="David"/>
          <w:sz w:val="28"/>
          <w:szCs w:val="28"/>
          <w:rtl/>
        </w:rPr>
        <w:footnoteReference w:id="195"/>
      </w:r>
      <w:r>
        <w:rPr>
          <w:rFonts w:cs="David" w:hint="cs"/>
          <w:sz w:val="28"/>
          <w:szCs w:val="28"/>
          <w:rtl/>
        </w:rPr>
        <w:t xml:space="preserve"> </w:t>
      </w:r>
      <w:r w:rsidRPr="00606BE1">
        <w:rPr>
          <w:rFonts w:cs="David" w:hint="cs"/>
          <w:sz w:val="28"/>
          <w:szCs w:val="28"/>
          <w:rtl/>
        </w:rPr>
        <w:t xml:space="preserve">היא מוסיפה ומציינת </w:t>
      </w:r>
      <w:r>
        <w:rPr>
          <w:rFonts w:cs="David" w:hint="cs"/>
          <w:sz w:val="28"/>
          <w:szCs w:val="28"/>
          <w:rtl/>
        </w:rPr>
        <w:t>לסיכום כי :</w:t>
      </w:r>
      <w:r>
        <w:rPr>
          <w:rStyle w:val="a5"/>
          <w:rFonts w:cs="David"/>
          <w:sz w:val="28"/>
          <w:szCs w:val="28"/>
          <w:rtl/>
        </w:rPr>
        <w:footnoteReference w:id="196"/>
      </w:r>
    </w:p>
    <w:p w:rsidR="00C80269" w:rsidRPr="00606BE1" w:rsidRDefault="00C80269" w:rsidP="00C80269">
      <w:pPr>
        <w:spacing w:line="360" w:lineRule="auto"/>
        <w:ind w:left="720"/>
        <w:jc w:val="both"/>
        <w:rPr>
          <w:rFonts w:cs="David"/>
          <w:sz w:val="24"/>
          <w:szCs w:val="24"/>
          <w:rtl/>
        </w:rPr>
      </w:pPr>
      <w:r w:rsidRPr="00606BE1">
        <w:rPr>
          <w:rFonts w:cs="David" w:hint="cs"/>
          <w:sz w:val="24"/>
          <w:szCs w:val="24"/>
          <w:rtl/>
        </w:rPr>
        <w:t xml:space="preserve">[...] אם קיים ערוץ תקשורת וביטוי שלו יתרונות עצומים </w:t>
      </w:r>
      <w:r>
        <w:rPr>
          <w:rFonts w:cs="David" w:hint="cs"/>
          <w:sz w:val="24"/>
          <w:szCs w:val="24"/>
          <w:rtl/>
        </w:rPr>
        <w:t>-</w:t>
      </w:r>
      <w:r w:rsidRPr="00606BE1">
        <w:rPr>
          <w:rFonts w:cs="David" w:hint="cs"/>
          <w:sz w:val="24"/>
          <w:szCs w:val="24"/>
          <w:rtl/>
        </w:rPr>
        <w:t xml:space="preserve"> היש להתערב בהתנהלותו, לאור חסרונות מסוימים הנלווים לערוץ זה? אני סבורה כי </w:t>
      </w:r>
      <w:r w:rsidRPr="00DD6359">
        <w:rPr>
          <w:rFonts w:cs="David" w:hint="cs"/>
          <w:b/>
          <w:bCs/>
          <w:sz w:val="24"/>
          <w:szCs w:val="24"/>
          <w:rtl/>
        </w:rPr>
        <w:t>כעניין של מדיניות יש להמעיט בהתערבות ככל האפשר, בעיקר מפני שהתערבות כזו אינה יעילה במרבית המקרים</w:t>
      </w:r>
      <w:r w:rsidRPr="00606BE1">
        <w:rPr>
          <w:rFonts w:cs="David" w:hint="cs"/>
          <w:sz w:val="24"/>
          <w:szCs w:val="24"/>
          <w:rtl/>
        </w:rPr>
        <w:t xml:space="preserve"> [...] האם יהפוך הא</w:t>
      </w:r>
      <w:r>
        <w:rPr>
          <w:rFonts w:cs="David" w:hint="cs"/>
          <w:sz w:val="24"/>
          <w:szCs w:val="24"/>
          <w:rtl/>
        </w:rPr>
        <w:t>י</w:t>
      </w:r>
      <w:r w:rsidRPr="00606BE1">
        <w:rPr>
          <w:rFonts w:cs="David" w:hint="cs"/>
          <w:sz w:val="24"/>
          <w:szCs w:val="24"/>
          <w:rtl/>
        </w:rPr>
        <w:t xml:space="preserve">נטרנט ל"עיר מקלט"? אני סבורה שלא. מרבית הפעילות באינטרנט היא פעילות לגיטימית. הרשת פתחה עולמות ואופקים למיליארדים של אנשים. אמנם קיימת ברשת פעילות פלילית ומתבצעות בה עוולות. </w:t>
      </w:r>
      <w:r w:rsidRPr="00DD6359">
        <w:rPr>
          <w:rFonts w:cs="David" w:hint="cs"/>
          <w:b/>
          <w:bCs/>
          <w:sz w:val="24"/>
          <w:szCs w:val="24"/>
          <w:rtl/>
        </w:rPr>
        <w:t>אשר לפעילות פלילית, יש לאפשר לרשויות החוק לחקור ולהגיע לעבריינים, בשים לב לקשיים</w:t>
      </w:r>
      <w:r w:rsidRPr="00606BE1">
        <w:rPr>
          <w:rFonts w:cs="David" w:hint="cs"/>
          <w:sz w:val="24"/>
          <w:szCs w:val="24"/>
          <w:rtl/>
        </w:rPr>
        <w:t xml:space="preserve"> [...] הצעתי היא </w:t>
      </w:r>
      <w:r w:rsidRPr="00DD6359">
        <w:rPr>
          <w:rFonts w:cs="David" w:hint="cs"/>
          <w:b/>
          <w:bCs/>
          <w:sz w:val="24"/>
          <w:szCs w:val="24"/>
          <w:rtl/>
        </w:rPr>
        <w:t>לאפשר למחוקק התערבות מזערית ביותר בפעילות באינטרנט</w:t>
      </w:r>
      <w:r w:rsidRPr="00606BE1">
        <w:rPr>
          <w:rFonts w:cs="David" w:hint="cs"/>
          <w:sz w:val="24"/>
          <w:szCs w:val="24"/>
          <w:rtl/>
        </w:rPr>
        <w:t xml:space="preserve"> [...] </w:t>
      </w:r>
      <w:r>
        <w:rPr>
          <w:rFonts w:cs="David" w:hint="cs"/>
          <w:sz w:val="24"/>
          <w:szCs w:val="24"/>
          <w:rtl/>
        </w:rPr>
        <w:t xml:space="preserve">(ההדגשות של הח"מ </w:t>
      </w:r>
      <w:r>
        <w:rPr>
          <w:rFonts w:cs="David"/>
          <w:sz w:val="24"/>
          <w:szCs w:val="24"/>
          <w:rtl/>
        </w:rPr>
        <w:t>–</w:t>
      </w:r>
      <w:r>
        <w:rPr>
          <w:rFonts w:cs="David" w:hint="cs"/>
          <w:sz w:val="24"/>
          <w:szCs w:val="24"/>
          <w:rtl/>
        </w:rPr>
        <w:t xml:space="preserve"> ר"מ)</w:t>
      </w:r>
    </w:p>
    <w:p w:rsidR="00C80269" w:rsidRDefault="00C80269" w:rsidP="001060ED">
      <w:pPr>
        <w:spacing w:line="360" w:lineRule="auto"/>
        <w:jc w:val="both"/>
        <w:rPr>
          <w:rFonts w:cs="David"/>
          <w:sz w:val="28"/>
          <w:szCs w:val="28"/>
          <w:rtl/>
        </w:rPr>
      </w:pPr>
      <w:r>
        <w:rPr>
          <w:rFonts w:cs="David" w:hint="cs"/>
          <w:sz w:val="28"/>
          <w:szCs w:val="28"/>
          <w:rtl/>
        </w:rPr>
        <w:t xml:space="preserve">עמדה שונה במקצת ניתן למצוא בספרו של שגב אשר טוען כי לדידו, </w:t>
      </w:r>
      <w:r w:rsidRPr="00DD2F15">
        <w:rPr>
          <w:rFonts w:cs="David" w:hint="cs"/>
          <w:b/>
          <w:bCs/>
          <w:sz w:val="28"/>
          <w:szCs w:val="28"/>
          <w:rtl/>
        </w:rPr>
        <w:t>עמדה גורפת שלפיה אין טעם בקביעה של כללים משפטיים המטילים מגבלות על ביטויים בעידן המרשתת, אינה משכנעת.</w:t>
      </w:r>
      <w:r w:rsidRPr="00DD2F15">
        <w:rPr>
          <w:rFonts w:cs="David" w:hint="cs"/>
          <w:sz w:val="28"/>
          <w:szCs w:val="28"/>
          <w:rtl/>
        </w:rPr>
        <w:t xml:space="preserve"> </w:t>
      </w:r>
      <w:r>
        <w:rPr>
          <w:rFonts w:cs="David" w:hint="cs"/>
          <w:sz w:val="28"/>
          <w:szCs w:val="28"/>
          <w:rtl/>
        </w:rPr>
        <w:t xml:space="preserve">ההצדקה, הוא טוען, לכל הגבלה משפטית על ביטויים צריכה להיבחן לגופה ואין בסיס לעמדה גורפת שלפיה אין הצדקה למגבלות </w:t>
      </w:r>
      <w:r>
        <w:rPr>
          <w:rFonts w:cs="David" w:hint="cs"/>
          <w:sz w:val="28"/>
          <w:szCs w:val="28"/>
          <w:rtl/>
        </w:rPr>
        <w:lastRenderedPageBreak/>
        <w:t>משפטיות</w:t>
      </w:r>
      <w:r w:rsidR="000C3D00">
        <w:rPr>
          <w:rFonts w:cs="David" w:hint="cs"/>
          <w:sz w:val="28"/>
          <w:szCs w:val="28"/>
          <w:rtl/>
        </w:rPr>
        <w:t>,</w:t>
      </w:r>
      <w:r>
        <w:rPr>
          <w:rFonts w:cs="David" w:hint="cs"/>
          <w:sz w:val="28"/>
          <w:szCs w:val="28"/>
          <w:rtl/>
        </w:rPr>
        <w:t xml:space="preserve"> אלא רק לעיתים נדירות, בשל הקושי באכיפתן</w:t>
      </w:r>
      <w:r w:rsidRPr="00AC315C">
        <w:rPr>
          <w:rFonts w:cs="David" w:hint="cs"/>
          <w:sz w:val="28"/>
          <w:szCs w:val="28"/>
          <w:rtl/>
        </w:rPr>
        <w:t>.</w:t>
      </w:r>
      <w:r w:rsidRPr="00AC315C">
        <w:rPr>
          <w:rStyle w:val="a5"/>
          <w:rFonts w:cs="David"/>
          <w:sz w:val="28"/>
          <w:szCs w:val="28"/>
          <w:rtl/>
        </w:rPr>
        <w:footnoteReference w:id="197"/>
      </w:r>
      <w:r w:rsidR="00AC315C">
        <w:rPr>
          <w:rFonts w:cs="David" w:hint="cs"/>
          <w:sz w:val="28"/>
          <w:szCs w:val="28"/>
          <w:rtl/>
        </w:rPr>
        <w:t xml:space="preserve"> </w:t>
      </w:r>
      <w:r w:rsidR="00AB5A31" w:rsidRPr="00AC315C">
        <w:rPr>
          <w:rFonts w:cs="David" w:hint="cs"/>
          <w:sz w:val="28"/>
          <w:szCs w:val="28"/>
          <w:rtl/>
        </w:rPr>
        <w:t>טענה זו תקפה גם לביטויים הנחשדים כגזעניים ומסיתים</w:t>
      </w:r>
      <w:r w:rsidR="000C3D00" w:rsidRPr="00AC315C">
        <w:rPr>
          <w:rFonts w:cs="David" w:hint="cs"/>
          <w:sz w:val="28"/>
          <w:szCs w:val="28"/>
          <w:rtl/>
        </w:rPr>
        <w:t>.</w:t>
      </w:r>
    </w:p>
    <w:p w:rsidR="00C80269" w:rsidRPr="00630436" w:rsidRDefault="00C80269" w:rsidP="00C80269">
      <w:pPr>
        <w:spacing w:line="360" w:lineRule="auto"/>
        <w:jc w:val="both"/>
        <w:rPr>
          <w:rFonts w:cs="David"/>
          <w:b/>
          <w:bCs/>
          <w:sz w:val="28"/>
          <w:szCs w:val="28"/>
          <w:rtl/>
        </w:rPr>
      </w:pPr>
      <w:r>
        <w:rPr>
          <w:rFonts w:cs="David" w:hint="cs"/>
          <w:sz w:val="28"/>
          <w:szCs w:val="28"/>
          <w:rtl/>
        </w:rPr>
        <w:t xml:space="preserve">לדעתו, </w:t>
      </w:r>
      <w:r w:rsidRPr="00630436">
        <w:rPr>
          <w:rFonts w:cs="David" w:hint="cs"/>
          <w:b/>
          <w:bCs/>
          <w:sz w:val="28"/>
          <w:szCs w:val="28"/>
          <w:rtl/>
        </w:rPr>
        <w:t>אף כאשר יעילות האכיפה מוגבלת, יש לרוב משמעות ולעיתים אף רבה, להצלחה חלקית</w:t>
      </w:r>
      <w:r>
        <w:rPr>
          <w:rFonts w:cs="David" w:hint="cs"/>
          <w:sz w:val="28"/>
          <w:szCs w:val="28"/>
          <w:rtl/>
        </w:rPr>
        <w:t xml:space="preserve">. לכן, הוא אינו מקבל את השיקול של 'הכל או לא כלום', אלא טוען כי השיקול הוא בדרך כלל </w:t>
      </w:r>
      <w:r w:rsidRPr="000C3D00">
        <w:rPr>
          <w:rFonts w:cs="David" w:hint="cs"/>
          <w:b/>
          <w:bCs/>
          <w:sz w:val="28"/>
          <w:szCs w:val="28"/>
          <w:rtl/>
        </w:rPr>
        <w:t>עניין של מידה</w:t>
      </w:r>
      <w:r>
        <w:rPr>
          <w:rFonts w:cs="David" w:hint="cs"/>
          <w:sz w:val="28"/>
          <w:szCs w:val="28"/>
          <w:rtl/>
        </w:rPr>
        <w:t>: אפשרות האכיפה של נורמות משפטיות ובכלל זה גם נורמות המסדירות את תחום הביטויים בעידן המרשתת, היא כמעט תמיד שאלה של מידה</w:t>
      </w:r>
      <w:r w:rsidRPr="00630436">
        <w:rPr>
          <w:rFonts w:cs="David" w:hint="cs"/>
          <w:b/>
          <w:bCs/>
          <w:sz w:val="28"/>
          <w:szCs w:val="28"/>
          <w:rtl/>
        </w:rPr>
        <w:t>. אמנם יש קושי רב יותר באכיפה בתחום זה, אך אין המדובר על חוסר יכולת מוחלטת.</w:t>
      </w:r>
      <w:r w:rsidRPr="004D339E">
        <w:rPr>
          <w:rStyle w:val="a5"/>
          <w:rFonts w:cs="David"/>
          <w:sz w:val="28"/>
          <w:szCs w:val="28"/>
          <w:rtl/>
        </w:rPr>
        <w:footnoteReference w:id="198"/>
      </w:r>
    </w:p>
    <w:p w:rsidR="00C80269" w:rsidRPr="0085198C" w:rsidRDefault="00C80269" w:rsidP="00C80269">
      <w:pPr>
        <w:spacing w:line="360" w:lineRule="auto"/>
        <w:ind w:left="720"/>
        <w:jc w:val="both"/>
        <w:rPr>
          <w:rFonts w:cs="David"/>
          <w:sz w:val="24"/>
          <w:szCs w:val="24"/>
          <w:rtl/>
        </w:rPr>
      </w:pPr>
      <w:r w:rsidRPr="0085198C">
        <w:rPr>
          <w:rFonts w:cs="David" w:hint="cs"/>
          <w:sz w:val="24"/>
          <w:szCs w:val="24"/>
          <w:rtl/>
        </w:rPr>
        <w:t>בדרך כלל היעדר האפשרות, הקושי או המחיר של אכיפה מושלמת אינו צריך בהכרח להוליך למסקנה שיש לוותר כליל על נ</w:t>
      </w:r>
      <w:r>
        <w:rPr>
          <w:rFonts w:cs="David" w:hint="cs"/>
          <w:sz w:val="24"/>
          <w:szCs w:val="24"/>
          <w:rtl/>
        </w:rPr>
        <w:t>י</w:t>
      </w:r>
      <w:r w:rsidRPr="0085198C">
        <w:rPr>
          <w:rFonts w:cs="David" w:hint="cs"/>
          <w:sz w:val="24"/>
          <w:szCs w:val="24"/>
          <w:rtl/>
        </w:rPr>
        <w:t>סיון האכיפה</w:t>
      </w:r>
      <w:r w:rsidR="00922685">
        <w:rPr>
          <w:rFonts w:cs="David" w:hint="cs"/>
          <w:sz w:val="24"/>
          <w:szCs w:val="24"/>
          <w:rtl/>
        </w:rPr>
        <w:t>.</w:t>
      </w:r>
    </w:p>
    <w:p w:rsidR="00C80269" w:rsidRDefault="00C80269" w:rsidP="00C80269">
      <w:pPr>
        <w:spacing w:line="360" w:lineRule="auto"/>
        <w:jc w:val="both"/>
        <w:rPr>
          <w:rFonts w:cs="David"/>
          <w:b/>
          <w:bCs/>
          <w:sz w:val="28"/>
          <w:szCs w:val="28"/>
          <w:rtl/>
        </w:rPr>
      </w:pPr>
      <w:r>
        <w:rPr>
          <w:rFonts w:cs="David" w:hint="cs"/>
          <w:sz w:val="28"/>
          <w:szCs w:val="28"/>
          <w:rtl/>
        </w:rPr>
        <w:t>עוד טוען שגב, כי לעניין יכולת האכיפה אמנם יש למרשתת אפיונים ייחודיים - מספר עצום של אתרים שרק הולכים וגדלים (בשל עלות עסקה נמוכות, כפי שהוצג לעיל); האנונימיות; האופי חוצה הגבולות של האתרים - אך יש להעריכם בזהירות</w:t>
      </w:r>
      <w:r w:rsidRPr="00922685">
        <w:rPr>
          <w:rFonts w:cs="David" w:hint="cs"/>
          <w:b/>
          <w:bCs/>
          <w:sz w:val="28"/>
          <w:szCs w:val="28"/>
          <w:rtl/>
        </w:rPr>
        <w:t>. הם חשובים פחות ממה שעשוי להיראות במבט ראשון</w:t>
      </w:r>
      <w:r>
        <w:rPr>
          <w:rFonts w:cs="David" w:hint="cs"/>
          <w:sz w:val="28"/>
          <w:szCs w:val="28"/>
          <w:rtl/>
        </w:rPr>
        <w:t xml:space="preserve">, בדגש על המאפיינים שנוגעים לאכיפה של נורמות במסגרת המרשתת, שכן </w:t>
      </w:r>
      <w:r w:rsidRPr="006F1AE1">
        <w:rPr>
          <w:rFonts w:cs="David" w:hint="cs"/>
          <w:b/>
          <w:bCs/>
          <w:sz w:val="28"/>
          <w:szCs w:val="28"/>
          <w:rtl/>
        </w:rPr>
        <w:t xml:space="preserve">הם מתקיימים במידה שונה באתרים שונים. </w:t>
      </w:r>
    </w:p>
    <w:p w:rsidR="006459C3" w:rsidRDefault="00C80269" w:rsidP="00F869B6">
      <w:pPr>
        <w:spacing w:line="360" w:lineRule="auto"/>
        <w:jc w:val="both"/>
        <w:rPr>
          <w:rFonts w:cs="David"/>
          <w:sz w:val="28"/>
          <w:szCs w:val="28"/>
          <w:rtl/>
        </w:rPr>
      </w:pPr>
      <w:r>
        <w:rPr>
          <w:rFonts w:cs="David" w:hint="cs"/>
          <w:sz w:val="28"/>
          <w:szCs w:val="28"/>
          <w:rtl/>
        </w:rPr>
        <w:t>בהקשר של האכיפה, אין דומים מאפייני 'אתרים קטנים', למאפיינים של 'אתרים גדולים'. בעוד שבראשונים, המאפיינים האמורים לעיל מתקיימים במידה רבה, שכן מדובר במספר עצום של אתרים, אך עם מספר צופים קטן יחסית, אזי ב</w:t>
      </w:r>
      <w:r w:rsidR="000C3D00">
        <w:rPr>
          <w:rFonts w:cs="David" w:hint="cs"/>
          <w:sz w:val="28"/>
          <w:szCs w:val="28"/>
          <w:rtl/>
        </w:rPr>
        <w:t>'אתרים הגדולים'</w:t>
      </w:r>
      <w:r>
        <w:rPr>
          <w:rFonts w:cs="David" w:hint="cs"/>
          <w:sz w:val="28"/>
          <w:szCs w:val="28"/>
          <w:rtl/>
        </w:rPr>
        <w:t>, המושכים גולשים רבים, אך מספרם מצומצם, המאפיינים האמורים לרוב אינם מתקיימים. אלו הגדולים, הוא מוסיף,</w:t>
      </w:r>
      <w:r>
        <w:rPr>
          <w:rStyle w:val="a5"/>
          <w:rFonts w:cs="David"/>
          <w:sz w:val="28"/>
          <w:szCs w:val="28"/>
          <w:rtl/>
        </w:rPr>
        <w:footnoteReference w:id="199"/>
      </w:r>
      <w:r>
        <w:rPr>
          <w:rFonts w:cs="David" w:hint="cs"/>
          <w:sz w:val="28"/>
          <w:szCs w:val="28"/>
          <w:rtl/>
        </w:rPr>
        <w:t xml:space="preserve"> </w:t>
      </w:r>
      <w:r w:rsidRPr="00282AA0">
        <w:rPr>
          <w:rFonts w:cs="David" w:hint="cs"/>
          <w:b/>
          <w:bCs/>
          <w:sz w:val="28"/>
          <w:szCs w:val="28"/>
          <w:rtl/>
        </w:rPr>
        <w:t>מופעלים כמעט תמיד על ידי גופים מסחריים גדולים יחסית</w:t>
      </w:r>
      <w:r>
        <w:rPr>
          <w:rFonts w:cs="David" w:hint="cs"/>
          <w:sz w:val="28"/>
          <w:szCs w:val="28"/>
          <w:rtl/>
        </w:rPr>
        <w:t xml:space="preserve">, הפועלים לעיתים קרובות גם מחוץ למרשתת. למשל, אמצעי התקשורת הגדולים. </w:t>
      </w:r>
      <w:r w:rsidRPr="00282AA0">
        <w:rPr>
          <w:rFonts w:cs="David" w:hint="cs"/>
          <w:b/>
          <w:bCs/>
          <w:sz w:val="28"/>
          <w:szCs w:val="28"/>
          <w:rtl/>
        </w:rPr>
        <w:t xml:space="preserve">זהות העומדים מאחורי אתרים כאלו </w:t>
      </w:r>
      <w:r>
        <w:rPr>
          <w:rFonts w:cs="David" w:hint="cs"/>
          <w:b/>
          <w:bCs/>
          <w:sz w:val="28"/>
          <w:szCs w:val="28"/>
          <w:rtl/>
        </w:rPr>
        <w:t>ידועה</w:t>
      </w:r>
      <w:r>
        <w:rPr>
          <w:rFonts w:cs="David" w:hint="cs"/>
          <w:sz w:val="28"/>
          <w:szCs w:val="28"/>
          <w:rtl/>
        </w:rPr>
        <w:t xml:space="preserve"> ולכן האכיפה בהם אינה כרוכה בדרך כלל בקשיים מיוחדים. </w:t>
      </w:r>
      <w:r w:rsidR="006459C3" w:rsidRPr="006E3B7B">
        <w:rPr>
          <w:rFonts w:cs="David" w:hint="cs"/>
          <w:sz w:val="28"/>
          <w:szCs w:val="28"/>
          <w:rtl/>
        </w:rPr>
        <w:t>ל</w:t>
      </w:r>
      <w:r w:rsidR="005C1BCF" w:rsidRPr="006E3B7B">
        <w:rPr>
          <w:rFonts w:cs="David" w:hint="cs"/>
          <w:sz w:val="28"/>
          <w:szCs w:val="28"/>
          <w:rtl/>
        </w:rPr>
        <w:t>דוגמ</w:t>
      </w:r>
      <w:r w:rsidR="006E3B7B" w:rsidRPr="006E3B7B">
        <w:rPr>
          <w:rFonts w:cs="David" w:hint="cs"/>
          <w:sz w:val="28"/>
          <w:szCs w:val="28"/>
          <w:rtl/>
        </w:rPr>
        <w:t>ה</w:t>
      </w:r>
      <w:r w:rsidR="006459C3" w:rsidRPr="006E3B7B">
        <w:rPr>
          <w:rFonts w:cs="David" w:hint="cs"/>
          <w:sz w:val="28"/>
          <w:szCs w:val="28"/>
          <w:rtl/>
        </w:rPr>
        <w:t>, חברת 'פייסבוק', אשר כמצוין לעיל</w:t>
      </w:r>
      <w:r w:rsidR="00E91662" w:rsidRPr="006E3B7B">
        <w:rPr>
          <w:rFonts w:cs="David" w:hint="cs"/>
          <w:sz w:val="28"/>
          <w:szCs w:val="28"/>
          <w:rtl/>
        </w:rPr>
        <w:t xml:space="preserve"> מהווה את הפלטפורמה העיקרית </w:t>
      </w:r>
      <w:r w:rsidR="00074BC2" w:rsidRPr="006E3B7B">
        <w:rPr>
          <w:rFonts w:cs="David" w:hint="cs"/>
          <w:sz w:val="28"/>
          <w:szCs w:val="28"/>
          <w:rtl/>
        </w:rPr>
        <w:t xml:space="preserve">ברשת </w:t>
      </w:r>
      <w:r w:rsidR="00E91662" w:rsidRPr="006E3B7B">
        <w:rPr>
          <w:rFonts w:cs="David" w:hint="cs"/>
          <w:sz w:val="28"/>
          <w:szCs w:val="28"/>
          <w:rtl/>
        </w:rPr>
        <w:t>לשיח גזעני ומסית כנגד ערבים.</w:t>
      </w:r>
    </w:p>
    <w:p w:rsidR="00C80269" w:rsidRDefault="006E3B7B" w:rsidP="006E3B7B">
      <w:pPr>
        <w:spacing w:line="360" w:lineRule="auto"/>
        <w:jc w:val="both"/>
        <w:rPr>
          <w:rFonts w:cs="David"/>
          <w:sz w:val="28"/>
          <w:szCs w:val="28"/>
          <w:rtl/>
        </w:rPr>
      </w:pPr>
      <w:r>
        <w:rPr>
          <w:rFonts w:cs="David" w:hint="cs"/>
          <w:sz w:val="28"/>
          <w:szCs w:val="28"/>
          <w:rtl/>
        </w:rPr>
        <w:lastRenderedPageBreak/>
        <w:t xml:space="preserve">יש להוסיף </w:t>
      </w:r>
      <w:r w:rsidR="00C80269">
        <w:rPr>
          <w:rFonts w:cs="David" w:hint="cs"/>
          <w:sz w:val="28"/>
          <w:szCs w:val="28"/>
          <w:rtl/>
        </w:rPr>
        <w:t xml:space="preserve">על כך, את </w:t>
      </w:r>
      <w:r w:rsidR="0015055C">
        <w:rPr>
          <w:rFonts w:cs="David" w:hint="cs"/>
          <w:sz w:val="28"/>
          <w:szCs w:val="28"/>
          <w:rtl/>
        </w:rPr>
        <w:t>הטענה לפיה אחוז ניכר של הנחשדים כדברי הסתה לגזענות ולאלימות</w:t>
      </w:r>
      <w:r w:rsidR="00FD7969">
        <w:rPr>
          <w:rFonts w:cs="David" w:hint="cs"/>
          <w:sz w:val="28"/>
          <w:szCs w:val="28"/>
          <w:rtl/>
        </w:rPr>
        <w:t xml:space="preserve"> בישראל</w:t>
      </w:r>
      <w:r w:rsidR="0015055C">
        <w:rPr>
          <w:rFonts w:cs="David" w:hint="cs"/>
          <w:sz w:val="28"/>
          <w:szCs w:val="28"/>
          <w:rtl/>
        </w:rPr>
        <w:t xml:space="preserve">, </w:t>
      </w:r>
      <w:r w:rsidR="0015055C" w:rsidRPr="00282AA0">
        <w:rPr>
          <w:rFonts w:cs="David" w:hint="cs"/>
          <w:b/>
          <w:bCs/>
          <w:sz w:val="28"/>
          <w:szCs w:val="28"/>
          <w:rtl/>
        </w:rPr>
        <w:t>אינם בזהות אנונימית</w:t>
      </w:r>
      <w:r>
        <w:rPr>
          <w:rFonts w:cs="David" w:hint="cs"/>
          <w:b/>
          <w:bCs/>
          <w:sz w:val="28"/>
          <w:szCs w:val="28"/>
          <w:rtl/>
        </w:rPr>
        <w:t xml:space="preserve"> ולכן ניתן לעמוד על זהותם</w:t>
      </w:r>
      <w:r w:rsidR="0015055C">
        <w:rPr>
          <w:rFonts w:cs="David" w:hint="cs"/>
          <w:sz w:val="28"/>
          <w:szCs w:val="28"/>
          <w:rtl/>
        </w:rPr>
        <w:t>.</w:t>
      </w:r>
      <w:r w:rsidR="00C80269">
        <w:rPr>
          <w:rStyle w:val="a5"/>
          <w:rFonts w:cs="David"/>
          <w:sz w:val="28"/>
          <w:szCs w:val="28"/>
          <w:rtl/>
        </w:rPr>
        <w:footnoteReference w:id="200"/>
      </w:r>
      <w:r w:rsidR="00C80269">
        <w:rPr>
          <w:rFonts w:cs="David" w:hint="cs"/>
          <w:sz w:val="28"/>
          <w:szCs w:val="28"/>
          <w:rtl/>
        </w:rPr>
        <w:t xml:space="preserve"> </w:t>
      </w:r>
    </w:p>
    <w:p w:rsidR="00C80269" w:rsidRPr="00DB4C63" w:rsidRDefault="00C80269" w:rsidP="00114823">
      <w:pPr>
        <w:spacing w:line="360" w:lineRule="auto"/>
        <w:jc w:val="both"/>
        <w:rPr>
          <w:rFonts w:cs="David"/>
          <w:sz w:val="28"/>
          <w:szCs w:val="28"/>
          <w:rtl/>
        </w:rPr>
      </w:pPr>
      <w:r>
        <w:rPr>
          <w:rFonts w:cs="David" w:hint="cs"/>
          <w:sz w:val="28"/>
          <w:szCs w:val="28"/>
          <w:rtl/>
        </w:rPr>
        <w:t xml:space="preserve">יתר על כן, טוען שגב, </w:t>
      </w:r>
      <w:r w:rsidRPr="00282AA0">
        <w:rPr>
          <w:rFonts w:cs="David" w:hint="cs"/>
          <w:b/>
          <w:bCs/>
          <w:sz w:val="28"/>
          <w:szCs w:val="28"/>
          <w:rtl/>
        </w:rPr>
        <w:t>לאנשים ולגופים אשר עומדים מאחורי אתרים אלו יש לעיתים קרובות אינטרסים כבדי משקל נגד הפרת כללים משפטיים במסגרת אתרים אלו.</w:t>
      </w:r>
      <w:r>
        <w:rPr>
          <w:rFonts w:cs="David" w:hint="cs"/>
          <w:sz w:val="28"/>
          <w:szCs w:val="28"/>
          <w:rtl/>
        </w:rPr>
        <w:t xml:space="preserve"> לפיכך, האכיפה של נורמות, גם בתחום הביטויים, על אתרים כאלה </w:t>
      </w:r>
      <w:r w:rsidRPr="001E01BA">
        <w:rPr>
          <w:rFonts w:cs="David" w:hint="cs"/>
          <w:b/>
          <w:bCs/>
          <w:sz w:val="28"/>
          <w:szCs w:val="28"/>
          <w:rtl/>
        </w:rPr>
        <w:t>עשויה להיות יעילה</w:t>
      </w:r>
      <w:r>
        <w:rPr>
          <w:rFonts w:cs="David" w:hint="cs"/>
          <w:sz w:val="28"/>
          <w:szCs w:val="28"/>
          <w:rtl/>
        </w:rPr>
        <w:t xml:space="preserve">. אם כך, הקושי הנוגע לאכיפה הינו בעיקר מול האתרים הקטנים, שממילא משמעותם מוגבלת בגלל המספר הקטן יחסית של גולשים שכל אחד מהם מושך </w:t>
      </w:r>
      <w:r w:rsidRPr="001E01BA">
        <w:rPr>
          <w:rFonts w:cs="David" w:hint="cs"/>
          <w:b/>
          <w:bCs/>
          <w:sz w:val="28"/>
          <w:szCs w:val="28"/>
          <w:rtl/>
        </w:rPr>
        <w:t>ולכן יש להתמקד באתרים הגדולים ויש חשיבות רבה אף לאכיפה חלקית בתחום הביטויים שנעש</w:t>
      </w:r>
      <w:r w:rsidRPr="00DB4C63">
        <w:rPr>
          <w:rFonts w:cs="David" w:hint="cs"/>
          <w:b/>
          <w:bCs/>
          <w:sz w:val="28"/>
          <w:szCs w:val="28"/>
          <w:rtl/>
        </w:rPr>
        <w:t>ים במסגרתם.</w:t>
      </w:r>
      <w:r w:rsidR="00074BC2" w:rsidRPr="00DB4C63">
        <w:rPr>
          <w:rFonts w:cs="David" w:hint="cs"/>
          <w:b/>
          <w:bCs/>
          <w:sz w:val="28"/>
          <w:szCs w:val="28"/>
          <w:rtl/>
        </w:rPr>
        <w:t xml:space="preserve"> </w:t>
      </w:r>
      <w:r w:rsidR="00074BC2" w:rsidRPr="00DB4C63">
        <w:rPr>
          <w:rFonts w:cs="David" w:hint="cs"/>
          <w:sz w:val="28"/>
          <w:szCs w:val="28"/>
          <w:rtl/>
        </w:rPr>
        <w:t>במשמעות</w:t>
      </w:r>
      <w:r w:rsidR="00114823" w:rsidRPr="00DB4C63">
        <w:rPr>
          <w:rFonts w:cs="David" w:hint="cs"/>
          <w:sz w:val="28"/>
          <w:szCs w:val="28"/>
          <w:rtl/>
        </w:rPr>
        <w:t>ה</w:t>
      </w:r>
      <w:r w:rsidR="00074BC2" w:rsidRPr="00DB4C63">
        <w:rPr>
          <w:rFonts w:cs="David" w:hint="cs"/>
          <w:sz w:val="28"/>
          <w:szCs w:val="28"/>
          <w:rtl/>
        </w:rPr>
        <w:t xml:space="preserve"> </w:t>
      </w:r>
      <w:r w:rsidR="00114823" w:rsidRPr="00DB4C63">
        <w:rPr>
          <w:rFonts w:cs="David" w:hint="cs"/>
          <w:sz w:val="28"/>
          <w:szCs w:val="28"/>
          <w:rtl/>
        </w:rPr>
        <w:t xml:space="preserve">של </w:t>
      </w:r>
      <w:r w:rsidR="00074BC2" w:rsidRPr="00DB4C63">
        <w:rPr>
          <w:rFonts w:cs="David" w:hint="cs"/>
          <w:sz w:val="28"/>
          <w:szCs w:val="28"/>
          <w:rtl/>
        </w:rPr>
        <w:t>טענה זו תיגע העבודה בהמשך</w:t>
      </w:r>
      <w:r w:rsidR="00024177" w:rsidRPr="00DB4C63">
        <w:rPr>
          <w:rFonts w:cs="David" w:hint="cs"/>
          <w:sz w:val="28"/>
          <w:szCs w:val="28"/>
          <w:rtl/>
        </w:rPr>
        <w:t xml:space="preserve">, </w:t>
      </w:r>
      <w:r w:rsidR="00A3089E" w:rsidRPr="00DB4C63">
        <w:rPr>
          <w:rFonts w:cs="David" w:hint="cs"/>
          <w:sz w:val="28"/>
          <w:szCs w:val="28"/>
          <w:rtl/>
        </w:rPr>
        <w:t>בשל משקלה ב</w:t>
      </w:r>
      <w:r w:rsidR="00024177" w:rsidRPr="00DB4C63">
        <w:rPr>
          <w:rFonts w:cs="David" w:hint="cs"/>
          <w:sz w:val="28"/>
          <w:szCs w:val="28"/>
          <w:rtl/>
        </w:rPr>
        <w:t xml:space="preserve">כל הנוגע לאכיפה </w:t>
      </w:r>
      <w:r w:rsidR="000F615C" w:rsidRPr="00DB4C63">
        <w:rPr>
          <w:rFonts w:cs="David" w:hint="cs"/>
          <w:sz w:val="28"/>
          <w:szCs w:val="28"/>
          <w:rtl/>
        </w:rPr>
        <w:t xml:space="preserve">אפשרית </w:t>
      </w:r>
      <w:r w:rsidR="00024177" w:rsidRPr="00DB4C63">
        <w:rPr>
          <w:rFonts w:cs="David" w:hint="cs"/>
          <w:sz w:val="28"/>
          <w:szCs w:val="28"/>
          <w:rtl/>
        </w:rPr>
        <w:t>מול האתרים המובילים, שדרכם נעשה חלק ניכר מהשיח הפוגעני, הגזעני והמסית.</w:t>
      </w:r>
    </w:p>
    <w:p w:rsidR="00C80269" w:rsidRPr="00DB4C63" w:rsidRDefault="004C1671" w:rsidP="00DB4C63">
      <w:pPr>
        <w:spacing w:line="360" w:lineRule="auto"/>
        <w:jc w:val="both"/>
        <w:rPr>
          <w:rFonts w:cs="David"/>
          <w:b/>
          <w:bCs/>
          <w:sz w:val="28"/>
          <w:szCs w:val="28"/>
          <w:rtl/>
        </w:rPr>
      </w:pPr>
      <w:r w:rsidRPr="00DB4C63">
        <w:rPr>
          <w:rFonts w:cs="David" w:hint="cs"/>
          <w:sz w:val="28"/>
          <w:szCs w:val="28"/>
          <w:rtl/>
        </w:rPr>
        <w:t xml:space="preserve">לאור האמור, </w:t>
      </w:r>
      <w:r w:rsidR="00C80269" w:rsidRPr="00DB4C63">
        <w:rPr>
          <w:rFonts w:cs="David" w:hint="cs"/>
          <w:sz w:val="28"/>
          <w:szCs w:val="28"/>
          <w:rtl/>
        </w:rPr>
        <w:t xml:space="preserve">בכל הנוגע להסדרה מדינתית ניתן </w:t>
      </w:r>
      <w:r w:rsidRPr="00DB4C63">
        <w:rPr>
          <w:rFonts w:cs="David" w:hint="cs"/>
          <w:sz w:val="28"/>
          <w:szCs w:val="28"/>
          <w:rtl/>
        </w:rPr>
        <w:t>לסכם ו</w:t>
      </w:r>
      <w:r w:rsidR="00C80269" w:rsidRPr="00DB4C63">
        <w:rPr>
          <w:rFonts w:cs="David" w:hint="cs"/>
          <w:sz w:val="28"/>
          <w:szCs w:val="28"/>
          <w:rtl/>
        </w:rPr>
        <w:t xml:space="preserve">לומר כי ישנם </w:t>
      </w:r>
      <w:r w:rsidR="00C80269" w:rsidRPr="00DB4C63">
        <w:rPr>
          <w:rFonts w:cs="David" w:hint="cs"/>
          <w:b/>
          <w:bCs/>
          <w:sz w:val="28"/>
          <w:szCs w:val="28"/>
          <w:rtl/>
        </w:rPr>
        <w:t>שיקולים פרקטיים</w:t>
      </w:r>
      <w:r w:rsidR="00114823" w:rsidRPr="00DB4C63">
        <w:rPr>
          <w:rFonts w:cs="David" w:hint="cs"/>
          <w:sz w:val="28"/>
          <w:szCs w:val="28"/>
          <w:rtl/>
        </w:rPr>
        <w:t>,</w:t>
      </w:r>
      <w:r w:rsidR="00C80269" w:rsidRPr="00DB4C63">
        <w:rPr>
          <w:rFonts w:cs="David" w:hint="cs"/>
          <w:sz w:val="28"/>
          <w:szCs w:val="28"/>
          <w:rtl/>
        </w:rPr>
        <w:t xml:space="preserve"> הנוגעים </w:t>
      </w:r>
      <w:r w:rsidR="00C80269" w:rsidRPr="00DB4C63">
        <w:rPr>
          <w:rFonts w:cs="David" w:hint="cs"/>
          <w:b/>
          <w:bCs/>
          <w:sz w:val="28"/>
          <w:szCs w:val="28"/>
          <w:rtl/>
        </w:rPr>
        <w:t>לפער ביכולת האכיפה</w:t>
      </w:r>
      <w:r w:rsidR="00C80269" w:rsidRPr="00DB4C63">
        <w:rPr>
          <w:rFonts w:cs="David" w:hint="cs"/>
          <w:sz w:val="28"/>
          <w:szCs w:val="28"/>
          <w:rtl/>
        </w:rPr>
        <w:t xml:space="preserve"> ולצדם </w:t>
      </w:r>
      <w:r w:rsidR="00C80269" w:rsidRPr="00DB4C63">
        <w:rPr>
          <w:rFonts w:cs="David" w:hint="cs"/>
          <w:b/>
          <w:bCs/>
          <w:sz w:val="28"/>
          <w:szCs w:val="28"/>
          <w:rtl/>
        </w:rPr>
        <w:t>שיקולי מדיניות</w:t>
      </w:r>
      <w:r w:rsidR="00C80269" w:rsidRPr="00DB4C63">
        <w:rPr>
          <w:rFonts w:cs="David" w:hint="cs"/>
          <w:sz w:val="28"/>
          <w:szCs w:val="28"/>
          <w:rtl/>
        </w:rPr>
        <w:t xml:space="preserve"> הנוגעים באי ההצדקה לקיומה של רגולציה של המרשתת. אלו לצד אלו </w:t>
      </w:r>
      <w:r w:rsidR="007E192B" w:rsidRPr="00DB4C63">
        <w:rPr>
          <w:rFonts w:cs="David" w:hint="cs"/>
          <w:sz w:val="28"/>
          <w:szCs w:val="28"/>
          <w:rtl/>
        </w:rPr>
        <w:t>מובילים</w:t>
      </w:r>
      <w:r w:rsidR="00C80269" w:rsidRPr="00DB4C63">
        <w:rPr>
          <w:rFonts w:cs="David" w:hint="cs"/>
          <w:sz w:val="28"/>
          <w:szCs w:val="28"/>
          <w:rtl/>
        </w:rPr>
        <w:t xml:space="preserve"> חלק מהחוקרים למסקנה</w:t>
      </w:r>
      <w:r w:rsidR="007E192B" w:rsidRPr="00DB4C63">
        <w:rPr>
          <w:rFonts w:cs="David" w:hint="cs"/>
          <w:sz w:val="28"/>
          <w:szCs w:val="28"/>
          <w:rtl/>
        </w:rPr>
        <w:t>,</w:t>
      </w:r>
      <w:r w:rsidR="00C80269" w:rsidRPr="00DB4C63">
        <w:rPr>
          <w:rFonts w:cs="David" w:hint="cs"/>
          <w:sz w:val="28"/>
          <w:szCs w:val="28"/>
          <w:rtl/>
        </w:rPr>
        <w:t xml:space="preserve"> כי </w:t>
      </w:r>
      <w:r w:rsidR="00C80269" w:rsidRPr="00DB4C63">
        <w:rPr>
          <w:rFonts w:cs="David" w:hint="cs"/>
          <w:b/>
          <w:bCs/>
          <w:sz w:val="28"/>
          <w:szCs w:val="28"/>
          <w:rtl/>
        </w:rPr>
        <w:t>כ</w:t>
      </w:r>
      <w:r w:rsidR="00A3089E" w:rsidRPr="00DB4C63">
        <w:rPr>
          <w:rFonts w:cs="David" w:hint="cs"/>
          <w:b/>
          <w:bCs/>
          <w:sz w:val="28"/>
          <w:szCs w:val="28"/>
          <w:rtl/>
        </w:rPr>
        <w:t>כ</w:t>
      </w:r>
      <w:r w:rsidR="00C80269" w:rsidRPr="00DB4C63">
        <w:rPr>
          <w:rFonts w:cs="David" w:hint="cs"/>
          <w:b/>
          <w:bCs/>
          <w:sz w:val="28"/>
          <w:szCs w:val="28"/>
          <w:rtl/>
        </w:rPr>
        <w:t>לל רצוי לא להסדיר את הפעילויות ברשת בחקיקה מדינתית ואם עושים זאת, יש להבהיר את התנאים לכך בצורה ברורה</w:t>
      </w:r>
      <w:r w:rsidR="00A3089E" w:rsidRPr="00DB4C63">
        <w:rPr>
          <w:rFonts w:cs="David" w:hint="cs"/>
          <w:sz w:val="28"/>
          <w:szCs w:val="28"/>
          <w:rtl/>
        </w:rPr>
        <w:t>.</w:t>
      </w:r>
      <w:r w:rsidR="00C80269" w:rsidRPr="00DB4C63">
        <w:rPr>
          <w:rFonts w:cs="David" w:hint="cs"/>
          <w:sz w:val="28"/>
          <w:szCs w:val="28"/>
          <w:rtl/>
        </w:rPr>
        <w:t xml:space="preserve"> בכל מקרה, יש </w:t>
      </w:r>
      <w:r w:rsidR="00C80269" w:rsidRPr="00DB4C63">
        <w:rPr>
          <w:rFonts w:cs="David" w:hint="cs"/>
          <w:b/>
          <w:bCs/>
          <w:sz w:val="28"/>
          <w:szCs w:val="28"/>
          <w:rtl/>
        </w:rPr>
        <w:t>להמעיט</w:t>
      </w:r>
      <w:r w:rsidR="00C80269" w:rsidRPr="00DB4C63">
        <w:rPr>
          <w:rFonts w:cs="David" w:hint="cs"/>
          <w:sz w:val="28"/>
          <w:szCs w:val="28"/>
          <w:rtl/>
        </w:rPr>
        <w:t xml:space="preserve"> בהתערבות ככל האפשר.</w:t>
      </w:r>
      <w:r w:rsidR="007F6D6A" w:rsidRPr="00DB4C63">
        <w:rPr>
          <w:rFonts w:cs="David" w:hint="cs"/>
          <w:sz w:val="28"/>
          <w:szCs w:val="28"/>
          <w:rtl/>
        </w:rPr>
        <w:t xml:space="preserve"> </w:t>
      </w:r>
      <w:r w:rsidR="00C80269" w:rsidRPr="00DB4C63">
        <w:rPr>
          <w:rFonts w:cs="David" w:hint="cs"/>
          <w:sz w:val="28"/>
          <w:szCs w:val="28"/>
          <w:rtl/>
        </w:rPr>
        <w:t xml:space="preserve">לצד עמדה זאת ישנה עמדה הגורסת כי אמנם לא ניתן להקל ראש בקשיים המשפיעים על יכולת האכיפה במרשתת, אך </w:t>
      </w:r>
      <w:r w:rsidR="00C80269" w:rsidRPr="00DB4C63">
        <w:rPr>
          <w:rFonts w:cs="David" w:hint="cs"/>
          <w:b/>
          <w:bCs/>
          <w:sz w:val="28"/>
          <w:szCs w:val="28"/>
          <w:rtl/>
        </w:rPr>
        <w:t>ישנה משמעות גם להצלחה חלקית</w:t>
      </w:r>
      <w:r w:rsidR="00C80269" w:rsidRPr="00DB4C63">
        <w:rPr>
          <w:rFonts w:cs="David" w:hint="cs"/>
          <w:sz w:val="28"/>
          <w:szCs w:val="28"/>
          <w:rtl/>
        </w:rPr>
        <w:t>. הצלחה זו יכולה לבוא לידי ביטוי באותם מקומות</w:t>
      </w:r>
      <w:r w:rsidR="007E192B" w:rsidRPr="00DB4C63">
        <w:rPr>
          <w:rFonts w:cs="David" w:hint="cs"/>
          <w:sz w:val="28"/>
          <w:szCs w:val="28"/>
          <w:rtl/>
        </w:rPr>
        <w:t>,</w:t>
      </w:r>
      <w:r w:rsidR="00C80269" w:rsidRPr="00DB4C63">
        <w:rPr>
          <w:rFonts w:cs="David" w:hint="cs"/>
          <w:sz w:val="28"/>
          <w:szCs w:val="28"/>
          <w:rtl/>
        </w:rPr>
        <w:t xml:space="preserve"> בהם מדובר בבעלי אתרים ו</w:t>
      </w:r>
      <w:r w:rsidR="007E192B" w:rsidRPr="00DB4C63">
        <w:rPr>
          <w:rFonts w:cs="David" w:hint="cs"/>
          <w:sz w:val="28"/>
          <w:szCs w:val="28"/>
          <w:rtl/>
        </w:rPr>
        <w:t>ב</w:t>
      </w:r>
      <w:r w:rsidR="00C80269" w:rsidRPr="00DB4C63">
        <w:rPr>
          <w:rFonts w:cs="David" w:hint="cs"/>
          <w:sz w:val="28"/>
          <w:szCs w:val="28"/>
          <w:rtl/>
        </w:rPr>
        <w:t>ספקי מרשתת שהינם גופים מסחריים גדולים  ומוכרים ו</w:t>
      </w:r>
      <w:r w:rsidR="007E192B" w:rsidRPr="00DB4C63">
        <w:rPr>
          <w:rFonts w:cs="David" w:hint="cs"/>
          <w:sz w:val="28"/>
          <w:szCs w:val="28"/>
          <w:rtl/>
        </w:rPr>
        <w:t xml:space="preserve">במקום שבו </w:t>
      </w:r>
      <w:r w:rsidR="00C80269" w:rsidRPr="00DB4C63">
        <w:rPr>
          <w:rFonts w:cs="David" w:hint="cs"/>
          <w:sz w:val="28"/>
          <w:szCs w:val="28"/>
          <w:rtl/>
        </w:rPr>
        <w:t>המשתמש אינו אנונימ</w:t>
      </w:r>
      <w:r w:rsidR="00A3089E" w:rsidRPr="00DB4C63">
        <w:rPr>
          <w:rFonts w:cs="David" w:hint="cs"/>
          <w:sz w:val="28"/>
          <w:szCs w:val="28"/>
          <w:rtl/>
        </w:rPr>
        <w:t>י והינו בר-השגה.</w:t>
      </w:r>
    </w:p>
    <w:p w:rsidR="00A3089E" w:rsidRDefault="00C80269" w:rsidP="00DB4C63">
      <w:pPr>
        <w:spacing w:line="360" w:lineRule="auto"/>
        <w:jc w:val="both"/>
        <w:rPr>
          <w:rFonts w:cs="David"/>
          <w:sz w:val="28"/>
          <w:szCs w:val="28"/>
          <w:rtl/>
        </w:rPr>
      </w:pPr>
      <w:r w:rsidRPr="00DB4C63">
        <w:rPr>
          <w:rFonts w:cs="David" w:hint="cs"/>
          <w:sz w:val="28"/>
          <w:szCs w:val="28"/>
          <w:rtl/>
        </w:rPr>
        <w:t>נראה</w:t>
      </w:r>
      <w:r w:rsidR="00DB4C63" w:rsidRPr="00DB4C63">
        <w:rPr>
          <w:rFonts w:cs="David" w:hint="cs"/>
          <w:sz w:val="28"/>
          <w:szCs w:val="28"/>
          <w:rtl/>
        </w:rPr>
        <w:t>,</w:t>
      </w:r>
      <w:r w:rsidRPr="00DB4C63">
        <w:rPr>
          <w:rFonts w:cs="David" w:hint="cs"/>
          <w:sz w:val="28"/>
          <w:szCs w:val="28"/>
          <w:rtl/>
        </w:rPr>
        <w:t xml:space="preserve"> כי עמדה זו</w:t>
      </w:r>
      <w:r w:rsidR="00DB4C63" w:rsidRPr="00DB4C63">
        <w:rPr>
          <w:rFonts w:cs="David" w:hint="cs"/>
          <w:sz w:val="28"/>
          <w:szCs w:val="28"/>
          <w:rtl/>
        </w:rPr>
        <w:t xml:space="preserve"> </w:t>
      </w:r>
      <w:r w:rsidRPr="00DB4C63">
        <w:rPr>
          <w:rFonts w:cs="David" w:hint="cs"/>
          <w:b/>
          <w:bCs/>
          <w:sz w:val="28"/>
          <w:szCs w:val="28"/>
          <w:rtl/>
        </w:rPr>
        <w:t>מאוזנת יותר</w:t>
      </w:r>
      <w:r w:rsidR="00A3089E" w:rsidRPr="00DB4C63">
        <w:rPr>
          <w:rFonts w:cs="David" w:hint="cs"/>
          <w:b/>
          <w:bCs/>
          <w:sz w:val="28"/>
          <w:szCs w:val="28"/>
          <w:rtl/>
        </w:rPr>
        <w:t xml:space="preserve"> ורלוונטית יותר לנושא השיח הגזענ</w:t>
      </w:r>
      <w:r w:rsidR="00F40BE2" w:rsidRPr="00DB4C63">
        <w:rPr>
          <w:rFonts w:cs="David" w:hint="cs"/>
          <w:b/>
          <w:bCs/>
          <w:sz w:val="28"/>
          <w:szCs w:val="28"/>
          <w:rtl/>
        </w:rPr>
        <w:t>י והמסית ברשתות החברתיות בישראל</w:t>
      </w:r>
      <w:r w:rsidR="00F40BE2" w:rsidRPr="00DB4C63">
        <w:rPr>
          <w:rFonts w:cs="David" w:hint="cs"/>
          <w:sz w:val="28"/>
          <w:szCs w:val="28"/>
          <w:rtl/>
        </w:rPr>
        <w:t xml:space="preserve">, </w:t>
      </w:r>
      <w:r w:rsidR="00A74511" w:rsidRPr="00DB4C63">
        <w:rPr>
          <w:rFonts w:cs="David" w:hint="cs"/>
          <w:sz w:val="28"/>
          <w:szCs w:val="28"/>
          <w:rtl/>
        </w:rPr>
        <w:t xml:space="preserve">שכן </w:t>
      </w:r>
      <w:r w:rsidR="0067469F" w:rsidRPr="00DB4C63">
        <w:rPr>
          <w:rFonts w:cs="David" w:hint="cs"/>
          <w:sz w:val="28"/>
          <w:szCs w:val="28"/>
          <w:rtl/>
        </w:rPr>
        <w:t>כפי שהוצג בנתונים לעיל</w:t>
      </w:r>
      <w:r w:rsidR="004800AD" w:rsidRPr="00DB4C63">
        <w:rPr>
          <w:rFonts w:cs="David" w:hint="cs"/>
          <w:sz w:val="28"/>
          <w:szCs w:val="28"/>
          <w:rtl/>
        </w:rPr>
        <w:t>,</w:t>
      </w:r>
      <w:r w:rsidR="0067469F" w:rsidRPr="00DB4C63">
        <w:rPr>
          <w:rFonts w:cs="David" w:hint="cs"/>
          <w:sz w:val="28"/>
          <w:szCs w:val="28"/>
          <w:rtl/>
        </w:rPr>
        <w:t xml:space="preserve"> </w:t>
      </w:r>
      <w:r w:rsidR="00F40BE2" w:rsidRPr="00DB4C63">
        <w:rPr>
          <w:rFonts w:cs="David" w:hint="cs"/>
          <w:sz w:val="28"/>
          <w:szCs w:val="28"/>
          <w:rtl/>
        </w:rPr>
        <w:t xml:space="preserve">עיקר השיח הגזעני והמסית </w:t>
      </w:r>
      <w:r w:rsidR="00A74511" w:rsidRPr="00DB4C63">
        <w:rPr>
          <w:rFonts w:cs="David" w:hint="cs"/>
          <w:sz w:val="28"/>
          <w:szCs w:val="28"/>
          <w:rtl/>
        </w:rPr>
        <w:t xml:space="preserve">בישראל </w:t>
      </w:r>
      <w:r w:rsidR="00F40BE2" w:rsidRPr="00DB4C63">
        <w:rPr>
          <w:rFonts w:cs="David" w:hint="cs"/>
          <w:sz w:val="28"/>
          <w:szCs w:val="28"/>
          <w:rtl/>
        </w:rPr>
        <w:t xml:space="preserve">נעשה באמצעות אתר שהינו גוף מסחרי גדול ומוכר, 'פייסבוק' ורוב המשתמשים המתבטאים בגזענות </w:t>
      </w:r>
      <w:r w:rsidR="00A74511" w:rsidRPr="00DB4C63">
        <w:rPr>
          <w:rFonts w:cs="David" w:hint="cs"/>
          <w:sz w:val="28"/>
          <w:szCs w:val="28"/>
          <w:rtl/>
        </w:rPr>
        <w:t xml:space="preserve">וקוראים לאלימות בישראל </w:t>
      </w:r>
      <w:r w:rsidR="00F40BE2" w:rsidRPr="00DB4C63">
        <w:rPr>
          <w:rFonts w:cs="David" w:hint="cs"/>
          <w:sz w:val="28"/>
          <w:szCs w:val="28"/>
          <w:rtl/>
        </w:rPr>
        <w:t>הינם גלויים וברי-השגה.</w:t>
      </w:r>
      <w:r w:rsidR="005D2F00" w:rsidRPr="00DB4C63">
        <w:rPr>
          <w:rFonts w:cs="David" w:hint="cs"/>
          <w:sz w:val="28"/>
          <w:szCs w:val="28"/>
          <w:rtl/>
        </w:rPr>
        <w:t xml:space="preserve"> העבודה תיגע בכך בפרק הסיכום וההמלצות.</w:t>
      </w:r>
    </w:p>
    <w:p w:rsidR="0027066C" w:rsidRPr="00CD53F4" w:rsidRDefault="0027066C" w:rsidP="00DB4C63">
      <w:pPr>
        <w:spacing w:line="360" w:lineRule="auto"/>
        <w:jc w:val="both"/>
        <w:rPr>
          <w:rFonts w:cs="David"/>
          <w:sz w:val="28"/>
          <w:szCs w:val="28"/>
          <w:rtl/>
        </w:rPr>
      </w:pPr>
    </w:p>
    <w:p w:rsidR="0016210B" w:rsidRDefault="0016210B" w:rsidP="00430CCF">
      <w:pPr>
        <w:spacing w:line="360" w:lineRule="auto"/>
        <w:jc w:val="both"/>
        <w:rPr>
          <w:rFonts w:cs="David"/>
          <w:b/>
          <w:bCs/>
          <w:sz w:val="28"/>
          <w:szCs w:val="28"/>
          <w:rtl/>
        </w:rPr>
      </w:pPr>
    </w:p>
    <w:p w:rsidR="00C80269" w:rsidRPr="00816906" w:rsidRDefault="009E783C" w:rsidP="00430CCF">
      <w:pPr>
        <w:spacing w:line="360" w:lineRule="auto"/>
        <w:jc w:val="both"/>
        <w:rPr>
          <w:rFonts w:cs="David"/>
          <w:b/>
          <w:bCs/>
          <w:sz w:val="28"/>
          <w:szCs w:val="28"/>
          <w:rtl/>
        </w:rPr>
      </w:pPr>
      <w:r>
        <w:rPr>
          <w:rFonts w:cs="David" w:hint="cs"/>
          <w:b/>
          <w:bCs/>
          <w:sz w:val="28"/>
          <w:szCs w:val="28"/>
          <w:rtl/>
        </w:rPr>
        <w:lastRenderedPageBreak/>
        <w:t>ד</w:t>
      </w:r>
      <w:r w:rsidR="00C80269" w:rsidRPr="00816906">
        <w:rPr>
          <w:rFonts w:cs="David" w:hint="cs"/>
          <w:b/>
          <w:bCs/>
          <w:sz w:val="28"/>
          <w:szCs w:val="28"/>
          <w:rtl/>
        </w:rPr>
        <w:t xml:space="preserve">.2 </w:t>
      </w:r>
      <w:r w:rsidR="00C4551C">
        <w:rPr>
          <w:rFonts w:cs="David" w:hint="cs"/>
          <w:b/>
          <w:bCs/>
          <w:sz w:val="28"/>
          <w:szCs w:val="28"/>
          <w:rtl/>
        </w:rPr>
        <w:t>חלופ</w:t>
      </w:r>
      <w:r w:rsidR="00430CCF">
        <w:rPr>
          <w:rFonts w:cs="David" w:hint="cs"/>
          <w:b/>
          <w:bCs/>
          <w:sz w:val="28"/>
          <w:szCs w:val="28"/>
          <w:rtl/>
        </w:rPr>
        <w:t>ה</w:t>
      </w:r>
      <w:r w:rsidR="00C4551C">
        <w:rPr>
          <w:rFonts w:cs="David" w:hint="cs"/>
          <w:b/>
          <w:bCs/>
          <w:sz w:val="28"/>
          <w:szCs w:val="28"/>
          <w:rtl/>
        </w:rPr>
        <w:t xml:space="preserve"> להסדרה מדינתית של המרשתת</w:t>
      </w:r>
    </w:p>
    <w:p w:rsidR="00BF25A8" w:rsidRDefault="00BF25A8" w:rsidP="00975E9A">
      <w:pPr>
        <w:spacing w:line="360" w:lineRule="auto"/>
        <w:jc w:val="both"/>
        <w:rPr>
          <w:rFonts w:cs="David"/>
          <w:sz w:val="28"/>
          <w:szCs w:val="28"/>
          <w:rtl/>
        </w:rPr>
      </w:pPr>
      <w:r>
        <w:rPr>
          <w:rFonts w:cs="David" w:hint="cs"/>
          <w:sz w:val="28"/>
          <w:szCs w:val="28"/>
          <w:rtl/>
        </w:rPr>
        <w:t>קשיי האכיפה של נורמות ושל חוקים מדינתיים בהקשר של המרשתת והחסרונות בהסדרת הפעילות ברשת ב</w:t>
      </w:r>
      <w:r w:rsidR="00D25067">
        <w:rPr>
          <w:rFonts w:cs="David" w:hint="cs"/>
          <w:sz w:val="28"/>
          <w:szCs w:val="28"/>
          <w:rtl/>
        </w:rPr>
        <w:t xml:space="preserve">אמצעות </w:t>
      </w:r>
      <w:r>
        <w:rPr>
          <w:rFonts w:cs="David" w:hint="cs"/>
          <w:sz w:val="28"/>
          <w:szCs w:val="28"/>
          <w:rtl/>
        </w:rPr>
        <w:t>חקיקה</w:t>
      </w:r>
      <w:r w:rsidR="008264EB">
        <w:rPr>
          <w:rFonts w:cs="David" w:hint="cs"/>
          <w:sz w:val="28"/>
          <w:szCs w:val="28"/>
          <w:rtl/>
        </w:rPr>
        <w:t>,</w:t>
      </w:r>
      <w:r>
        <w:rPr>
          <w:rFonts w:cs="David" w:hint="cs"/>
          <w:sz w:val="28"/>
          <w:szCs w:val="28"/>
          <w:rtl/>
        </w:rPr>
        <w:t xml:space="preserve"> הביאו את החוקרים ל</w:t>
      </w:r>
      <w:r w:rsidR="00D25067">
        <w:rPr>
          <w:rFonts w:cs="David" w:hint="cs"/>
          <w:sz w:val="28"/>
          <w:szCs w:val="28"/>
          <w:rtl/>
        </w:rPr>
        <w:t>דון ב</w:t>
      </w:r>
      <w:r>
        <w:rPr>
          <w:rFonts w:cs="David" w:hint="cs"/>
          <w:sz w:val="28"/>
          <w:szCs w:val="28"/>
          <w:rtl/>
        </w:rPr>
        <w:t>חלופות להסדרה חקיקתית</w:t>
      </w:r>
      <w:r w:rsidR="00975E9A">
        <w:rPr>
          <w:rFonts w:cs="David" w:hint="cs"/>
          <w:sz w:val="28"/>
          <w:szCs w:val="28"/>
          <w:rtl/>
        </w:rPr>
        <w:t>,</w:t>
      </w:r>
      <w:r>
        <w:rPr>
          <w:rFonts w:cs="David" w:hint="cs"/>
          <w:sz w:val="28"/>
          <w:szCs w:val="28"/>
          <w:rtl/>
        </w:rPr>
        <w:t xml:space="preserve"> מדינתית</w:t>
      </w:r>
      <w:r w:rsidR="00C82AE1">
        <w:rPr>
          <w:rFonts w:cs="David" w:hint="cs"/>
          <w:sz w:val="28"/>
          <w:szCs w:val="28"/>
          <w:rtl/>
        </w:rPr>
        <w:t xml:space="preserve"> של המרשתת</w:t>
      </w:r>
      <w:r w:rsidR="00430CCF">
        <w:rPr>
          <w:rFonts w:cs="David" w:hint="cs"/>
          <w:sz w:val="28"/>
          <w:szCs w:val="28"/>
          <w:rtl/>
        </w:rPr>
        <w:t xml:space="preserve">. </w:t>
      </w:r>
      <w:r w:rsidR="00657C82">
        <w:rPr>
          <w:rFonts w:cs="David" w:hint="cs"/>
          <w:sz w:val="28"/>
          <w:szCs w:val="28"/>
          <w:rtl/>
        </w:rPr>
        <w:t>בהסדרה הכוונה אינה דווקא לנורמות משפטיות, אלא לכל אמצעי המסייע לה</w:t>
      </w:r>
      <w:r w:rsidR="00975E9A">
        <w:rPr>
          <w:rFonts w:cs="David" w:hint="cs"/>
          <w:sz w:val="28"/>
          <w:szCs w:val="28"/>
          <w:rtl/>
        </w:rPr>
        <w:t>גיע אל</w:t>
      </w:r>
      <w:r w:rsidR="00657C82">
        <w:rPr>
          <w:rFonts w:cs="David" w:hint="cs"/>
          <w:sz w:val="28"/>
          <w:szCs w:val="28"/>
          <w:rtl/>
        </w:rPr>
        <w:t xml:space="preserve"> המטרה שאותה מעוניינים להשיג </w:t>
      </w:r>
      <w:r w:rsidR="00657C82">
        <w:rPr>
          <w:rFonts w:cs="David"/>
          <w:sz w:val="28"/>
          <w:szCs w:val="28"/>
          <w:rtl/>
        </w:rPr>
        <w:t>–</w:t>
      </w:r>
      <w:r w:rsidR="00657C82">
        <w:rPr>
          <w:rFonts w:cs="David" w:hint="cs"/>
          <w:sz w:val="28"/>
          <w:szCs w:val="28"/>
          <w:rtl/>
        </w:rPr>
        <w:t xml:space="preserve"> הרתעה מביצוע עבירות ברשת. </w:t>
      </w:r>
      <w:r w:rsidR="00430CCF">
        <w:rPr>
          <w:rFonts w:cs="David" w:hint="cs"/>
          <w:sz w:val="28"/>
          <w:szCs w:val="28"/>
          <w:rtl/>
        </w:rPr>
        <w:t>הפתרון המרכזי ש</w:t>
      </w:r>
      <w:r w:rsidR="00975E9A">
        <w:rPr>
          <w:rFonts w:cs="David" w:hint="cs"/>
          <w:sz w:val="28"/>
          <w:szCs w:val="28"/>
          <w:rtl/>
        </w:rPr>
        <w:t xml:space="preserve">עשוי </w:t>
      </w:r>
      <w:r w:rsidR="00430CCF">
        <w:rPr>
          <w:rFonts w:cs="David" w:hint="cs"/>
          <w:sz w:val="28"/>
          <w:szCs w:val="28"/>
          <w:rtl/>
        </w:rPr>
        <w:t>להסדיר במידה מסוימת את הפעילות ברשת הוא הסדרה פרטית לצד חקיקה שתתמוך בהסדרה כזו ותסייע לה.</w:t>
      </w:r>
      <w:r w:rsidR="00430CCF">
        <w:rPr>
          <w:rStyle w:val="a5"/>
          <w:rFonts w:cs="David"/>
          <w:sz w:val="28"/>
          <w:szCs w:val="28"/>
          <w:rtl/>
        </w:rPr>
        <w:footnoteReference w:id="201"/>
      </w:r>
      <w:r w:rsidR="00C82AE1">
        <w:rPr>
          <w:rFonts w:cs="David" w:hint="cs"/>
          <w:sz w:val="28"/>
          <w:szCs w:val="28"/>
          <w:rtl/>
        </w:rPr>
        <w:t>ה</w:t>
      </w:r>
      <w:r w:rsidR="00430CCF">
        <w:rPr>
          <w:rFonts w:cs="David" w:hint="cs"/>
          <w:sz w:val="28"/>
          <w:szCs w:val="28"/>
          <w:rtl/>
        </w:rPr>
        <w:t>סעיף הבא ידון בחלופה מרכזית זו.</w:t>
      </w:r>
      <w:r>
        <w:rPr>
          <w:rFonts w:cs="David" w:hint="cs"/>
          <w:sz w:val="28"/>
          <w:szCs w:val="28"/>
          <w:rtl/>
        </w:rPr>
        <w:t xml:space="preserve"> </w:t>
      </w:r>
    </w:p>
    <w:p w:rsidR="00D326E7" w:rsidRDefault="00587829" w:rsidP="00F03C5D">
      <w:pPr>
        <w:spacing w:line="360" w:lineRule="auto"/>
        <w:ind w:left="283"/>
        <w:jc w:val="both"/>
        <w:rPr>
          <w:rFonts w:cs="David"/>
          <w:sz w:val="28"/>
          <w:szCs w:val="28"/>
          <w:rtl/>
        </w:rPr>
      </w:pPr>
      <w:r w:rsidRPr="00587829">
        <w:rPr>
          <w:rFonts w:cs="David" w:hint="cs"/>
          <w:b/>
          <w:bCs/>
          <w:sz w:val="28"/>
          <w:szCs w:val="28"/>
          <w:rtl/>
        </w:rPr>
        <w:t>ד.2.1 הסדרה פרטית</w:t>
      </w:r>
    </w:p>
    <w:p w:rsidR="00C80269" w:rsidRDefault="00C80269" w:rsidP="00D31C84">
      <w:pPr>
        <w:spacing w:line="360" w:lineRule="auto"/>
        <w:ind w:left="283"/>
        <w:jc w:val="both"/>
        <w:rPr>
          <w:rFonts w:cs="David"/>
          <w:sz w:val="28"/>
          <w:szCs w:val="28"/>
          <w:rtl/>
        </w:rPr>
      </w:pPr>
      <w:r>
        <w:rPr>
          <w:rFonts w:cs="David" w:hint="cs"/>
          <w:sz w:val="28"/>
          <w:szCs w:val="28"/>
          <w:rtl/>
        </w:rPr>
        <w:t>לעיתים בוחר המשפט להישאר מחוץ לזירה ומ</w:t>
      </w:r>
      <w:r w:rsidR="00D31C84">
        <w:rPr>
          <w:rFonts w:cs="David" w:hint="cs"/>
          <w:sz w:val="28"/>
          <w:szCs w:val="28"/>
          <w:rtl/>
        </w:rPr>
        <w:t>ותי</w:t>
      </w:r>
      <w:r>
        <w:rPr>
          <w:rFonts w:cs="David" w:hint="cs"/>
          <w:sz w:val="28"/>
          <w:szCs w:val="28"/>
          <w:rtl/>
        </w:rPr>
        <w:t>ר אותה לשחקנים הפרטיים. הרצון להסדיר פעילויות מסוימות, תוך הימנעות מהתערבות בשוק, יוצר חלל רגולטורי ואין זה מפתיע, טוען בירנהק, שיש מי שמבקש למלא אותו. בדרך כלל, יהיו אלו השחקנים הפועלים בשוק הרלוונטי, שיבקשו לקבוע את 'כללי המשחק' ויעדיפו לעשות זאת בעצמם. יש להניח, הוא מוסיף, כי השחקנים מכירים את השוק טוב מאחרים וברור, כי מבחינתם עדיפה החלטתם שלהן על פני החלטה חיצונית של כללים על ידי המדינה ומוסדותיה.</w:t>
      </w:r>
      <w:r>
        <w:rPr>
          <w:rStyle w:val="a5"/>
          <w:rFonts w:cs="David"/>
          <w:sz w:val="28"/>
          <w:szCs w:val="28"/>
          <w:rtl/>
        </w:rPr>
        <w:footnoteReference w:id="202"/>
      </w:r>
      <w:r>
        <w:rPr>
          <w:rFonts w:cs="David" w:hint="cs"/>
          <w:sz w:val="28"/>
          <w:szCs w:val="28"/>
          <w:rtl/>
        </w:rPr>
        <w:t xml:space="preserve">הכללים שהם קובעים לעצמם הם הסדרה פרטית: כללי התנהגות, אתיקה, טכנולוגיית אכיפה ועוד. </w:t>
      </w:r>
      <w:r w:rsidRPr="00F77DD5">
        <w:rPr>
          <w:rFonts w:cs="David" w:hint="cs"/>
          <w:b/>
          <w:bCs/>
          <w:sz w:val="28"/>
          <w:szCs w:val="28"/>
          <w:rtl/>
        </w:rPr>
        <w:t>כדי שההסדרה הפרטית תהיה אפקטיבית, יש צורך</w:t>
      </w:r>
      <w:r>
        <w:rPr>
          <w:rFonts w:cs="David" w:hint="cs"/>
          <w:sz w:val="28"/>
          <w:szCs w:val="28"/>
          <w:rtl/>
        </w:rPr>
        <w:t xml:space="preserve"> </w:t>
      </w:r>
      <w:r w:rsidRPr="00BC4087">
        <w:rPr>
          <w:rFonts w:cs="David" w:hint="cs"/>
          <w:b/>
          <w:bCs/>
          <w:sz w:val="28"/>
          <w:szCs w:val="28"/>
          <w:rtl/>
        </w:rPr>
        <w:t xml:space="preserve">במנגנון אכיפה יעיל ובמסגרת של תמריצים </w:t>
      </w:r>
      <w:r w:rsidRPr="00BC4087">
        <w:rPr>
          <w:rFonts w:cs="David"/>
          <w:b/>
          <w:bCs/>
          <w:sz w:val="28"/>
          <w:szCs w:val="28"/>
          <w:rtl/>
        </w:rPr>
        <w:t>–</w:t>
      </w:r>
      <w:r w:rsidRPr="00BC4087">
        <w:rPr>
          <w:rFonts w:cs="David" w:hint="cs"/>
          <w:b/>
          <w:bCs/>
          <w:sz w:val="28"/>
          <w:szCs w:val="28"/>
          <w:rtl/>
        </w:rPr>
        <w:t xml:space="preserve"> "שילוב של גזרים ומקלות"</w:t>
      </w:r>
      <w:r w:rsidR="00F77DD5">
        <w:rPr>
          <w:rFonts w:cs="David" w:hint="cs"/>
          <w:b/>
          <w:bCs/>
          <w:sz w:val="28"/>
          <w:szCs w:val="28"/>
          <w:rtl/>
        </w:rPr>
        <w:t>.</w:t>
      </w:r>
      <w:r>
        <w:rPr>
          <w:rStyle w:val="a5"/>
          <w:rFonts w:cs="David"/>
          <w:sz w:val="28"/>
          <w:szCs w:val="28"/>
          <w:rtl/>
        </w:rPr>
        <w:footnoteReference w:id="203"/>
      </w:r>
      <w:r>
        <w:rPr>
          <w:rFonts w:cs="David" w:hint="cs"/>
          <w:sz w:val="28"/>
          <w:szCs w:val="28"/>
          <w:rtl/>
        </w:rPr>
        <w:t xml:space="preserve"> </w:t>
      </w:r>
    </w:p>
    <w:p w:rsidR="003225B0" w:rsidRDefault="00C80269" w:rsidP="00D31C84">
      <w:pPr>
        <w:spacing w:line="360" w:lineRule="auto"/>
        <w:ind w:left="283"/>
        <w:jc w:val="both"/>
        <w:rPr>
          <w:rFonts w:cs="David"/>
          <w:sz w:val="28"/>
          <w:szCs w:val="28"/>
          <w:shd w:val="clear" w:color="auto" w:fill="FFFF00"/>
          <w:rtl/>
        </w:rPr>
      </w:pPr>
      <w:r w:rsidRPr="009B3061">
        <w:rPr>
          <w:rFonts w:cs="David" w:hint="cs"/>
          <w:sz w:val="28"/>
          <w:szCs w:val="28"/>
          <w:rtl/>
        </w:rPr>
        <w:t>מובן שההסדרה הפרטית אינה בלתי-מוגבלת. היא נתחמת על ידי ההסדרה</w:t>
      </w:r>
      <w:r>
        <w:rPr>
          <w:rFonts w:cs="David" w:hint="cs"/>
          <w:sz w:val="28"/>
          <w:szCs w:val="28"/>
          <w:rtl/>
        </w:rPr>
        <w:t xml:space="preserve"> הציבורית הקובעת עקרונות כלליים. </w:t>
      </w:r>
      <w:r w:rsidRPr="00CA3EA1">
        <w:rPr>
          <w:rFonts w:cs="David" w:hint="cs"/>
          <w:sz w:val="28"/>
          <w:szCs w:val="28"/>
          <w:rtl/>
        </w:rPr>
        <w:t>אם הדין הכללי מגביל נושא מסוים,</w:t>
      </w:r>
      <w:r w:rsidRPr="00541CE4">
        <w:rPr>
          <w:rFonts w:cs="David" w:hint="cs"/>
          <w:b/>
          <w:bCs/>
          <w:sz w:val="28"/>
          <w:szCs w:val="28"/>
          <w:rtl/>
        </w:rPr>
        <w:t xml:space="preserve"> הרי שההסדרה הפרטית איננה יכולה להכשירו</w:t>
      </w:r>
      <w:r>
        <w:rPr>
          <w:rFonts w:cs="David" w:hint="cs"/>
          <w:sz w:val="28"/>
          <w:szCs w:val="28"/>
          <w:rtl/>
        </w:rPr>
        <w:t xml:space="preserve">. השחקנים במרשתת גם אינם צריכים לקבוע מה שממילא אסור בדין הכללי. </w:t>
      </w:r>
      <w:r w:rsidRPr="009B3061">
        <w:rPr>
          <w:rFonts w:cs="David" w:hint="cs"/>
          <w:b/>
          <w:bCs/>
          <w:sz w:val="28"/>
          <w:szCs w:val="28"/>
          <w:rtl/>
        </w:rPr>
        <w:t>כך למשל, אם הדין הכללי אוסר הסתה לגזענות, אין צורך שההסדרה הפרטית תחזור על קביעה זו</w:t>
      </w:r>
      <w:r>
        <w:rPr>
          <w:rFonts w:cs="David" w:hint="cs"/>
          <w:sz w:val="28"/>
          <w:szCs w:val="28"/>
          <w:rtl/>
        </w:rPr>
        <w:t xml:space="preserve">. לפיכך, </w:t>
      </w:r>
      <w:r w:rsidRPr="007C2F58">
        <w:rPr>
          <w:rFonts w:cs="David" w:hint="cs"/>
          <w:sz w:val="28"/>
          <w:szCs w:val="28"/>
          <w:rtl/>
        </w:rPr>
        <w:t>מרחב התמרון של השחקנים במרשתת הוא</w:t>
      </w:r>
      <w:r w:rsidRPr="00C421C7">
        <w:rPr>
          <w:rFonts w:cs="David" w:hint="cs"/>
          <w:b/>
          <w:bCs/>
          <w:sz w:val="28"/>
          <w:szCs w:val="28"/>
          <w:rtl/>
        </w:rPr>
        <w:t xml:space="preserve"> לקבוע כללים במקום שהדין הכללי שותק לגביו וכאשר הוא איננו אוסר פעילות.</w:t>
      </w:r>
      <w:r w:rsidR="00DB00C5">
        <w:rPr>
          <w:rFonts w:cs="David" w:hint="cs"/>
          <w:b/>
          <w:bCs/>
          <w:sz w:val="28"/>
          <w:szCs w:val="28"/>
          <w:rtl/>
        </w:rPr>
        <w:t xml:space="preserve"> </w:t>
      </w:r>
      <w:r w:rsidR="00963AE7" w:rsidRPr="00D31C84">
        <w:rPr>
          <w:rFonts w:cs="David" w:hint="cs"/>
          <w:sz w:val="28"/>
          <w:szCs w:val="28"/>
          <w:rtl/>
        </w:rPr>
        <w:t xml:space="preserve">למשל, </w:t>
      </w:r>
      <w:r w:rsidR="003C6108" w:rsidRPr="00D31C84">
        <w:rPr>
          <w:rFonts w:cs="David" w:hint="cs"/>
          <w:b/>
          <w:bCs/>
          <w:sz w:val="28"/>
          <w:szCs w:val="28"/>
          <w:rtl/>
        </w:rPr>
        <w:t xml:space="preserve">התבטאויות </w:t>
      </w:r>
      <w:r w:rsidR="00963AE7" w:rsidRPr="00D31C84">
        <w:rPr>
          <w:rFonts w:cs="David" w:hint="cs"/>
          <w:b/>
          <w:bCs/>
          <w:sz w:val="28"/>
          <w:szCs w:val="28"/>
          <w:rtl/>
        </w:rPr>
        <w:t>גזעני</w:t>
      </w:r>
      <w:r w:rsidR="003C6108" w:rsidRPr="00D31C84">
        <w:rPr>
          <w:rFonts w:cs="David" w:hint="cs"/>
          <w:b/>
          <w:bCs/>
          <w:sz w:val="28"/>
          <w:szCs w:val="28"/>
          <w:rtl/>
        </w:rPr>
        <w:t>ות</w:t>
      </w:r>
      <w:r w:rsidR="003E0E45" w:rsidRPr="00D31C84">
        <w:rPr>
          <w:rFonts w:cs="David" w:hint="cs"/>
          <w:sz w:val="28"/>
          <w:szCs w:val="28"/>
          <w:rtl/>
        </w:rPr>
        <w:t xml:space="preserve"> גרידא, </w:t>
      </w:r>
      <w:r w:rsidR="00C308A2" w:rsidRPr="00D31C84">
        <w:rPr>
          <w:rFonts w:cs="David" w:hint="cs"/>
          <w:sz w:val="28"/>
          <w:szCs w:val="28"/>
          <w:rtl/>
        </w:rPr>
        <w:t>שאינן אסורות בפני עצמן ב</w:t>
      </w:r>
      <w:r w:rsidR="003E0E45" w:rsidRPr="00D31C84">
        <w:rPr>
          <w:rFonts w:cs="David" w:hint="cs"/>
          <w:sz w:val="28"/>
          <w:szCs w:val="28"/>
          <w:rtl/>
        </w:rPr>
        <w:t>סימן א1 ל</w:t>
      </w:r>
      <w:r w:rsidR="00C308A2" w:rsidRPr="00D31C84">
        <w:rPr>
          <w:rFonts w:cs="David" w:hint="cs"/>
          <w:sz w:val="28"/>
          <w:szCs w:val="28"/>
          <w:rtl/>
        </w:rPr>
        <w:t>חוק</w:t>
      </w:r>
      <w:r w:rsidR="003E0E45" w:rsidRPr="00D31C84">
        <w:rPr>
          <w:rFonts w:cs="David" w:hint="cs"/>
          <w:sz w:val="28"/>
          <w:szCs w:val="28"/>
          <w:rtl/>
        </w:rPr>
        <w:t xml:space="preserve"> העונשין</w:t>
      </w:r>
      <w:r w:rsidR="00C308A2" w:rsidRPr="00D31C84">
        <w:rPr>
          <w:rFonts w:cs="David" w:hint="cs"/>
          <w:sz w:val="28"/>
          <w:szCs w:val="28"/>
          <w:rtl/>
        </w:rPr>
        <w:t>, אשר</w:t>
      </w:r>
      <w:r w:rsidR="00A77F1C" w:rsidRPr="00D31C84">
        <w:rPr>
          <w:rFonts w:cs="David" w:hint="cs"/>
          <w:sz w:val="28"/>
          <w:szCs w:val="28"/>
          <w:rtl/>
        </w:rPr>
        <w:t xml:space="preserve"> </w:t>
      </w:r>
      <w:r w:rsidR="00925D4A" w:rsidRPr="00D31C84">
        <w:rPr>
          <w:rFonts w:cs="David" w:hint="cs"/>
          <w:sz w:val="28"/>
          <w:szCs w:val="28"/>
          <w:rtl/>
        </w:rPr>
        <w:t xml:space="preserve">מגדיר </w:t>
      </w:r>
      <w:r w:rsidR="004F0FCF" w:rsidRPr="00D31C84">
        <w:rPr>
          <w:rFonts w:cs="David" w:hint="cs"/>
          <w:sz w:val="28"/>
          <w:szCs w:val="28"/>
          <w:rtl/>
        </w:rPr>
        <w:t>כ</w:t>
      </w:r>
      <w:r w:rsidR="00925D4A" w:rsidRPr="00D31C84">
        <w:rPr>
          <w:rFonts w:cs="David" w:hint="cs"/>
          <w:sz w:val="28"/>
          <w:szCs w:val="28"/>
          <w:rtl/>
        </w:rPr>
        <w:t xml:space="preserve">עבירה רק </w:t>
      </w:r>
      <w:r w:rsidR="00AB7C81" w:rsidRPr="00D31C84">
        <w:rPr>
          <w:rFonts w:cs="David" w:hint="cs"/>
          <w:sz w:val="28"/>
          <w:szCs w:val="28"/>
          <w:rtl/>
        </w:rPr>
        <w:t xml:space="preserve">פרסום </w:t>
      </w:r>
      <w:r w:rsidR="00925D4A" w:rsidRPr="00D31C84">
        <w:rPr>
          <w:rFonts w:cs="David" w:hint="cs"/>
          <w:sz w:val="28"/>
          <w:szCs w:val="28"/>
          <w:rtl/>
        </w:rPr>
        <w:t xml:space="preserve">דבר </w:t>
      </w:r>
      <w:r w:rsidR="00AB7C81" w:rsidRPr="00D31C84">
        <w:rPr>
          <w:rFonts w:cs="David" w:hint="cs"/>
          <w:b/>
          <w:bCs/>
          <w:sz w:val="28"/>
          <w:szCs w:val="28"/>
          <w:rtl/>
        </w:rPr>
        <w:t xml:space="preserve">מתוך </w:t>
      </w:r>
      <w:r w:rsidR="003225B0" w:rsidRPr="00D31C84">
        <w:rPr>
          <w:rFonts w:cs="David" w:hint="cs"/>
          <w:b/>
          <w:bCs/>
          <w:sz w:val="28"/>
          <w:szCs w:val="28"/>
          <w:rtl/>
        </w:rPr>
        <w:t>מטרה להסית</w:t>
      </w:r>
      <w:r w:rsidR="00925D4A" w:rsidRPr="00D31C84">
        <w:rPr>
          <w:rFonts w:cs="David" w:hint="cs"/>
          <w:b/>
          <w:bCs/>
          <w:sz w:val="28"/>
          <w:szCs w:val="28"/>
          <w:rtl/>
        </w:rPr>
        <w:t xml:space="preserve"> לגזענות</w:t>
      </w:r>
      <w:r w:rsidR="00A77F1C" w:rsidRPr="00D31C84">
        <w:rPr>
          <w:rFonts w:cs="David" w:hint="cs"/>
          <w:sz w:val="28"/>
          <w:szCs w:val="28"/>
          <w:rtl/>
        </w:rPr>
        <w:t>, כפי שהובא בהרחבה לעיל.</w:t>
      </w:r>
      <w:r w:rsidR="00AF602F" w:rsidRPr="00D31C84">
        <w:rPr>
          <w:rStyle w:val="a5"/>
          <w:rFonts w:cs="David"/>
          <w:sz w:val="28"/>
          <w:szCs w:val="28"/>
          <w:rtl/>
        </w:rPr>
        <w:footnoteReference w:id="204"/>
      </w:r>
    </w:p>
    <w:p w:rsidR="00C80269" w:rsidRDefault="00C80269" w:rsidP="00F03C5D">
      <w:pPr>
        <w:spacing w:line="360" w:lineRule="auto"/>
        <w:ind w:left="283"/>
        <w:jc w:val="both"/>
        <w:rPr>
          <w:rFonts w:cs="David"/>
          <w:sz w:val="28"/>
          <w:szCs w:val="28"/>
          <w:rtl/>
        </w:rPr>
      </w:pPr>
      <w:r>
        <w:rPr>
          <w:rFonts w:cs="David" w:hint="cs"/>
          <w:sz w:val="28"/>
          <w:szCs w:val="28"/>
          <w:rtl/>
        </w:rPr>
        <w:lastRenderedPageBreak/>
        <w:t>תחומים בולטים, שבהם יש ניסיונות להסדרה פרטית הם הגנת הפרטיות וזכויות יוצרים. בעניין אתיקה, ניתן לראות כדוגמה, את החלטת מועצת העיתונות להחיל את סמכותה על 'עיתונים מקוונים'.</w:t>
      </w:r>
      <w:r>
        <w:rPr>
          <w:rStyle w:val="a5"/>
          <w:rFonts w:cs="David"/>
          <w:sz w:val="28"/>
          <w:szCs w:val="28"/>
          <w:rtl/>
        </w:rPr>
        <w:footnoteReference w:id="205"/>
      </w:r>
    </w:p>
    <w:p w:rsidR="00C80269" w:rsidRDefault="00C80269" w:rsidP="00F03C5D">
      <w:pPr>
        <w:spacing w:line="360" w:lineRule="auto"/>
        <w:ind w:left="283"/>
        <w:jc w:val="both"/>
        <w:rPr>
          <w:rFonts w:cs="David"/>
          <w:sz w:val="28"/>
          <w:szCs w:val="28"/>
          <w:rtl/>
        </w:rPr>
      </w:pPr>
      <w:r>
        <w:rPr>
          <w:rFonts w:cs="David" w:hint="cs"/>
          <w:sz w:val="28"/>
          <w:szCs w:val="28"/>
          <w:rtl/>
        </w:rPr>
        <w:t xml:space="preserve">לטענתה של אגמון-גונן, </w:t>
      </w:r>
      <w:r w:rsidRPr="006F3A3C">
        <w:rPr>
          <w:rFonts w:cs="David" w:hint="cs"/>
          <w:b/>
          <w:bCs/>
          <w:sz w:val="28"/>
          <w:szCs w:val="28"/>
          <w:rtl/>
        </w:rPr>
        <w:t>ניתן לראות מגמה של הסדרה פ</w:t>
      </w:r>
      <w:r w:rsidR="00400787">
        <w:rPr>
          <w:rFonts w:cs="David" w:hint="cs"/>
          <w:b/>
          <w:bCs/>
          <w:sz w:val="28"/>
          <w:szCs w:val="28"/>
          <w:rtl/>
        </w:rPr>
        <w:t>רטי</w:t>
      </w:r>
      <w:r w:rsidRPr="006F3A3C">
        <w:rPr>
          <w:rFonts w:cs="David" w:hint="cs"/>
          <w:b/>
          <w:bCs/>
          <w:sz w:val="28"/>
          <w:szCs w:val="28"/>
          <w:rtl/>
        </w:rPr>
        <w:t>ת</w:t>
      </w:r>
      <w:r>
        <w:rPr>
          <w:rFonts w:cs="David" w:hint="cs"/>
          <w:sz w:val="28"/>
          <w:szCs w:val="28"/>
          <w:rtl/>
        </w:rPr>
        <w:t xml:space="preserve"> של נושאים שונים ברשת ומגמה זו נובעת ממספר גורמים: האחד, </w:t>
      </w:r>
      <w:r w:rsidRPr="00A82B4C">
        <w:rPr>
          <w:rFonts w:cs="David" w:hint="cs"/>
          <w:sz w:val="28"/>
          <w:szCs w:val="28"/>
          <w:rtl/>
        </w:rPr>
        <w:t>הוא קשיי האכיפה</w:t>
      </w:r>
      <w:r>
        <w:rPr>
          <w:rFonts w:cs="David" w:hint="cs"/>
          <w:sz w:val="28"/>
          <w:szCs w:val="28"/>
          <w:rtl/>
        </w:rPr>
        <w:t xml:space="preserve"> של הסדרים מדינתיים, כפי שפורט בהרחבה לעיל. השני, הוא </w:t>
      </w:r>
      <w:r w:rsidRPr="00A82B4C">
        <w:rPr>
          <w:rFonts w:cs="David" w:hint="cs"/>
          <w:sz w:val="28"/>
          <w:szCs w:val="28"/>
          <w:rtl/>
        </w:rPr>
        <w:t>חששם של המחוקקים</w:t>
      </w:r>
      <w:r>
        <w:rPr>
          <w:rFonts w:cs="David" w:hint="cs"/>
          <w:sz w:val="28"/>
          <w:szCs w:val="28"/>
          <w:rtl/>
        </w:rPr>
        <w:t xml:space="preserve"> עצמם, בעיקר במדינות דמוקרטיות, לפגוע בגולשים תמימים וביתרונות האנונימיות. השלישי, הכרתם של השחקנים השותפים ברשת בכך שאין לאפשר שימוש קיצוני לרעה ברשת. הרביעי, חששם של המעורבים ברשת כי היעדר הסדרה פרטית יוביל לאכיפה מדינתית, שבסופו של יום תפגע ברשת ובהם. החמישי, הוא השיקול הכלכלי שהינו תוצר לוואי של הגורם הרביעי - החשש כי פרסום של אכיפה מדינתית כנגד הספקית ופרסום מדיניותה עלולה לפגוע ברווחיות של החברה.</w:t>
      </w:r>
      <w:r>
        <w:rPr>
          <w:rStyle w:val="a5"/>
          <w:rFonts w:cs="David"/>
          <w:sz w:val="28"/>
          <w:szCs w:val="28"/>
          <w:rtl/>
        </w:rPr>
        <w:footnoteReference w:id="206"/>
      </w:r>
    </w:p>
    <w:p w:rsidR="003102EB" w:rsidRDefault="00C80269" w:rsidP="00E3348C">
      <w:pPr>
        <w:spacing w:line="360" w:lineRule="auto"/>
        <w:ind w:left="283"/>
        <w:jc w:val="both"/>
        <w:rPr>
          <w:rFonts w:cs="David"/>
          <w:sz w:val="28"/>
          <w:szCs w:val="28"/>
          <w:rtl/>
        </w:rPr>
      </w:pPr>
      <w:r>
        <w:rPr>
          <w:rFonts w:cs="David" w:hint="cs"/>
          <w:sz w:val="28"/>
          <w:szCs w:val="28"/>
          <w:rtl/>
        </w:rPr>
        <w:t xml:space="preserve">מוסיפה אגמן-גונן וטוענת כי </w:t>
      </w:r>
      <w:r w:rsidRPr="000813CD">
        <w:rPr>
          <w:rFonts w:cs="David" w:hint="cs"/>
          <w:b/>
          <w:bCs/>
          <w:sz w:val="28"/>
          <w:szCs w:val="28"/>
          <w:rtl/>
        </w:rPr>
        <w:t>על המדינות לאמץ גישה של הסדרה פרטית ברשת</w:t>
      </w:r>
      <w:r>
        <w:rPr>
          <w:rFonts w:cs="David" w:hint="cs"/>
          <w:sz w:val="28"/>
          <w:szCs w:val="28"/>
          <w:rtl/>
        </w:rPr>
        <w:t xml:space="preserve">. על המחוקק להכיר בטבעה הייחודי של הרשת ובכך שהתחרות והבחירה של המשתמשים באתרים ישמשו כבלמים גם לעבירות ולעוולות שברשת. לפיכך, </w:t>
      </w:r>
      <w:r w:rsidRPr="00526101">
        <w:rPr>
          <w:rFonts w:cs="David" w:hint="cs"/>
          <w:b/>
          <w:bCs/>
          <w:sz w:val="28"/>
          <w:szCs w:val="28"/>
          <w:rtl/>
        </w:rPr>
        <w:t xml:space="preserve">על המדינות לאמץ חקיקה המאפשרת להסדרה </w:t>
      </w:r>
      <w:r>
        <w:rPr>
          <w:rFonts w:cs="David" w:hint="cs"/>
          <w:b/>
          <w:bCs/>
          <w:sz w:val="28"/>
          <w:szCs w:val="28"/>
          <w:rtl/>
        </w:rPr>
        <w:t>ה</w:t>
      </w:r>
      <w:r w:rsidRPr="00526101">
        <w:rPr>
          <w:rFonts w:cs="David" w:hint="cs"/>
          <w:b/>
          <w:bCs/>
          <w:sz w:val="28"/>
          <w:szCs w:val="28"/>
          <w:rtl/>
        </w:rPr>
        <w:t>פרטית לפעול ביעילות</w:t>
      </w:r>
      <w:r>
        <w:rPr>
          <w:rFonts w:cs="David" w:hint="cs"/>
          <w:sz w:val="28"/>
          <w:szCs w:val="28"/>
          <w:rtl/>
        </w:rPr>
        <w:t xml:space="preserve"> ולא להותיר לרשת את האפשרות להסדרה פרטית מוחלטת ללא כל התערבות חקיקתית.</w:t>
      </w:r>
      <w:r>
        <w:rPr>
          <w:rStyle w:val="a5"/>
          <w:rFonts w:cs="David"/>
          <w:sz w:val="28"/>
          <w:szCs w:val="28"/>
          <w:rtl/>
        </w:rPr>
        <w:footnoteReference w:id="207"/>
      </w:r>
      <w:r>
        <w:rPr>
          <w:rFonts w:cs="David" w:hint="cs"/>
          <w:sz w:val="28"/>
          <w:szCs w:val="28"/>
          <w:rtl/>
        </w:rPr>
        <w:t xml:space="preserve"> בכך מתכוונת אגמון-גונן ל</w:t>
      </w:r>
      <w:r w:rsidRPr="00D459E9">
        <w:rPr>
          <w:rFonts w:cs="David" w:hint="cs"/>
          <w:b/>
          <w:bCs/>
          <w:sz w:val="28"/>
          <w:szCs w:val="28"/>
          <w:rtl/>
        </w:rPr>
        <w:t xml:space="preserve">חקיקה </w:t>
      </w:r>
      <w:r w:rsidRPr="00570222">
        <w:rPr>
          <w:rFonts w:cs="David" w:hint="cs"/>
          <w:b/>
          <w:bCs/>
          <w:sz w:val="28"/>
          <w:szCs w:val="28"/>
          <w:rtl/>
        </w:rPr>
        <w:t>המסדירה את אחריותם של ספקי שירותי המרשתת לאמץ כללי התנהגות מסוימים</w:t>
      </w:r>
      <w:r>
        <w:rPr>
          <w:rFonts w:cs="David" w:hint="cs"/>
          <w:b/>
          <w:bCs/>
          <w:sz w:val="28"/>
          <w:szCs w:val="28"/>
          <w:rtl/>
        </w:rPr>
        <w:t>,</w:t>
      </w:r>
      <w:r>
        <w:rPr>
          <w:rFonts w:cs="David" w:hint="cs"/>
          <w:sz w:val="28"/>
          <w:szCs w:val="28"/>
          <w:rtl/>
        </w:rPr>
        <w:t xml:space="preserve"> </w:t>
      </w:r>
      <w:r w:rsidRPr="009B3061">
        <w:rPr>
          <w:rFonts w:cs="David" w:hint="cs"/>
          <w:sz w:val="28"/>
          <w:szCs w:val="28"/>
          <w:rtl/>
        </w:rPr>
        <w:t>המחייבת ספקים לשמור על מידע והמסדירה את האפשרויות העומדות לרשות הגולשים בעת פנייה לספקים</w:t>
      </w:r>
      <w:r>
        <w:rPr>
          <w:rFonts w:cs="David" w:hint="cs"/>
          <w:sz w:val="28"/>
          <w:szCs w:val="28"/>
          <w:rtl/>
        </w:rPr>
        <w:t>.</w:t>
      </w:r>
    </w:p>
    <w:p w:rsidR="00424E46" w:rsidRDefault="00C80269" w:rsidP="00F03C5D">
      <w:pPr>
        <w:spacing w:line="360" w:lineRule="auto"/>
        <w:ind w:left="283"/>
        <w:jc w:val="both"/>
        <w:rPr>
          <w:rFonts w:cs="David"/>
          <w:sz w:val="28"/>
          <w:szCs w:val="28"/>
          <w:rtl/>
        </w:rPr>
      </w:pPr>
      <w:r>
        <w:rPr>
          <w:rFonts w:cs="David" w:hint="cs"/>
          <w:sz w:val="28"/>
          <w:szCs w:val="28"/>
          <w:rtl/>
        </w:rPr>
        <w:t xml:space="preserve">לטעמה, חקיקה כזו </w:t>
      </w:r>
      <w:r w:rsidRPr="004910FB">
        <w:rPr>
          <w:rFonts w:cs="David" w:hint="cs"/>
          <w:b/>
          <w:bCs/>
          <w:sz w:val="28"/>
          <w:szCs w:val="28"/>
          <w:rtl/>
        </w:rPr>
        <w:t>ישימה וניתן לאמצה</w:t>
      </w:r>
      <w:r>
        <w:rPr>
          <w:rFonts w:cs="David" w:hint="cs"/>
          <w:sz w:val="28"/>
          <w:szCs w:val="28"/>
          <w:rtl/>
        </w:rPr>
        <w:t xml:space="preserve">, מכיוון שעסקינן בספקי מרשתת מקומיים </w:t>
      </w:r>
      <w:r w:rsidRPr="009B3061">
        <w:rPr>
          <w:rFonts w:cs="David" w:hint="cs"/>
          <w:b/>
          <w:bCs/>
          <w:sz w:val="28"/>
          <w:szCs w:val="28"/>
          <w:rtl/>
        </w:rPr>
        <w:t>והיא אינה מתערבת בתכנים עצמם ואינה משפיעה על הפגיעה בחופש הביטוי</w:t>
      </w:r>
      <w:r>
        <w:rPr>
          <w:rFonts w:cs="David" w:hint="cs"/>
          <w:sz w:val="28"/>
          <w:szCs w:val="28"/>
          <w:rtl/>
        </w:rPr>
        <w:t xml:space="preserve"> או על צמצום התוכן שהינו בחזקת נחלת הכלל.</w:t>
      </w:r>
      <w:r>
        <w:rPr>
          <w:rStyle w:val="a5"/>
          <w:rFonts w:cs="David"/>
          <w:sz w:val="28"/>
          <w:szCs w:val="28"/>
          <w:rtl/>
        </w:rPr>
        <w:footnoteReference w:id="208"/>
      </w:r>
      <w:r>
        <w:rPr>
          <w:rFonts w:cs="David" w:hint="cs"/>
          <w:sz w:val="28"/>
          <w:szCs w:val="28"/>
          <w:rtl/>
        </w:rPr>
        <w:t xml:space="preserve"> </w:t>
      </w:r>
    </w:p>
    <w:p w:rsidR="00881AA8" w:rsidRDefault="00C80269" w:rsidP="00F03C5D">
      <w:pPr>
        <w:spacing w:line="360" w:lineRule="auto"/>
        <w:ind w:left="283"/>
        <w:jc w:val="both"/>
        <w:rPr>
          <w:rFonts w:cs="David"/>
          <w:sz w:val="28"/>
          <w:szCs w:val="28"/>
          <w:rtl/>
        </w:rPr>
      </w:pPr>
      <w:r>
        <w:rPr>
          <w:rFonts w:cs="David" w:hint="cs"/>
          <w:sz w:val="28"/>
          <w:szCs w:val="28"/>
          <w:rtl/>
        </w:rPr>
        <w:t xml:space="preserve">ראוי להתעכב בקצרה על נושא האחריות של </w:t>
      </w:r>
      <w:r w:rsidR="00D16C8D">
        <w:rPr>
          <w:rFonts w:cs="David" w:hint="cs"/>
          <w:sz w:val="28"/>
          <w:szCs w:val="28"/>
          <w:rtl/>
        </w:rPr>
        <w:t>בעלי האתרים ו</w:t>
      </w:r>
      <w:r>
        <w:rPr>
          <w:rFonts w:cs="David" w:hint="cs"/>
          <w:sz w:val="28"/>
          <w:szCs w:val="28"/>
          <w:rtl/>
        </w:rPr>
        <w:t>ספקיות השירות והמרשתת</w:t>
      </w:r>
      <w:r w:rsidR="00424E46">
        <w:rPr>
          <w:rFonts w:cs="David" w:hint="cs"/>
          <w:sz w:val="28"/>
          <w:szCs w:val="28"/>
          <w:rtl/>
        </w:rPr>
        <w:t>, בגין תכנים המופצים ברשת בעלי אופי מזיק</w:t>
      </w:r>
      <w:r w:rsidR="00B9134E">
        <w:rPr>
          <w:rFonts w:cs="David" w:hint="cs"/>
          <w:sz w:val="28"/>
          <w:szCs w:val="28"/>
          <w:rtl/>
        </w:rPr>
        <w:t>. ה</w:t>
      </w:r>
      <w:r w:rsidR="00881AA8">
        <w:rPr>
          <w:rFonts w:cs="David" w:hint="cs"/>
          <w:sz w:val="28"/>
          <w:szCs w:val="28"/>
          <w:rtl/>
        </w:rPr>
        <w:t>שאלה המורכבת, שמציגה אלקין-קורן,</w:t>
      </w:r>
      <w:r w:rsidR="00881AA8">
        <w:rPr>
          <w:rStyle w:val="a5"/>
          <w:rFonts w:cs="David"/>
          <w:sz w:val="28"/>
          <w:szCs w:val="28"/>
          <w:rtl/>
        </w:rPr>
        <w:footnoteReference w:id="209"/>
      </w:r>
      <w:r w:rsidR="00881AA8">
        <w:rPr>
          <w:rFonts w:cs="David" w:hint="cs"/>
          <w:sz w:val="28"/>
          <w:szCs w:val="28"/>
          <w:rtl/>
        </w:rPr>
        <w:t xml:space="preserve"> היא האם לצד האחריות של המזיק הישיר </w:t>
      </w:r>
      <w:r w:rsidR="00962E9B" w:rsidRPr="00E3348C">
        <w:rPr>
          <w:rFonts w:cs="David" w:hint="cs"/>
          <w:sz w:val="28"/>
          <w:szCs w:val="28"/>
          <w:rtl/>
        </w:rPr>
        <w:t xml:space="preserve">- </w:t>
      </w:r>
      <w:r w:rsidR="00881AA8" w:rsidRPr="00E3348C">
        <w:rPr>
          <w:rFonts w:cs="David" w:hint="cs"/>
          <w:sz w:val="28"/>
          <w:szCs w:val="28"/>
          <w:rtl/>
        </w:rPr>
        <w:t>למשל</w:t>
      </w:r>
      <w:r w:rsidR="00424E46" w:rsidRPr="00E3348C">
        <w:rPr>
          <w:rFonts w:cs="David" w:hint="cs"/>
          <w:sz w:val="28"/>
          <w:szCs w:val="28"/>
          <w:rtl/>
        </w:rPr>
        <w:t>,</w:t>
      </w:r>
      <w:r w:rsidR="00881AA8" w:rsidRPr="00E3348C">
        <w:rPr>
          <w:rFonts w:cs="David" w:hint="cs"/>
          <w:sz w:val="28"/>
          <w:szCs w:val="28"/>
          <w:rtl/>
        </w:rPr>
        <w:t xml:space="preserve"> </w:t>
      </w:r>
      <w:r w:rsidR="00881AA8" w:rsidRPr="00E3348C">
        <w:rPr>
          <w:rFonts w:cs="David" w:hint="cs"/>
          <w:sz w:val="28"/>
          <w:szCs w:val="28"/>
          <w:rtl/>
        </w:rPr>
        <w:lastRenderedPageBreak/>
        <w:t>המסית לגזענות או לאלימות, אשר התבטא ברשת באופן</w:t>
      </w:r>
      <w:r w:rsidR="00424E46" w:rsidRPr="00E3348C">
        <w:rPr>
          <w:rFonts w:cs="David" w:hint="cs"/>
          <w:sz w:val="28"/>
          <w:szCs w:val="28"/>
          <w:rtl/>
        </w:rPr>
        <w:t xml:space="preserve"> </w:t>
      </w:r>
      <w:r w:rsidR="00D13A29" w:rsidRPr="00E3348C">
        <w:rPr>
          <w:rFonts w:cs="David" w:hint="cs"/>
          <w:sz w:val="28"/>
          <w:szCs w:val="28"/>
          <w:rtl/>
        </w:rPr>
        <w:t>פוגע</w:t>
      </w:r>
      <w:r w:rsidR="00962E9B" w:rsidRPr="00E3348C">
        <w:rPr>
          <w:rFonts w:cs="David" w:hint="cs"/>
          <w:sz w:val="28"/>
          <w:szCs w:val="28"/>
          <w:rtl/>
        </w:rPr>
        <w:t xml:space="preserve"> -</w:t>
      </w:r>
      <w:r w:rsidR="00424E46" w:rsidRPr="00E3348C">
        <w:rPr>
          <w:rFonts w:cs="David" w:hint="cs"/>
          <w:sz w:val="28"/>
          <w:szCs w:val="28"/>
          <w:rtl/>
        </w:rPr>
        <w:t xml:space="preserve"> יש</w:t>
      </w:r>
      <w:r w:rsidR="00881AA8">
        <w:rPr>
          <w:rFonts w:cs="David" w:hint="cs"/>
          <w:sz w:val="28"/>
          <w:szCs w:val="28"/>
          <w:rtl/>
        </w:rPr>
        <w:t xml:space="preserve"> להטיל אחריות </w:t>
      </w:r>
      <w:r w:rsidR="00881AA8" w:rsidRPr="00E608F1">
        <w:rPr>
          <w:rFonts w:cs="David" w:hint="cs"/>
          <w:b/>
          <w:bCs/>
          <w:sz w:val="28"/>
          <w:szCs w:val="28"/>
          <w:rtl/>
        </w:rPr>
        <w:t>גם</w:t>
      </w:r>
      <w:r w:rsidR="00881AA8">
        <w:rPr>
          <w:rFonts w:cs="David" w:hint="cs"/>
          <w:sz w:val="28"/>
          <w:szCs w:val="28"/>
          <w:rtl/>
        </w:rPr>
        <w:t xml:space="preserve"> על 'מתווכי התוכן' - בעלי האתרים, מנהלי הפורומים או ספקית המרשתת?</w:t>
      </w:r>
      <w:r w:rsidR="00962E9B">
        <w:rPr>
          <w:rFonts w:cs="David" w:hint="cs"/>
          <w:sz w:val="28"/>
          <w:szCs w:val="28"/>
          <w:rtl/>
        </w:rPr>
        <w:t xml:space="preserve"> </w:t>
      </w:r>
    </w:p>
    <w:p w:rsidR="00881AA8" w:rsidRPr="00C003A4" w:rsidRDefault="00881AA8" w:rsidP="00F03C5D">
      <w:pPr>
        <w:spacing w:line="360" w:lineRule="auto"/>
        <w:ind w:left="283"/>
        <w:jc w:val="both"/>
        <w:rPr>
          <w:rFonts w:cs="David"/>
          <w:sz w:val="28"/>
          <w:szCs w:val="28"/>
          <w:rtl/>
        </w:rPr>
      </w:pPr>
      <w:r>
        <w:rPr>
          <w:rFonts w:cs="David" w:hint="cs"/>
          <w:sz w:val="28"/>
          <w:szCs w:val="28"/>
          <w:rtl/>
        </w:rPr>
        <w:t>אין חולק</w:t>
      </w:r>
      <w:r w:rsidR="00CE0E39">
        <w:rPr>
          <w:rFonts w:cs="David" w:hint="cs"/>
          <w:sz w:val="28"/>
          <w:szCs w:val="28"/>
          <w:rtl/>
        </w:rPr>
        <w:t xml:space="preserve"> על כך</w:t>
      </w:r>
      <w:r>
        <w:rPr>
          <w:rFonts w:cs="David" w:hint="cs"/>
          <w:sz w:val="28"/>
          <w:szCs w:val="28"/>
          <w:rtl/>
        </w:rPr>
        <w:t xml:space="preserve">, </w:t>
      </w:r>
      <w:r w:rsidRPr="002155DC">
        <w:rPr>
          <w:rFonts w:cs="David" w:hint="cs"/>
          <w:sz w:val="28"/>
          <w:szCs w:val="28"/>
          <w:rtl/>
        </w:rPr>
        <w:t xml:space="preserve">בכל הנוגע לספקיות, הן </w:t>
      </w:r>
      <w:r w:rsidRPr="002155DC">
        <w:rPr>
          <w:rFonts w:cs="David" w:hint="cs"/>
          <w:b/>
          <w:bCs/>
          <w:sz w:val="28"/>
          <w:szCs w:val="28"/>
          <w:rtl/>
        </w:rPr>
        <w:t>מהוות כתובת אטרקטיבית לתביעות משפטיות</w:t>
      </w:r>
      <w:r>
        <w:rPr>
          <w:rFonts w:cs="David" w:hint="cs"/>
          <w:sz w:val="28"/>
          <w:szCs w:val="28"/>
          <w:rtl/>
        </w:rPr>
        <w:t>,</w:t>
      </w:r>
      <w:r w:rsidRPr="002155DC">
        <w:rPr>
          <w:rFonts w:cs="David" w:hint="cs"/>
          <w:sz w:val="28"/>
          <w:szCs w:val="28"/>
          <w:rtl/>
        </w:rPr>
        <w:t xml:space="preserve"> בגין הנזק</w:t>
      </w:r>
      <w:r>
        <w:rPr>
          <w:rFonts w:cs="David" w:hint="cs"/>
          <w:sz w:val="28"/>
          <w:szCs w:val="28"/>
          <w:rtl/>
        </w:rPr>
        <w:t xml:space="preserve"> שנגרם </w:t>
      </w:r>
      <w:r w:rsidRPr="00C003A4">
        <w:rPr>
          <w:rFonts w:cs="David" w:hint="cs"/>
          <w:b/>
          <w:bCs/>
          <w:sz w:val="28"/>
          <w:szCs w:val="28"/>
          <w:rtl/>
        </w:rPr>
        <w:t>לאדם כלשהו</w:t>
      </w:r>
      <w:r>
        <w:rPr>
          <w:rFonts w:cs="David" w:hint="cs"/>
          <w:sz w:val="28"/>
          <w:szCs w:val="28"/>
          <w:rtl/>
        </w:rPr>
        <w:t xml:space="preserve"> עקב תוכן שהופץ בידי משתמשים. למשל</w:t>
      </w:r>
      <w:r w:rsidRPr="00C003A4">
        <w:rPr>
          <w:rFonts w:cs="David" w:hint="cs"/>
          <w:sz w:val="28"/>
          <w:szCs w:val="28"/>
          <w:rtl/>
        </w:rPr>
        <w:t>, אזרח ערבי, שנפגע כתוצאה מהסתה ל</w:t>
      </w:r>
      <w:r w:rsidR="00DA40EA" w:rsidRPr="00C003A4">
        <w:rPr>
          <w:rFonts w:cs="David" w:hint="cs"/>
          <w:sz w:val="28"/>
          <w:szCs w:val="28"/>
          <w:rtl/>
        </w:rPr>
        <w:t xml:space="preserve">גזענות או לאלימות </w:t>
      </w:r>
      <w:r w:rsidRPr="00C003A4">
        <w:rPr>
          <w:rFonts w:cs="David" w:hint="cs"/>
          <w:sz w:val="28"/>
          <w:szCs w:val="28"/>
          <w:rtl/>
        </w:rPr>
        <w:t>ברשת שכוונה כנגד המיעוט אליו הוא משתייך.</w:t>
      </w:r>
    </w:p>
    <w:p w:rsidR="00881AA8" w:rsidRDefault="00881AA8" w:rsidP="00CE0E39">
      <w:pPr>
        <w:spacing w:line="360" w:lineRule="auto"/>
        <w:ind w:left="283"/>
        <w:jc w:val="both"/>
        <w:rPr>
          <w:rFonts w:cs="David"/>
          <w:b/>
          <w:bCs/>
          <w:sz w:val="28"/>
          <w:szCs w:val="28"/>
          <w:rtl/>
        </w:rPr>
      </w:pPr>
      <w:r>
        <w:rPr>
          <w:rFonts w:cs="David" w:hint="cs"/>
          <w:sz w:val="28"/>
          <w:szCs w:val="28"/>
          <w:rtl/>
        </w:rPr>
        <w:t>האטרקטיביות הזו נובעת מ</w:t>
      </w:r>
      <w:r w:rsidR="00CE0E39">
        <w:rPr>
          <w:rFonts w:cs="David" w:hint="cs"/>
          <w:sz w:val="28"/>
          <w:szCs w:val="28"/>
          <w:rtl/>
        </w:rPr>
        <w:t>הה</w:t>
      </w:r>
      <w:r>
        <w:rPr>
          <w:rFonts w:cs="David" w:hint="cs"/>
          <w:sz w:val="28"/>
          <w:szCs w:val="28"/>
          <w:rtl/>
        </w:rPr>
        <w:t xml:space="preserve">בנה כי ספקיות המרשתת הן כתובת ברורה, להבדיל מאותו מזיק, אשר לא בהכרח ניתן בכלל לזהותו. </w:t>
      </w:r>
      <w:r w:rsidRPr="00C60862">
        <w:rPr>
          <w:rFonts w:cs="David" w:hint="cs"/>
          <w:b/>
          <w:bCs/>
          <w:sz w:val="28"/>
          <w:szCs w:val="28"/>
          <w:rtl/>
        </w:rPr>
        <w:t>מבחינה כלכלית זול יותר להגיש תביעה נגד ספקית השירות, מאשר נגד המשתמש אשר ביצע, לכאורה, את העבירה</w:t>
      </w:r>
      <w:r>
        <w:rPr>
          <w:rFonts w:cs="David" w:hint="cs"/>
          <w:sz w:val="28"/>
          <w:szCs w:val="28"/>
          <w:rtl/>
        </w:rPr>
        <w:t xml:space="preserve">. שנית, בעל האתר והספקית הם בדרך כלל "כיס עמוק" וסיכוייו של הנפגע להיפרע ממנו בגין הנזק גבוהים יותר מאשר לקבלו מהמשתמש הפרטי, שכאמור, הוא לעיתים אף </w:t>
      </w:r>
      <w:r w:rsidRPr="00881AA8">
        <w:rPr>
          <w:rFonts w:cs="David" w:hint="cs"/>
          <w:sz w:val="28"/>
          <w:szCs w:val="28"/>
          <w:rtl/>
        </w:rPr>
        <w:t>אנונימי. לכן</w:t>
      </w:r>
      <w:r>
        <w:rPr>
          <w:rFonts w:cs="David" w:hint="cs"/>
          <w:sz w:val="28"/>
          <w:szCs w:val="28"/>
          <w:rtl/>
        </w:rPr>
        <w:t xml:space="preserve">, בעלי האתרים או ספקיות השירות הינם במקרים רבים </w:t>
      </w:r>
      <w:r w:rsidRPr="00C95778">
        <w:rPr>
          <w:rFonts w:cs="David" w:hint="cs"/>
          <w:b/>
          <w:bCs/>
          <w:sz w:val="28"/>
          <w:szCs w:val="28"/>
          <w:rtl/>
        </w:rPr>
        <w:t>מונעי הנזק היעילים ביותר מבחינה כלכלית</w:t>
      </w:r>
      <w:r>
        <w:rPr>
          <w:rFonts w:cs="David" w:hint="cs"/>
          <w:b/>
          <w:bCs/>
          <w:sz w:val="28"/>
          <w:szCs w:val="28"/>
          <w:rtl/>
        </w:rPr>
        <w:t>.</w:t>
      </w:r>
    </w:p>
    <w:p w:rsidR="00881AA8" w:rsidRDefault="00881AA8" w:rsidP="007D5DD5">
      <w:pPr>
        <w:spacing w:line="360" w:lineRule="auto"/>
        <w:ind w:left="283"/>
        <w:jc w:val="both"/>
        <w:rPr>
          <w:rFonts w:cs="David"/>
          <w:sz w:val="28"/>
          <w:szCs w:val="28"/>
          <w:rtl/>
        </w:rPr>
      </w:pPr>
      <w:r w:rsidRPr="00A51664">
        <w:rPr>
          <w:rFonts w:cs="David" w:hint="cs"/>
          <w:sz w:val="28"/>
          <w:szCs w:val="28"/>
          <w:rtl/>
        </w:rPr>
        <w:t xml:space="preserve">מלבד זאת, </w:t>
      </w:r>
      <w:r w:rsidR="00CE0E39">
        <w:rPr>
          <w:rFonts w:cs="David" w:hint="cs"/>
          <w:sz w:val="28"/>
          <w:szCs w:val="28"/>
          <w:rtl/>
        </w:rPr>
        <w:t xml:space="preserve">גם </w:t>
      </w:r>
      <w:r w:rsidR="00A51664" w:rsidRPr="00A51664">
        <w:rPr>
          <w:rFonts w:cs="David" w:hint="cs"/>
          <w:sz w:val="28"/>
          <w:szCs w:val="28"/>
          <w:rtl/>
        </w:rPr>
        <w:t>בעלי האתרים וספקיות המרשתת</w:t>
      </w:r>
      <w:r w:rsidRPr="00A51664">
        <w:rPr>
          <w:rFonts w:cs="David" w:hint="cs"/>
          <w:sz w:val="28"/>
          <w:szCs w:val="28"/>
          <w:rtl/>
        </w:rPr>
        <w:t xml:space="preserve"> </w:t>
      </w:r>
      <w:r w:rsidRPr="004230DA">
        <w:rPr>
          <w:rFonts w:cs="David" w:hint="cs"/>
          <w:b/>
          <w:bCs/>
          <w:sz w:val="28"/>
          <w:szCs w:val="28"/>
          <w:rtl/>
        </w:rPr>
        <w:t xml:space="preserve">נמצאים בעמדה הנוחה ביותר למנוע באופן אפקטיבי את הישנות המקרים הבעייתיים </w:t>
      </w:r>
      <w:r>
        <w:rPr>
          <w:rFonts w:cs="David" w:hint="cs"/>
          <w:sz w:val="28"/>
          <w:szCs w:val="28"/>
          <w:rtl/>
        </w:rPr>
        <w:t xml:space="preserve">על ידי חסימת הגולש, הסרת תכניו או </w:t>
      </w:r>
      <w:r w:rsidR="00A51664">
        <w:rPr>
          <w:rFonts w:cs="David" w:hint="cs"/>
          <w:sz w:val="28"/>
          <w:szCs w:val="28"/>
          <w:rtl/>
        </w:rPr>
        <w:t>אף ניתוקו מן השירות</w:t>
      </w:r>
      <w:r w:rsidR="004230DA">
        <w:rPr>
          <w:rFonts w:cs="David" w:hint="cs"/>
          <w:sz w:val="28"/>
          <w:szCs w:val="28"/>
          <w:rtl/>
        </w:rPr>
        <w:t xml:space="preserve">, שכן </w:t>
      </w:r>
      <w:r w:rsidR="00A51664">
        <w:rPr>
          <w:rFonts w:cs="David" w:hint="cs"/>
          <w:sz w:val="28"/>
          <w:szCs w:val="28"/>
          <w:rtl/>
        </w:rPr>
        <w:t>הם יכולים לשלוט ולפקח באופן נרחב על התכנים וההתקשרויות של המ</w:t>
      </w:r>
      <w:r w:rsidR="002C0040">
        <w:rPr>
          <w:rFonts w:cs="David" w:hint="cs"/>
          <w:sz w:val="28"/>
          <w:szCs w:val="28"/>
          <w:rtl/>
        </w:rPr>
        <w:t xml:space="preserve">שתמשים, </w:t>
      </w:r>
      <w:r w:rsidR="00A51664">
        <w:rPr>
          <w:rFonts w:cs="David" w:hint="cs"/>
          <w:sz w:val="28"/>
          <w:szCs w:val="28"/>
          <w:rtl/>
        </w:rPr>
        <w:t>לנטר את התכנים, את פרטי המשתמש, את לגיטימיות התכנים המועלים, את תוכן ההתכתבויות ואף את המאפיינים החברתיים של המשתמשים</w:t>
      </w:r>
      <w:r w:rsidR="002C0040">
        <w:rPr>
          <w:rFonts w:cs="David" w:hint="cs"/>
          <w:sz w:val="28"/>
          <w:szCs w:val="28"/>
          <w:rtl/>
        </w:rPr>
        <w:t xml:space="preserve">. </w:t>
      </w:r>
      <w:r w:rsidR="00A51664">
        <w:rPr>
          <w:rFonts w:cs="David" w:hint="cs"/>
          <w:sz w:val="28"/>
          <w:szCs w:val="28"/>
          <w:rtl/>
        </w:rPr>
        <w:t xml:space="preserve"> </w:t>
      </w:r>
      <w:r w:rsidRPr="00096D5D">
        <w:rPr>
          <w:rFonts w:cs="David" w:hint="cs"/>
          <w:b/>
          <w:bCs/>
          <w:sz w:val="28"/>
          <w:szCs w:val="28"/>
          <w:rtl/>
        </w:rPr>
        <w:t>החשש מפני חשיפה לתביעות משפטיות עשוי להמריץ את אותם הגורמים לנקוט באמצעי סינון ועריכה</w:t>
      </w:r>
      <w:r w:rsidRPr="00A51664">
        <w:rPr>
          <w:rFonts w:cs="David" w:hint="cs"/>
          <w:sz w:val="28"/>
          <w:szCs w:val="28"/>
          <w:rtl/>
        </w:rPr>
        <w:t xml:space="preserve">, </w:t>
      </w:r>
      <w:r w:rsidR="009F4C83">
        <w:rPr>
          <w:rFonts w:cs="David" w:hint="cs"/>
          <w:sz w:val="28"/>
          <w:szCs w:val="28"/>
          <w:rtl/>
        </w:rPr>
        <w:t xml:space="preserve">שיגבילו הפצת תכנים העלולים להזיק ובכך לצמצם את חשיפתם המשפטית. </w:t>
      </w:r>
    </w:p>
    <w:p w:rsidR="00096D5D" w:rsidRDefault="00DA40EA" w:rsidP="00F03C5D">
      <w:pPr>
        <w:spacing w:line="360" w:lineRule="auto"/>
        <w:ind w:left="283"/>
        <w:jc w:val="both"/>
        <w:rPr>
          <w:rFonts w:cs="David"/>
          <w:sz w:val="28"/>
          <w:szCs w:val="28"/>
          <w:rtl/>
        </w:rPr>
      </w:pPr>
      <w:r>
        <w:rPr>
          <w:rFonts w:cs="David" w:hint="cs"/>
          <w:sz w:val="28"/>
          <w:szCs w:val="28"/>
          <w:rtl/>
        </w:rPr>
        <w:t xml:space="preserve">בפן המהותי מציינת </w:t>
      </w:r>
      <w:r w:rsidR="00096D5D">
        <w:rPr>
          <w:rFonts w:cs="David" w:hint="cs"/>
          <w:sz w:val="28"/>
          <w:szCs w:val="28"/>
          <w:rtl/>
        </w:rPr>
        <w:t xml:space="preserve">אלקין-קורן כי </w:t>
      </w:r>
      <w:r w:rsidR="00096D5D" w:rsidRPr="00803A7A">
        <w:rPr>
          <w:rFonts w:cs="David" w:hint="cs"/>
          <w:b/>
          <w:bCs/>
          <w:sz w:val="28"/>
          <w:szCs w:val="28"/>
          <w:rtl/>
        </w:rPr>
        <w:t>להטלת האחריות על הספקיות ובעלי האתרים יש שני פנים</w:t>
      </w:r>
      <w:r w:rsidR="00096D5D">
        <w:rPr>
          <w:rFonts w:cs="David" w:hint="cs"/>
          <w:sz w:val="28"/>
          <w:szCs w:val="28"/>
          <w:rtl/>
        </w:rPr>
        <w:t xml:space="preserve">. האחד, מבחינת הראייה הכוללת </w:t>
      </w:r>
      <w:r w:rsidR="00096D5D" w:rsidRPr="008345BC">
        <w:rPr>
          <w:rFonts w:cs="David" w:hint="cs"/>
          <w:b/>
          <w:bCs/>
          <w:sz w:val="28"/>
          <w:szCs w:val="28"/>
          <w:rtl/>
        </w:rPr>
        <w:t xml:space="preserve">קיים אינטרס </w:t>
      </w:r>
      <w:r w:rsidR="00096D5D">
        <w:rPr>
          <w:rFonts w:cs="David" w:hint="cs"/>
          <w:b/>
          <w:bCs/>
          <w:sz w:val="28"/>
          <w:szCs w:val="28"/>
          <w:rtl/>
        </w:rPr>
        <w:t xml:space="preserve">ציבורי </w:t>
      </w:r>
      <w:r w:rsidR="00096D5D" w:rsidRPr="008345BC">
        <w:rPr>
          <w:rFonts w:cs="David" w:hint="cs"/>
          <w:b/>
          <w:bCs/>
          <w:sz w:val="28"/>
          <w:szCs w:val="28"/>
          <w:rtl/>
        </w:rPr>
        <w:t>מובהק למנוע</w:t>
      </w:r>
      <w:r w:rsidR="003A1509">
        <w:rPr>
          <w:rFonts w:cs="David" w:hint="cs"/>
          <w:sz w:val="28"/>
          <w:szCs w:val="28"/>
          <w:rtl/>
        </w:rPr>
        <w:t xml:space="preserve">, </w:t>
      </w:r>
      <w:r w:rsidR="00096D5D" w:rsidRPr="00450404">
        <w:rPr>
          <w:rFonts w:cs="David" w:hint="cs"/>
          <w:b/>
          <w:bCs/>
          <w:sz w:val="28"/>
          <w:szCs w:val="28"/>
          <w:rtl/>
        </w:rPr>
        <w:t>או לפחות לצמצם</w:t>
      </w:r>
      <w:r w:rsidR="00096D5D">
        <w:rPr>
          <w:rFonts w:cs="David" w:hint="cs"/>
          <w:sz w:val="28"/>
          <w:szCs w:val="28"/>
          <w:rtl/>
        </w:rPr>
        <w:t xml:space="preserve">, את הפעילות המזיקה ויש הצדקה להטלת אחריות זו בגין הנזק שנגרם על ידי משתמשי השירות ומבחינה מוסרית יהיה זה אף הגיוני. מנגד, </w:t>
      </w:r>
      <w:r w:rsidR="00096D5D" w:rsidRPr="008345BC">
        <w:rPr>
          <w:rFonts w:cs="David" w:hint="cs"/>
          <w:b/>
          <w:bCs/>
          <w:sz w:val="28"/>
          <w:szCs w:val="28"/>
          <w:rtl/>
        </w:rPr>
        <w:t>הטלת האחריות עלולה להוביל ליצירתם מחדש של מוקדי כוח ושליטה ברשת</w:t>
      </w:r>
      <w:r w:rsidR="00096D5D">
        <w:rPr>
          <w:rFonts w:cs="David" w:hint="cs"/>
          <w:sz w:val="28"/>
          <w:szCs w:val="28"/>
          <w:rtl/>
        </w:rPr>
        <w:t xml:space="preserve"> ולהכשיל את מגמות הביזור, שבהן טמון יתרונה של הרשת לקידום השיח הציבורי.</w:t>
      </w:r>
      <w:r w:rsidR="00096D5D">
        <w:rPr>
          <w:rStyle w:val="a5"/>
          <w:rFonts w:cs="David"/>
          <w:sz w:val="28"/>
          <w:szCs w:val="28"/>
          <w:rtl/>
        </w:rPr>
        <w:footnoteReference w:id="210"/>
      </w:r>
      <w:r w:rsidR="00B15ADB">
        <w:rPr>
          <w:rFonts w:cs="David" w:hint="cs"/>
          <w:sz w:val="28"/>
          <w:szCs w:val="28"/>
          <w:rtl/>
        </w:rPr>
        <w:t xml:space="preserve"> כך, למשל, הטלת אחריות על מנהל אתר בגין הסתה לגזענות, שפורסמה על ידי משתמש בפורום, הופכת אותו לעורך בעל כורחו, שכן על</w:t>
      </w:r>
      <w:r w:rsidR="003A1509">
        <w:rPr>
          <w:rFonts w:cs="David" w:hint="cs"/>
          <w:sz w:val="28"/>
          <w:szCs w:val="28"/>
          <w:rtl/>
        </w:rPr>
        <w:t xml:space="preserve"> מנת</w:t>
      </w:r>
      <w:r w:rsidR="00B15ADB">
        <w:rPr>
          <w:rFonts w:cs="David" w:hint="cs"/>
          <w:sz w:val="28"/>
          <w:szCs w:val="28"/>
          <w:rtl/>
        </w:rPr>
        <w:t xml:space="preserve"> להפחית את החשיפה המשפטית, ייאלץ בעל האתר להפעיל מערכת סינון תכנים </w:t>
      </w:r>
      <w:r w:rsidR="00B15ADB">
        <w:rPr>
          <w:rFonts w:cs="David" w:hint="cs"/>
          <w:sz w:val="28"/>
          <w:szCs w:val="28"/>
          <w:rtl/>
        </w:rPr>
        <w:lastRenderedPageBreak/>
        <w:t>ועריכה ולמנוע תכנים שנויים במחלוקת.</w:t>
      </w:r>
      <w:r w:rsidR="00C778E1">
        <w:rPr>
          <w:rFonts w:cs="David" w:hint="cs"/>
          <w:sz w:val="28"/>
          <w:szCs w:val="28"/>
          <w:rtl/>
        </w:rPr>
        <w:t xml:space="preserve"> </w:t>
      </w:r>
      <w:r w:rsidR="003A1509">
        <w:rPr>
          <w:rFonts w:cs="David" w:hint="cs"/>
          <w:sz w:val="28"/>
          <w:szCs w:val="28"/>
          <w:rtl/>
        </w:rPr>
        <w:t xml:space="preserve">בנושא ספציפי זה </w:t>
      </w:r>
      <w:r w:rsidR="00C778E1">
        <w:rPr>
          <w:rFonts w:cs="David" w:hint="cs"/>
          <w:sz w:val="28"/>
          <w:szCs w:val="28"/>
          <w:rtl/>
        </w:rPr>
        <w:t>תרחיב העבודה בהמשך.</w:t>
      </w:r>
    </w:p>
    <w:p w:rsidR="003729BA" w:rsidRDefault="00DA40EA" w:rsidP="00F03C5D">
      <w:pPr>
        <w:spacing w:line="360" w:lineRule="auto"/>
        <w:ind w:left="283"/>
        <w:jc w:val="both"/>
        <w:rPr>
          <w:rFonts w:cs="David"/>
          <w:b/>
          <w:bCs/>
          <w:sz w:val="28"/>
          <w:szCs w:val="28"/>
          <w:rtl/>
        </w:rPr>
      </w:pPr>
      <w:r>
        <w:rPr>
          <w:rFonts w:cs="David" w:hint="cs"/>
          <w:sz w:val="28"/>
          <w:szCs w:val="28"/>
          <w:rtl/>
        </w:rPr>
        <w:t xml:space="preserve">כך או כך, ניתן לומר כי </w:t>
      </w:r>
      <w:r w:rsidR="00522781" w:rsidRPr="00A73151">
        <w:rPr>
          <w:rFonts w:cs="David" w:hint="cs"/>
          <w:b/>
          <w:bCs/>
          <w:sz w:val="28"/>
          <w:szCs w:val="28"/>
          <w:rtl/>
        </w:rPr>
        <w:t>ככלל</w:t>
      </w:r>
      <w:r w:rsidR="009864F6" w:rsidRPr="009864F6">
        <w:rPr>
          <w:rStyle w:val="a5"/>
          <w:rFonts w:cs="David"/>
          <w:sz w:val="28"/>
          <w:szCs w:val="28"/>
          <w:rtl/>
        </w:rPr>
        <w:footnoteReference w:id="211"/>
      </w:r>
      <w:r w:rsidR="00522781" w:rsidRPr="00A73151">
        <w:rPr>
          <w:rFonts w:cs="David" w:hint="cs"/>
          <w:b/>
          <w:bCs/>
          <w:sz w:val="28"/>
          <w:szCs w:val="28"/>
          <w:rtl/>
        </w:rPr>
        <w:t xml:space="preserve"> </w:t>
      </w:r>
      <w:r w:rsidR="00522781">
        <w:rPr>
          <w:rFonts w:cs="David" w:hint="cs"/>
          <w:b/>
          <w:bCs/>
          <w:sz w:val="28"/>
          <w:szCs w:val="28"/>
          <w:rtl/>
        </w:rPr>
        <w:t xml:space="preserve">לא הסדיר </w:t>
      </w:r>
      <w:r w:rsidR="00522781" w:rsidRPr="00A73151">
        <w:rPr>
          <w:rFonts w:cs="David" w:hint="cs"/>
          <w:b/>
          <w:bCs/>
          <w:sz w:val="28"/>
          <w:szCs w:val="28"/>
          <w:rtl/>
        </w:rPr>
        <w:t xml:space="preserve">המחוקק </w:t>
      </w:r>
      <w:r w:rsidR="00983636">
        <w:rPr>
          <w:rFonts w:cs="David" w:hint="cs"/>
          <w:b/>
          <w:bCs/>
          <w:sz w:val="28"/>
          <w:szCs w:val="28"/>
          <w:rtl/>
        </w:rPr>
        <w:t xml:space="preserve">הישראלי </w:t>
      </w:r>
      <w:r w:rsidR="00522781" w:rsidRPr="00A73151">
        <w:rPr>
          <w:rFonts w:cs="David" w:hint="cs"/>
          <w:b/>
          <w:bCs/>
          <w:sz w:val="28"/>
          <w:szCs w:val="28"/>
          <w:rtl/>
        </w:rPr>
        <w:t>מפורשות את סוגיית האחריות האזרחית של ספקי</w:t>
      </w:r>
      <w:r w:rsidR="004B0EA6">
        <w:rPr>
          <w:rFonts w:cs="David" w:hint="cs"/>
          <w:b/>
          <w:bCs/>
          <w:sz w:val="28"/>
          <w:szCs w:val="28"/>
          <w:rtl/>
        </w:rPr>
        <w:t>ות</w:t>
      </w:r>
      <w:r w:rsidR="00522781" w:rsidRPr="00A73151">
        <w:rPr>
          <w:rFonts w:cs="David" w:hint="cs"/>
          <w:b/>
          <w:bCs/>
          <w:sz w:val="28"/>
          <w:szCs w:val="28"/>
          <w:rtl/>
        </w:rPr>
        <w:t xml:space="preserve"> שירותי המרשתת</w:t>
      </w:r>
      <w:r w:rsidR="00A0584A" w:rsidRPr="00C44FAF">
        <w:rPr>
          <w:rFonts w:cs="David" w:hint="cs"/>
          <w:sz w:val="28"/>
          <w:szCs w:val="28"/>
          <w:rtl/>
        </w:rPr>
        <w:t xml:space="preserve">, </w:t>
      </w:r>
      <w:r w:rsidR="00A0584A" w:rsidRPr="00C44FAF">
        <w:rPr>
          <w:rFonts w:cs="David" w:hint="cs"/>
          <w:b/>
          <w:bCs/>
          <w:sz w:val="28"/>
          <w:szCs w:val="28"/>
          <w:rtl/>
        </w:rPr>
        <w:t>גם כאשר מפורסמים באתרים תכנים בעלי אופי גזעני ומסית</w:t>
      </w:r>
      <w:r w:rsidR="001A0B60" w:rsidRPr="00C44FAF">
        <w:rPr>
          <w:rFonts w:cs="David" w:hint="cs"/>
          <w:b/>
          <w:bCs/>
          <w:sz w:val="28"/>
          <w:szCs w:val="28"/>
          <w:rtl/>
        </w:rPr>
        <w:t>.</w:t>
      </w:r>
      <w:r w:rsidR="001A0B60">
        <w:rPr>
          <w:rFonts w:cs="David" w:hint="cs"/>
          <w:sz w:val="28"/>
          <w:szCs w:val="28"/>
          <w:rtl/>
        </w:rPr>
        <w:t xml:space="preserve"> </w:t>
      </w:r>
      <w:r w:rsidR="00522781">
        <w:rPr>
          <w:rStyle w:val="a5"/>
          <w:rFonts w:cs="David"/>
          <w:sz w:val="28"/>
          <w:szCs w:val="28"/>
          <w:rtl/>
        </w:rPr>
        <w:footnoteReference w:id="212"/>
      </w:r>
      <w:r w:rsidR="003729BA">
        <w:rPr>
          <w:rFonts w:cs="David" w:hint="cs"/>
          <w:sz w:val="28"/>
          <w:szCs w:val="28"/>
          <w:rtl/>
        </w:rPr>
        <w:t xml:space="preserve"> </w:t>
      </w:r>
      <w:r w:rsidR="009864F6">
        <w:rPr>
          <w:rFonts w:cs="David" w:hint="cs"/>
          <w:sz w:val="28"/>
          <w:szCs w:val="28"/>
          <w:rtl/>
        </w:rPr>
        <w:t xml:space="preserve">בכלל זה, </w:t>
      </w:r>
      <w:r w:rsidR="009864F6" w:rsidRPr="009864F6">
        <w:rPr>
          <w:rFonts w:cs="David" w:hint="cs"/>
          <w:b/>
          <w:bCs/>
          <w:sz w:val="28"/>
          <w:szCs w:val="28"/>
          <w:rtl/>
        </w:rPr>
        <w:t>אין כיום חוק המחייב את בעלי האתרים וספקיות המרשתת להסיר תכנים הנוגעים להסתה לגזענות ולאלימות ברשת.</w:t>
      </w:r>
      <w:r w:rsidR="009864F6">
        <w:rPr>
          <w:rStyle w:val="a5"/>
          <w:rFonts w:cs="David"/>
          <w:b/>
          <w:bCs/>
          <w:sz w:val="28"/>
          <w:szCs w:val="28"/>
          <w:rtl/>
        </w:rPr>
        <w:footnoteReference w:id="213"/>
      </w:r>
    </w:p>
    <w:p w:rsidR="00C80269" w:rsidRDefault="00C80269" w:rsidP="00F03C5D">
      <w:pPr>
        <w:spacing w:line="360" w:lineRule="auto"/>
        <w:ind w:left="283"/>
        <w:jc w:val="both"/>
        <w:rPr>
          <w:rFonts w:cs="David"/>
          <w:sz w:val="28"/>
          <w:szCs w:val="28"/>
          <w:rtl/>
        </w:rPr>
      </w:pPr>
      <w:r>
        <w:rPr>
          <w:rFonts w:cs="David" w:hint="cs"/>
          <w:sz w:val="28"/>
          <w:szCs w:val="28"/>
          <w:rtl/>
        </w:rPr>
        <w:t xml:space="preserve">מעניינת בהקשר זה דעתה של אגמון-גונן, הטוענת כי </w:t>
      </w:r>
      <w:r w:rsidR="00CD70FF">
        <w:rPr>
          <w:rFonts w:cs="David" w:hint="cs"/>
          <w:sz w:val="28"/>
          <w:szCs w:val="28"/>
          <w:rtl/>
        </w:rPr>
        <w:t xml:space="preserve">דווקא </w:t>
      </w:r>
      <w:r>
        <w:rPr>
          <w:rFonts w:cs="David" w:hint="cs"/>
          <w:sz w:val="28"/>
          <w:szCs w:val="28"/>
          <w:rtl/>
        </w:rPr>
        <w:t>חקיקה המסדירה את אחריותם של ספקי השירות ו</w:t>
      </w:r>
      <w:r w:rsidRPr="00E8521D">
        <w:rPr>
          <w:rFonts w:cs="David" w:hint="cs"/>
          <w:b/>
          <w:bCs/>
          <w:sz w:val="28"/>
          <w:szCs w:val="28"/>
          <w:rtl/>
        </w:rPr>
        <w:t>פוטרת</w:t>
      </w:r>
      <w:r>
        <w:rPr>
          <w:rFonts w:cs="David" w:hint="cs"/>
          <w:sz w:val="28"/>
          <w:szCs w:val="28"/>
          <w:rtl/>
        </w:rPr>
        <w:t xml:space="preserve"> אותם מהצורך לפקח על התכנים ועל המידע העוברים דרכם או באמצעותם, </w:t>
      </w:r>
      <w:r w:rsidRPr="005D166B">
        <w:rPr>
          <w:rFonts w:cs="David" w:hint="cs"/>
          <w:b/>
          <w:bCs/>
          <w:sz w:val="28"/>
          <w:szCs w:val="28"/>
          <w:rtl/>
        </w:rPr>
        <w:t xml:space="preserve">מאפשרת הסדרה </w:t>
      </w:r>
      <w:r>
        <w:rPr>
          <w:rFonts w:cs="David" w:hint="cs"/>
          <w:b/>
          <w:bCs/>
          <w:sz w:val="28"/>
          <w:szCs w:val="28"/>
          <w:rtl/>
        </w:rPr>
        <w:t>פרטי</w:t>
      </w:r>
      <w:r w:rsidRPr="005D166B">
        <w:rPr>
          <w:rFonts w:cs="David" w:hint="cs"/>
          <w:b/>
          <w:bCs/>
          <w:sz w:val="28"/>
          <w:szCs w:val="28"/>
          <w:rtl/>
        </w:rPr>
        <w:t>ת</w:t>
      </w:r>
      <w:r>
        <w:rPr>
          <w:rFonts w:cs="David" w:hint="cs"/>
          <w:sz w:val="28"/>
          <w:szCs w:val="28"/>
          <w:rtl/>
        </w:rPr>
        <w:t>. לטענתה:</w:t>
      </w:r>
      <w:r>
        <w:rPr>
          <w:rStyle w:val="a5"/>
          <w:rFonts w:cs="David"/>
          <w:sz w:val="28"/>
          <w:szCs w:val="28"/>
          <w:rtl/>
        </w:rPr>
        <w:footnoteReference w:id="214"/>
      </w:r>
    </w:p>
    <w:p w:rsidR="00C80269" w:rsidRDefault="00C80269" w:rsidP="00F03C5D">
      <w:pPr>
        <w:spacing w:line="360" w:lineRule="auto"/>
        <w:ind w:left="283"/>
        <w:jc w:val="both"/>
        <w:rPr>
          <w:rFonts w:cs="David"/>
          <w:b/>
          <w:bCs/>
          <w:sz w:val="24"/>
          <w:szCs w:val="24"/>
          <w:rtl/>
        </w:rPr>
      </w:pPr>
      <w:r w:rsidRPr="001211EC">
        <w:rPr>
          <w:rFonts w:cs="David" w:hint="cs"/>
          <w:sz w:val="24"/>
          <w:szCs w:val="24"/>
          <w:rtl/>
        </w:rPr>
        <w:t xml:space="preserve">דווקא במדינות שבהן המחוקק או בתי המשפט </w:t>
      </w:r>
      <w:r w:rsidRPr="00FA22E6">
        <w:rPr>
          <w:rFonts w:cs="David" w:hint="cs"/>
          <w:b/>
          <w:bCs/>
          <w:sz w:val="24"/>
          <w:szCs w:val="24"/>
          <w:rtl/>
        </w:rPr>
        <w:t>הסירו את האחריות</w:t>
      </w:r>
      <w:r w:rsidRPr="001211EC">
        <w:rPr>
          <w:rFonts w:cs="David" w:hint="cs"/>
          <w:sz w:val="24"/>
          <w:szCs w:val="24"/>
          <w:rtl/>
        </w:rPr>
        <w:t xml:space="preserve"> מספקי השירות וממנהלי האתרים בחקיקה, </w:t>
      </w:r>
      <w:r w:rsidRPr="001211EC">
        <w:rPr>
          <w:rFonts w:cs="David" w:hint="cs"/>
          <w:b/>
          <w:bCs/>
          <w:sz w:val="24"/>
          <w:szCs w:val="24"/>
          <w:rtl/>
        </w:rPr>
        <w:t>פעלו אלה לשמור על "נ</w:t>
      </w:r>
      <w:r>
        <w:rPr>
          <w:rFonts w:cs="David" w:hint="cs"/>
          <w:b/>
          <w:bCs/>
          <w:sz w:val="24"/>
          <w:szCs w:val="24"/>
          <w:rtl/>
        </w:rPr>
        <w:t>י</w:t>
      </w:r>
      <w:r w:rsidRPr="001211EC">
        <w:rPr>
          <w:rFonts w:cs="David" w:hint="cs"/>
          <w:b/>
          <w:bCs/>
          <w:sz w:val="24"/>
          <w:szCs w:val="24"/>
          <w:rtl/>
        </w:rPr>
        <w:t>קיון" הרשת.</w:t>
      </w:r>
      <w:r w:rsidRPr="001211EC">
        <w:rPr>
          <w:rFonts w:cs="David" w:hint="cs"/>
          <w:sz w:val="24"/>
          <w:szCs w:val="24"/>
          <w:rtl/>
        </w:rPr>
        <w:t xml:space="preserve"> ולהיפך - כל עוד חויבו ספקי האינטרנט מכוח החקיקה והפסיקה לפקח או לערוך את התכנים שעברו דרכם, היה עליהם להוכיח כי הם לא ידעו ולא היה עליהם לדעת כי מדובר בחומר מפר; </w:t>
      </w:r>
      <w:r w:rsidRPr="001211EC">
        <w:rPr>
          <w:rFonts w:cs="David" w:hint="cs"/>
          <w:b/>
          <w:bCs/>
          <w:sz w:val="24"/>
          <w:szCs w:val="24"/>
          <w:rtl/>
        </w:rPr>
        <w:t>בשל כך הם עשו כל מאמץ טכנולוגי כדי להראות שאין להם יכולת לפקח על ח</w:t>
      </w:r>
      <w:r w:rsidR="00FA22E6">
        <w:rPr>
          <w:rFonts w:cs="David" w:hint="cs"/>
          <w:b/>
          <w:bCs/>
          <w:sz w:val="24"/>
          <w:szCs w:val="24"/>
          <w:rtl/>
        </w:rPr>
        <w:t>ומר שעובר דרכם, שאחרת היו חבים ב</w:t>
      </w:r>
      <w:r w:rsidRPr="001211EC">
        <w:rPr>
          <w:rFonts w:cs="David" w:hint="cs"/>
          <w:b/>
          <w:bCs/>
          <w:sz w:val="24"/>
          <w:szCs w:val="24"/>
          <w:rtl/>
        </w:rPr>
        <w:t>נז</w:t>
      </w:r>
      <w:r w:rsidR="00FA22E6">
        <w:rPr>
          <w:rFonts w:cs="David" w:hint="cs"/>
          <w:b/>
          <w:bCs/>
          <w:sz w:val="24"/>
          <w:szCs w:val="24"/>
          <w:rtl/>
        </w:rPr>
        <w:t>י</w:t>
      </w:r>
      <w:r w:rsidRPr="001211EC">
        <w:rPr>
          <w:rFonts w:cs="David" w:hint="cs"/>
          <w:b/>
          <w:bCs/>
          <w:sz w:val="24"/>
          <w:szCs w:val="24"/>
          <w:rtl/>
        </w:rPr>
        <w:t>קין.</w:t>
      </w:r>
      <w:r w:rsidRPr="001211EC">
        <w:rPr>
          <w:rFonts w:cs="David" w:hint="cs"/>
          <w:sz w:val="24"/>
          <w:szCs w:val="24"/>
          <w:rtl/>
        </w:rPr>
        <w:t xml:space="preserve"> </w:t>
      </w:r>
      <w:r w:rsidRPr="001211EC">
        <w:rPr>
          <w:rFonts w:cs="David" w:hint="cs"/>
          <w:b/>
          <w:bCs/>
          <w:sz w:val="24"/>
          <w:szCs w:val="24"/>
          <w:rtl/>
        </w:rPr>
        <w:t>דווקא בכך שהמחוקק התערב והסיר מהם את האחריות הוא אפשר להם לפקח על התכנים, והם אכן עושים זאת.</w:t>
      </w:r>
      <w:r w:rsidRPr="001211EC">
        <w:rPr>
          <w:rFonts w:cs="David" w:hint="cs"/>
          <w:sz w:val="24"/>
          <w:szCs w:val="24"/>
          <w:rtl/>
        </w:rPr>
        <w:t xml:space="preserve">(ההדגשות של הח"מ </w:t>
      </w:r>
      <w:r w:rsidRPr="001211EC">
        <w:rPr>
          <w:rFonts w:cs="David"/>
          <w:sz w:val="24"/>
          <w:szCs w:val="24"/>
          <w:rtl/>
        </w:rPr>
        <w:t>–</w:t>
      </w:r>
      <w:r w:rsidRPr="001211EC">
        <w:rPr>
          <w:rFonts w:cs="David" w:hint="cs"/>
          <w:sz w:val="24"/>
          <w:szCs w:val="24"/>
          <w:rtl/>
        </w:rPr>
        <w:t xml:space="preserve"> ר"מ)</w:t>
      </w:r>
    </w:p>
    <w:p w:rsidR="00712EFA" w:rsidRPr="00712EFA" w:rsidRDefault="009E783C" w:rsidP="00151BB1">
      <w:pPr>
        <w:spacing w:line="360" w:lineRule="auto"/>
        <w:jc w:val="both"/>
        <w:rPr>
          <w:rFonts w:cs="David"/>
          <w:b/>
          <w:bCs/>
          <w:sz w:val="28"/>
          <w:szCs w:val="28"/>
          <w:rtl/>
        </w:rPr>
      </w:pPr>
      <w:r>
        <w:rPr>
          <w:rFonts w:cs="David" w:hint="cs"/>
          <w:b/>
          <w:bCs/>
          <w:sz w:val="28"/>
          <w:szCs w:val="28"/>
          <w:rtl/>
        </w:rPr>
        <w:t>ד</w:t>
      </w:r>
      <w:r w:rsidR="00712EFA" w:rsidRPr="00712EFA">
        <w:rPr>
          <w:rFonts w:cs="David" w:hint="cs"/>
          <w:b/>
          <w:bCs/>
          <w:sz w:val="28"/>
          <w:szCs w:val="28"/>
          <w:rtl/>
        </w:rPr>
        <w:t>.</w:t>
      </w:r>
      <w:r w:rsidR="00F03C5D">
        <w:rPr>
          <w:rFonts w:cs="David" w:hint="cs"/>
          <w:b/>
          <w:bCs/>
          <w:sz w:val="28"/>
          <w:szCs w:val="28"/>
          <w:rtl/>
        </w:rPr>
        <w:t>3</w:t>
      </w:r>
      <w:r w:rsidR="00712EFA" w:rsidRPr="00712EFA">
        <w:rPr>
          <w:rFonts w:cs="David" w:hint="cs"/>
          <w:b/>
          <w:bCs/>
          <w:sz w:val="28"/>
          <w:szCs w:val="28"/>
          <w:rtl/>
        </w:rPr>
        <w:t xml:space="preserve"> </w:t>
      </w:r>
      <w:r w:rsidR="00413086">
        <w:rPr>
          <w:rFonts w:cs="David" w:hint="cs"/>
          <w:b/>
          <w:bCs/>
          <w:sz w:val="28"/>
          <w:szCs w:val="28"/>
          <w:rtl/>
        </w:rPr>
        <w:t>הסדרה בסביבה דיגיטלית</w:t>
      </w:r>
      <w:r w:rsidR="00831A09">
        <w:rPr>
          <w:rFonts w:cs="David" w:hint="cs"/>
          <w:b/>
          <w:bCs/>
          <w:sz w:val="28"/>
          <w:szCs w:val="28"/>
          <w:rtl/>
        </w:rPr>
        <w:t>-טכנולוגית</w:t>
      </w:r>
    </w:p>
    <w:p w:rsidR="00712EFA" w:rsidRPr="008048C5" w:rsidRDefault="00712EFA" w:rsidP="00151BB1">
      <w:pPr>
        <w:spacing w:line="360" w:lineRule="auto"/>
        <w:jc w:val="both"/>
        <w:rPr>
          <w:rFonts w:cs="David"/>
          <w:sz w:val="28"/>
          <w:szCs w:val="28"/>
          <w:rtl/>
        </w:rPr>
      </w:pPr>
      <w:r>
        <w:rPr>
          <w:rFonts w:cs="David" w:hint="cs"/>
          <w:sz w:val="28"/>
          <w:szCs w:val="28"/>
          <w:rtl/>
        </w:rPr>
        <w:t xml:space="preserve">מאחר שהפעילות העיקרית ברשת היא מידע (יצירתו, איסופו, עיבודו, שמירתו, אבטחתו, העתקתו, העברתו), הרי </w:t>
      </w:r>
      <w:r w:rsidRPr="009F4019">
        <w:rPr>
          <w:rFonts w:cs="David" w:hint="cs"/>
          <w:sz w:val="28"/>
          <w:szCs w:val="28"/>
          <w:rtl/>
        </w:rPr>
        <w:t>שלכל כלל משפטי המוחל ברשת יש השלכה על חופש הביטוי.</w:t>
      </w:r>
      <w:r w:rsidRPr="009F4019">
        <w:rPr>
          <w:rStyle w:val="a5"/>
          <w:rFonts w:cs="David"/>
          <w:sz w:val="28"/>
          <w:szCs w:val="28"/>
          <w:rtl/>
        </w:rPr>
        <w:footnoteReference w:id="215"/>
      </w:r>
      <w:r w:rsidRPr="009F4019">
        <w:rPr>
          <w:rFonts w:cs="David" w:hint="cs"/>
          <w:sz w:val="28"/>
          <w:szCs w:val="28"/>
          <w:rtl/>
        </w:rPr>
        <w:t xml:space="preserve"> כיצד </w:t>
      </w:r>
      <w:r w:rsidR="00AF6735">
        <w:rPr>
          <w:rFonts w:cs="David" w:hint="cs"/>
          <w:sz w:val="28"/>
          <w:szCs w:val="28"/>
          <w:rtl/>
        </w:rPr>
        <w:t xml:space="preserve">אפוא </w:t>
      </w:r>
      <w:r w:rsidRPr="009F4019">
        <w:rPr>
          <w:rFonts w:cs="David" w:hint="cs"/>
          <w:sz w:val="28"/>
          <w:szCs w:val="28"/>
          <w:rtl/>
        </w:rPr>
        <w:t>יש ל</w:t>
      </w:r>
      <w:r w:rsidR="00DD0317">
        <w:rPr>
          <w:rFonts w:cs="David" w:hint="cs"/>
          <w:sz w:val="28"/>
          <w:szCs w:val="28"/>
          <w:rtl/>
        </w:rPr>
        <w:t xml:space="preserve">הסדיר </w:t>
      </w:r>
      <w:r w:rsidRPr="009F4019">
        <w:rPr>
          <w:rFonts w:cs="David" w:hint="cs"/>
          <w:sz w:val="28"/>
          <w:szCs w:val="28"/>
          <w:rtl/>
        </w:rPr>
        <w:t xml:space="preserve">את מדיניות המידע בסביבה </w:t>
      </w:r>
      <w:r w:rsidR="0060347C">
        <w:rPr>
          <w:rFonts w:cs="David" w:hint="cs"/>
          <w:sz w:val="28"/>
          <w:szCs w:val="28"/>
          <w:rtl/>
        </w:rPr>
        <w:t>הדיגיטלית-</w:t>
      </w:r>
      <w:r w:rsidR="00413086">
        <w:rPr>
          <w:rFonts w:cs="David" w:hint="cs"/>
          <w:sz w:val="28"/>
          <w:szCs w:val="28"/>
          <w:rtl/>
        </w:rPr>
        <w:t>טכנולוגי</w:t>
      </w:r>
      <w:r w:rsidRPr="009F4019">
        <w:rPr>
          <w:rFonts w:cs="David" w:hint="cs"/>
          <w:sz w:val="28"/>
          <w:szCs w:val="28"/>
          <w:rtl/>
        </w:rPr>
        <w:t>ת</w:t>
      </w:r>
      <w:r w:rsidR="005925C9">
        <w:rPr>
          <w:rFonts w:cs="David" w:hint="cs"/>
          <w:sz w:val="28"/>
          <w:szCs w:val="28"/>
          <w:rtl/>
        </w:rPr>
        <w:t>?</w:t>
      </w:r>
      <w:r w:rsidRPr="009F4019">
        <w:rPr>
          <w:rFonts w:cs="David" w:hint="cs"/>
          <w:sz w:val="28"/>
          <w:szCs w:val="28"/>
          <w:rtl/>
        </w:rPr>
        <w:t xml:space="preserve"> מה תפקיד המשפט בכך? </w:t>
      </w:r>
      <w:r w:rsidRPr="009F4019">
        <w:rPr>
          <w:rFonts w:cs="David" w:hint="cs"/>
          <w:b/>
          <w:bCs/>
          <w:sz w:val="28"/>
          <w:szCs w:val="28"/>
          <w:rtl/>
        </w:rPr>
        <w:t>ומה</w:t>
      </w:r>
      <w:r w:rsidR="005925C9">
        <w:rPr>
          <w:rFonts w:cs="David" w:hint="cs"/>
          <w:b/>
          <w:bCs/>
          <w:sz w:val="28"/>
          <w:szCs w:val="28"/>
          <w:rtl/>
        </w:rPr>
        <w:t>ו</w:t>
      </w:r>
      <w:r w:rsidRPr="009F4019">
        <w:rPr>
          <w:rFonts w:cs="David" w:hint="cs"/>
          <w:b/>
          <w:bCs/>
          <w:sz w:val="28"/>
          <w:szCs w:val="28"/>
          <w:rtl/>
        </w:rPr>
        <w:t xml:space="preserve"> </w:t>
      </w:r>
      <w:r>
        <w:rPr>
          <w:rFonts w:cs="David" w:hint="cs"/>
          <w:b/>
          <w:bCs/>
          <w:sz w:val="28"/>
          <w:szCs w:val="28"/>
          <w:rtl/>
        </w:rPr>
        <w:t>מקומם של הערכים החברתיים, למשל, אלו שמוגנים באיסורים הפליליים של ההסתה לגזענות ולאלימות בעיצוב המדיניות?</w:t>
      </w:r>
    </w:p>
    <w:p w:rsidR="00712EFA" w:rsidRPr="00122605" w:rsidRDefault="00712EFA" w:rsidP="00712EFA">
      <w:pPr>
        <w:spacing w:line="360" w:lineRule="auto"/>
        <w:jc w:val="both"/>
        <w:rPr>
          <w:rFonts w:cs="David"/>
          <w:b/>
          <w:bCs/>
          <w:sz w:val="28"/>
          <w:szCs w:val="28"/>
          <w:rtl/>
        </w:rPr>
      </w:pPr>
      <w:r>
        <w:rPr>
          <w:rFonts w:cs="David" w:hint="cs"/>
          <w:sz w:val="28"/>
          <w:szCs w:val="28"/>
          <w:rtl/>
        </w:rPr>
        <w:lastRenderedPageBreak/>
        <w:t>בשאלת עיצוב המדיניות, טוען בירנהק</w:t>
      </w:r>
      <w:r>
        <w:rPr>
          <w:rStyle w:val="a5"/>
          <w:rFonts w:cs="David"/>
          <w:sz w:val="28"/>
          <w:szCs w:val="28"/>
          <w:rtl/>
        </w:rPr>
        <w:footnoteReference w:id="216"/>
      </w:r>
      <w:r>
        <w:rPr>
          <w:rFonts w:cs="David" w:hint="cs"/>
          <w:sz w:val="28"/>
          <w:szCs w:val="28"/>
          <w:rtl/>
        </w:rPr>
        <w:t xml:space="preserve"> כי רבים סבורים שמה שהיה הוא שצריך להיות: </w:t>
      </w:r>
      <w:r w:rsidRPr="00122605">
        <w:rPr>
          <w:rFonts w:cs="David" w:hint="cs"/>
          <w:b/>
          <w:bCs/>
          <w:sz w:val="28"/>
          <w:szCs w:val="28"/>
          <w:rtl/>
        </w:rPr>
        <w:t>הטכנולוגיה החדשה אינה סיבה לזנוח את כללי המשפט הקיים</w:t>
      </w:r>
      <w:r>
        <w:rPr>
          <w:rFonts w:cs="David" w:hint="cs"/>
          <w:sz w:val="28"/>
          <w:szCs w:val="28"/>
          <w:rtl/>
        </w:rPr>
        <w:t>, ואין זה משנה עד כמה היא מעניינת ומסקרנת. לטענת אלו, יש להחיל את המשפט על הטכנולוגיה וככל שהמשפט אינו מתאים - לשנותו. אחרים</w:t>
      </w:r>
      <w:r w:rsidR="00217BC4">
        <w:rPr>
          <w:rFonts w:cs="David" w:hint="cs"/>
          <w:sz w:val="28"/>
          <w:szCs w:val="28"/>
          <w:rtl/>
        </w:rPr>
        <w:t>,</w:t>
      </w:r>
      <w:r>
        <w:rPr>
          <w:rFonts w:cs="David" w:hint="cs"/>
          <w:sz w:val="28"/>
          <w:szCs w:val="28"/>
          <w:rtl/>
        </w:rPr>
        <w:t xml:space="preserve"> הוא טוען, גורסים שהניסיון המשפטי לכפות את מסגרתו על הטכנולוגיה נדון לכישלון, ועל כן </w:t>
      </w:r>
      <w:r w:rsidRPr="00122605">
        <w:rPr>
          <w:rFonts w:cs="David" w:hint="cs"/>
          <w:b/>
          <w:bCs/>
          <w:sz w:val="28"/>
          <w:szCs w:val="28"/>
          <w:rtl/>
        </w:rPr>
        <w:t>הטכנולוגיה צריכה להיות חסינה מפני משפט.</w:t>
      </w:r>
    </w:p>
    <w:p w:rsidR="00712EFA" w:rsidRDefault="00712EFA" w:rsidP="00217BC4">
      <w:pPr>
        <w:spacing w:line="360" w:lineRule="auto"/>
        <w:jc w:val="both"/>
        <w:rPr>
          <w:rFonts w:cs="David"/>
          <w:sz w:val="28"/>
          <w:szCs w:val="28"/>
          <w:rtl/>
        </w:rPr>
      </w:pPr>
      <w:r w:rsidRPr="002075D4">
        <w:rPr>
          <w:rFonts w:cs="David" w:hint="cs"/>
          <w:sz w:val="28"/>
          <w:szCs w:val="28"/>
          <w:rtl/>
        </w:rPr>
        <w:t xml:space="preserve">ניתן לראות כי </w:t>
      </w:r>
      <w:r w:rsidRPr="006957A8">
        <w:rPr>
          <w:rFonts w:cs="David" w:hint="cs"/>
          <w:b/>
          <w:bCs/>
          <w:sz w:val="28"/>
          <w:szCs w:val="28"/>
          <w:rtl/>
        </w:rPr>
        <w:t xml:space="preserve">לגבי אותה </w:t>
      </w:r>
      <w:r w:rsidR="00217BC4">
        <w:rPr>
          <w:rFonts w:cs="David" w:hint="cs"/>
          <w:b/>
          <w:bCs/>
          <w:sz w:val="28"/>
          <w:szCs w:val="28"/>
          <w:rtl/>
        </w:rPr>
        <w:t>ה</w:t>
      </w:r>
      <w:r w:rsidRPr="006957A8">
        <w:rPr>
          <w:rFonts w:cs="David" w:hint="cs"/>
          <w:b/>
          <w:bCs/>
          <w:sz w:val="28"/>
          <w:szCs w:val="28"/>
          <w:rtl/>
        </w:rPr>
        <w:t xml:space="preserve">טכנולוגיה ממש במקום שבו אנשים </w:t>
      </w:r>
      <w:r w:rsidR="00217BC4">
        <w:rPr>
          <w:rFonts w:cs="David" w:hint="cs"/>
          <w:b/>
          <w:bCs/>
          <w:sz w:val="28"/>
          <w:szCs w:val="28"/>
          <w:rtl/>
        </w:rPr>
        <w:t xml:space="preserve">מסוימים </w:t>
      </w:r>
      <w:r w:rsidRPr="006957A8">
        <w:rPr>
          <w:rFonts w:cs="David" w:hint="cs"/>
          <w:b/>
          <w:bCs/>
          <w:sz w:val="28"/>
          <w:szCs w:val="28"/>
          <w:rtl/>
        </w:rPr>
        <w:t>רואים חופש, אחרים מוצאים אנרכיה</w:t>
      </w:r>
      <w:r w:rsidRPr="002075D4">
        <w:rPr>
          <w:rFonts w:cs="David" w:hint="cs"/>
          <w:sz w:val="28"/>
          <w:szCs w:val="28"/>
          <w:rtl/>
        </w:rPr>
        <w:t>. אותה טכנולוגיה נתפסת בעיני האחרונים כמסוכנת וכדבר שיש לרסנו</w:t>
      </w:r>
      <w:r>
        <w:rPr>
          <w:rFonts w:cs="David" w:hint="cs"/>
          <w:sz w:val="28"/>
          <w:szCs w:val="28"/>
          <w:rtl/>
        </w:rPr>
        <w:t>.</w:t>
      </w:r>
      <w:r w:rsidRPr="002075D4">
        <w:rPr>
          <w:rStyle w:val="a5"/>
          <w:rFonts w:cs="David"/>
          <w:sz w:val="28"/>
          <w:szCs w:val="28"/>
          <w:rtl/>
        </w:rPr>
        <w:footnoteReference w:id="217"/>
      </w:r>
    </w:p>
    <w:p w:rsidR="00712EFA" w:rsidRDefault="00712EFA" w:rsidP="00217BC4">
      <w:pPr>
        <w:spacing w:line="360" w:lineRule="auto"/>
        <w:jc w:val="both"/>
        <w:rPr>
          <w:rFonts w:cs="David"/>
          <w:sz w:val="28"/>
          <w:szCs w:val="28"/>
          <w:rtl/>
        </w:rPr>
      </w:pPr>
      <w:r>
        <w:rPr>
          <w:rFonts w:cs="David" w:hint="cs"/>
          <w:sz w:val="28"/>
          <w:szCs w:val="28"/>
          <w:rtl/>
        </w:rPr>
        <w:t>בירנהק אינו מקבל אף אחת מ</w:t>
      </w:r>
      <w:r w:rsidR="00217BC4">
        <w:rPr>
          <w:rFonts w:cs="David" w:hint="cs"/>
          <w:sz w:val="28"/>
          <w:szCs w:val="28"/>
          <w:rtl/>
        </w:rPr>
        <w:t>ה</w:t>
      </w:r>
      <w:r>
        <w:rPr>
          <w:rFonts w:cs="David" w:hint="cs"/>
          <w:sz w:val="28"/>
          <w:szCs w:val="28"/>
          <w:rtl/>
        </w:rPr>
        <w:t xml:space="preserve">עמדות </w:t>
      </w:r>
      <w:r w:rsidR="00217BC4">
        <w:rPr>
          <w:rFonts w:cs="David" w:hint="cs"/>
          <w:sz w:val="28"/>
          <w:szCs w:val="28"/>
          <w:rtl/>
        </w:rPr>
        <w:t>ה</w:t>
      </w:r>
      <w:r>
        <w:rPr>
          <w:rFonts w:cs="David" w:hint="cs"/>
          <w:sz w:val="28"/>
          <w:szCs w:val="28"/>
          <w:rtl/>
        </w:rPr>
        <w:t xml:space="preserve">קיצוניות </w:t>
      </w:r>
      <w:r w:rsidR="00217BC4">
        <w:rPr>
          <w:rFonts w:cs="David" w:hint="cs"/>
          <w:sz w:val="28"/>
          <w:szCs w:val="28"/>
          <w:rtl/>
        </w:rPr>
        <w:t>הללו.</w:t>
      </w:r>
      <w:r>
        <w:rPr>
          <w:rStyle w:val="a5"/>
          <w:rFonts w:cs="David"/>
          <w:sz w:val="28"/>
          <w:szCs w:val="28"/>
          <w:rtl/>
        </w:rPr>
        <w:footnoteReference w:id="218"/>
      </w:r>
      <w:r>
        <w:rPr>
          <w:rFonts w:cs="David" w:hint="cs"/>
          <w:sz w:val="28"/>
          <w:szCs w:val="28"/>
          <w:rtl/>
        </w:rPr>
        <w:t xml:space="preserve"> לדעתו, יש לפרש את כללי המשפט הקיימים או לעצב כללים חדשים, </w:t>
      </w:r>
      <w:r w:rsidRPr="00066E57">
        <w:rPr>
          <w:rFonts w:cs="David" w:hint="cs"/>
          <w:b/>
          <w:bCs/>
          <w:sz w:val="28"/>
          <w:szCs w:val="28"/>
          <w:rtl/>
        </w:rPr>
        <w:t xml:space="preserve">תוך גזירתם מערכים </w:t>
      </w:r>
      <w:r w:rsidRPr="00A0418D">
        <w:rPr>
          <w:rFonts w:cs="David" w:hint="cs"/>
          <w:b/>
          <w:bCs/>
          <w:sz w:val="28"/>
          <w:szCs w:val="28"/>
          <w:rtl/>
        </w:rPr>
        <w:t xml:space="preserve">חברתיים ותוך </w:t>
      </w:r>
      <w:r w:rsidRPr="00A0418D">
        <w:rPr>
          <w:rFonts w:cs="David"/>
          <w:b/>
          <w:bCs/>
          <w:sz w:val="28"/>
          <w:szCs w:val="28"/>
          <w:rtl/>
        </w:rPr>
        <w:br/>
      </w:r>
      <w:r w:rsidRPr="00A0418D">
        <w:rPr>
          <w:rFonts w:cs="David" w:hint="cs"/>
          <w:b/>
          <w:bCs/>
          <w:sz w:val="28"/>
          <w:szCs w:val="28"/>
          <w:rtl/>
        </w:rPr>
        <w:t>דו-שיח עם המאפיינים הייחודיים הרלוונטיים של הטכנולוגיה ומרשתת בתוכה.</w:t>
      </w:r>
      <w:r>
        <w:rPr>
          <w:rFonts w:cs="David" w:hint="cs"/>
          <w:sz w:val="28"/>
          <w:szCs w:val="28"/>
          <w:rtl/>
        </w:rPr>
        <w:t xml:space="preserve"> </w:t>
      </w:r>
      <w:r w:rsidRPr="00E762F9">
        <w:rPr>
          <w:rFonts w:cs="David" w:hint="cs"/>
          <w:sz w:val="28"/>
          <w:szCs w:val="28"/>
          <w:rtl/>
        </w:rPr>
        <w:t>תפיסה זו, הוא מוסיף</w:t>
      </w:r>
      <w:r w:rsidRPr="00840A56">
        <w:rPr>
          <w:rFonts w:cs="David" w:hint="cs"/>
          <w:b/>
          <w:bCs/>
          <w:sz w:val="28"/>
          <w:szCs w:val="28"/>
          <w:rtl/>
        </w:rPr>
        <w:t>, מקנה עדיפות עקרונית לערכים על פני הטכנולוגיה ואיננה נופלת ברשתה כדבר מובן מאליו, אך גם אינה מתעלמת ממנה</w:t>
      </w:r>
      <w:r>
        <w:rPr>
          <w:rFonts w:cs="David" w:hint="cs"/>
          <w:sz w:val="28"/>
          <w:szCs w:val="28"/>
          <w:rtl/>
        </w:rPr>
        <w:t xml:space="preserve"> והיא מדגישה את הדינמיות של היחסים שבין משפט, ערכים וטכנולוגיה.</w:t>
      </w:r>
    </w:p>
    <w:p w:rsidR="00712EFA" w:rsidRPr="00870B2B" w:rsidRDefault="00712EFA" w:rsidP="00322605">
      <w:pPr>
        <w:spacing w:line="360" w:lineRule="auto"/>
        <w:jc w:val="both"/>
        <w:rPr>
          <w:rFonts w:cs="David"/>
          <w:b/>
          <w:bCs/>
          <w:sz w:val="28"/>
          <w:szCs w:val="28"/>
          <w:rtl/>
        </w:rPr>
      </w:pPr>
      <w:r>
        <w:rPr>
          <w:rFonts w:cs="David" w:hint="cs"/>
          <w:sz w:val="28"/>
          <w:szCs w:val="28"/>
          <w:rtl/>
        </w:rPr>
        <w:t>ניתן להסכים עם דברי בירנהק,</w:t>
      </w:r>
      <w:r>
        <w:rPr>
          <w:rStyle w:val="a5"/>
          <w:rFonts w:cs="David"/>
          <w:sz w:val="28"/>
          <w:szCs w:val="28"/>
          <w:rtl/>
        </w:rPr>
        <w:footnoteReference w:id="219"/>
      </w:r>
      <w:r>
        <w:rPr>
          <w:rFonts w:cs="David" w:hint="cs"/>
          <w:sz w:val="28"/>
          <w:szCs w:val="28"/>
          <w:rtl/>
        </w:rPr>
        <w:t xml:space="preserve"> לפיהם המשפט והטכנולוגיה מתחרים על הבכורה  מי יקבע את המותר והאסור וכי </w:t>
      </w:r>
      <w:r w:rsidRPr="00813C26">
        <w:rPr>
          <w:rFonts w:cs="David" w:hint="cs"/>
          <w:b/>
          <w:bCs/>
          <w:sz w:val="28"/>
          <w:szCs w:val="28"/>
          <w:rtl/>
        </w:rPr>
        <w:t>אי-אפשר להכריע בשאלה זו בלי לתת את הדעת לקדקוד שלישי: הערכים החברת</w:t>
      </w:r>
      <w:r w:rsidRPr="00870B2B">
        <w:rPr>
          <w:rFonts w:cs="David" w:hint="cs"/>
          <w:b/>
          <w:bCs/>
          <w:sz w:val="28"/>
          <w:szCs w:val="28"/>
          <w:rtl/>
        </w:rPr>
        <w:t xml:space="preserve">יים </w:t>
      </w:r>
      <w:r>
        <w:rPr>
          <w:rFonts w:cs="David" w:hint="cs"/>
          <w:b/>
          <w:bCs/>
          <w:sz w:val="28"/>
          <w:szCs w:val="28"/>
          <w:rtl/>
        </w:rPr>
        <w:t>ו</w:t>
      </w:r>
      <w:r w:rsidRPr="00870B2B">
        <w:rPr>
          <w:rFonts w:cs="David" w:hint="cs"/>
          <w:b/>
          <w:bCs/>
          <w:sz w:val="28"/>
          <w:szCs w:val="28"/>
          <w:rtl/>
        </w:rPr>
        <w:t>נורמות היסוד בחברה</w:t>
      </w:r>
      <w:r>
        <w:rPr>
          <w:rFonts w:cs="David" w:hint="cs"/>
          <w:sz w:val="28"/>
          <w:szCs w:val="28"/>
          <w:rtl/>
        </w:rPr>
        <w:t xml:space="preserve">. הוספת קדקוד זה, לדבריו, הופכת את הציר משפט-טכנולוגיה למשולש. קדקוד זה אינו סטטי ואינו יציב כלל, שכן בחברה דמוקרטית ישנם ערכים רבים המתנגשים ביניהם. </w:t>
      </w:r>
      <w:r w:rsidRPr="005C4B14">
        <w:rPr>
          <w:rFonts w:cs="David" w:hint="cs"/>
          <w:b/>
          <w:bCs/>
          <w:sz w:val="28"/>
          <w:szCs w:val="28"/>
          <w:rtl/>
        </w:rPr>
        <w:t>דוגמ</w:t>
      </w:r>
      <w:r w:rsidR="00217BC4">
        <w:rPr>
          <w:rFonts w:cs="David" w:hint="cs"/>
          <w:b/>
          <w:bCs/>
          <w:sz w:val="28"/>
          <w:szCs w:val="28"/>
          <w:rtl/>
        </w:rPr>
        <w:t>ה</w:t>
      </w:r>
      <w:r w:rsidRPr="005C4B14">
        <w:rPr>
          <w:rFonts w:cs="David" w:hint="cs"/>
          <w:b/>
          <w:bCs/>
          <w:sz w:val="28"/>
          <w:szCs w:val="28"/>
          <w:rtl/>
        </w:rPr>
        <w:t xml:space="preserve"> פרטנית לכך, ניתן ל</w:t>
      </w:r>
      <w:r w:rsidR="00813C26">
        <w:rPr>
          <w:rFonts w:cs="David" w:hint="cs"/>
          <w:b/>
          <w:bCs/>
          <w:sz w:val="28"/>
          <w:szCs w:val="28"/>
          <w:rtl/>
        </w:rPr>
        <w:t>ראות ב</w:t>
      </w:r>
      <w:r w:rsidRPr="005C4B14">
        <w:rPr>
          <w:rFonts w:cs="David" w:hint="cs"/>
          <w:b/>
          <w:bCs/>
          <w:sz w:val="28"/>
          <w:szCs w:val="28"/>
          <w:rtl/>
        </w:rPr>
        <w:t>התנגשות בין חופש הביטוי ובין הערכים המוגנים באיסורים הפליליים שבעבירות ההסתה</w:t>
      </w:r>
      <w:r>
        <w:rPr>
          <w:rFonts w:cs="David" w:hint="cs"/>
          <w:sz w:val="28"/>
          <w:szCs w:val="28"/>
          <w:rtl/>
        </w:rPr>
        <w:t xml:space="preserve">: אמנם, המשפט הישראלי הכיר בחופש הביטוי כזכות עילאית ונורמת יסוד בחברה, אך יחד עם זאת קבע </w:t>
      </w:r>
      <w:r w:rsidRPr="00017F41">
        <w:rPr>
          <w:rFonts w:cs="David" w:hint="cs"/>
          <w:b/>
          <w:bCs/>
          <w:sz w:val="28"/>
          <w:szCs w:val="28"/>
          <w:rtl/>
        </w:rPr>
        <w:t xml:space="preserve">כי אין זו זכות מוחלטת וכי </w:t>
      </w:r>
      <w:r w:rsidR="00217BC4">
        <w:rPr>
          <w:rFonts w:cs="David" w:hint="cs"/>
          <w:b/>
          <w:bCs/>
          <w:sz w:val="28"/>
          <w:szCs w:val="28"/>
          <w:rtl/>
        </w:rPr>
        <w:t xml:space="preserve">יהיו מקרים שהיא תרכין ראשה בפני </w:t>
      </w:r>
      <w:r>
        <w:rPr>
          <w:rFonts w:cs="David" w:hint="cs"/>
          <w:b/>
          <w:bCs/>
          <w:sz w:val="28"/>
          <w:szCs w:val="28"/>
          <w:rtl/>
        </w:rPr>
        <w:t>ה</w:t>
      </w:r>
      <w:r w:rsidRPr="00017F41">
        <w:rPr>
          <w:rFonts w:cs="David" w:hint="cs"/>
          <w:b/>
          <w:bCs/>
          <w:sz w:val="28"/>
          <w:szCs w:val="28"/>
          <w:rtl/>
        </w:rPr>
        <w:t xml:space="preserve">אינטרסים </w:t>
      </w:r>
      <w:r w:rsidRPr="00870B2B">
        <w:rPr>
          <w:rFonts w:cs="David" w:hint="cs"/>
          <w:b/>
          <w:bCs/>
          <w:sz w:val="28"/>
          <w:szCs w:val="28"/>
          <w:rtl/>
        </w:rPr>
        <w:t>המוגנים באיסורים הפליליים שבעבירות ההסתה לגזענות ולאלימות.</w:t>
      </w:r>
    </w:p>
    <w:p w:rsidR="00712EFA" w:rsidRPr="008F7E06" w:rsidRDefault="00712EFA" w:rsidP="00322605">
      <w:pPr>
        <w:spacing w:line="360" w:lineRule="auto"/>
        <w:jc w:val="both"/>
        <w:rPr>
          <w:rFonts w:cs="David"/>
          <w:b/>
          <w:bCs/>
          <w:color w:val="FF0000"/>
          <w:sz w:val="28"/>
          <w:szCs w:val="28"/>
          <w:rtl/>
        </w:rPr>
      </w:pPr>
      <w:r>
        <w:rPr>
          <w:rFonts w:cs="David" w:hint="cs"/>
          <w:sz w:val="28"/>
          <w:szCs w:val="28"/>
          <w:rtl/>
        </w:rPr>
        <w:t xml:space="preserve">אם כך, אמנם היחס בין הקדקודים השונים במשולש הוא מורכב, אך ניתן לומר כי בשיטת המשפט העכשווית, </w:t>
      </w:r>
      <w:r w:rsidRPr="005D65FD">
        <w:rPr>
          <w:rFonts w:cs="David" w:hint="cs"/>
          <w:b/>
          <w:bCs/>
          <w:sz w:val="28"/>
          <w:szCs w:val="28"/>
          <w:rtl/>
        </w:rPr>
        <w:t>הערכים הם המכתיבים את פרשנות כללי המשפט</w:t>
      </w:r>
      <w:r>
        <w:rPr>
          <w:rFonts w:cs="David" w:hint="cs"/>
          <w:sz w:val="28"/>
          <w:szCs w:val="28"/>
          <w:rtl/>
        </w:rPr>
        <w:t>.</w:t>
      </w:r>
      <w:r>
        <w:rPr>
          <w:rStyle w:val="a5"/>
          <w:rFonts w:cs="David"/>
          <w:sz w:val="28"/>
          <w:szCs w:val="28"/>
          <w:rtl/>
        </w:rPr>
        <w:footnoteReference w:id="220"/>
      </w:r>
      <w:r>
        <w:rPr>
          <w:rFonts w:cs="David" w:hint="cs"/>
          <w:sz w:val="28"/>
          <w:szCs w:val="28"/>
          <w:rtl/>
        </w:rPr>
        <w:t xml:space="preserve"> מובן שיש כאן שאלות פתוחות רבות, </w:t>
      </w:r>
      <w:r w:rsidRPr="005D65FD">
        <w:rPr>
          <w:rFonts w:cs="David" w:hint="cs"/>
          <w:b/>
          <w:bCs/>
          <w:sz w:val="28"/>
          <w:szCs w:val="28"/>
          <w:rtl/>
        </w:rPr>
        <w:t xml:space="preserve">אולם </w:t>
      </w:r>
      <w:r>
        <w:rPr>
          <w:rFonts w:cs="David" w:hint="cs"/>
          <w:b/>
          <w:bCs/>
          <w:sz w:val="28"/>
          <w:szCs w:val="28"/>
          <w:rtl/>
        </w:rPr>
        <w:t xml:space="preserve">בסיכומם של דברים נראה שאין לחשוש </w:t>
      </w:r>
      <w:r>
        <w:rPr>
          <w:rFonts w:cs="David" w:hint="cs"/>
          <w:b/>
          <w:bCs/>
          <w:sz w:val="28"/>
          <w:szCs w:val="28"/>
          <w:rtl/>
        </w:rPr>
        <w:lastRenderedPageBreak/>
        <w:t xml:space="preserve">מהטלת האינטרסים וערכים המוגנים בעבירות ההסתה לגזענות ולאלימות </w:t>
      </w:r>
      <w:r w:rsidRPr="005D65FD">
        <w:rPr>
          <w:rFonts w:cs="David" w:hint="cs"/>
          <w:b/>
          <w:bCs/>
          <w:sz w:val="28"/>
          <w:szCs w:val="28"/>
          <w:rtl/>
        </w:rPr>
        <w:t>על הטכנולוגיה.</w:t>
      </w:r>
      <w:r>
        <w:rPr>
          <w:rFonts w:cs="David" w:hint="cs"/>
          <w:b/>
          <w:bCs/>
          <w:sz w:val="28"/>
          <w:szCs w:val="28"/>
          <w:rtl/>
        </w:rPr>
        <w:t xml:space="preserve"> </w:t>
      </w:r>
      <w:r w:rsidR="00823AA3" w:rsidRPr="00306B31">
        <w:rPr>
          <w:rFonts w:cs="David" w:hint="cs"/>
          <w:b/>
          <w:bCs/>
          <w:sz w:val="28"/>
          <w:szCs w:val="28"/>
          <w:rtl/>
        </w:rPr>
        <w:t>לאור הנתונים והיקף השיח הגזעני והמסית ברשת, נדמה שלא כך המצב במציאות הישראלית.</w:t>
      </w:r>
    </w:p>
    <w:p w:rsidR="00712EFA" w:rsidRPr="00F27EFC" w:rsidRDefault="00712EFA" w:rsidP="00322605">
      <w:pPr>
        <w:spacing w:line="360" w:lineRule="auto"/>
        <w:jc w:val="both"/>
        <w:rPr>
          <w:rFonts w:cs="David"/>
          <w:sz w:val="28"/>
          <w:szCs w:val="28"/>
          <w:rtl/>
        </w:rPr>
      </w:pPr>
      <w:r>
        <w:rPr>
          <w:rFonts w:cs="David" w:hint="cs"/>
          <w:b/>
          <w:bCs/>
          <w:sz w:val="28"/>
          <w:szCs w:val="28"/>
          <w:rtl/>
        </w:rPr>
        <w:t xml:space="preserve">תפיסה זו </w:t>
      </w:r>
      <w:r w:rsidR="00492A3C">
        <w:rPr>
          <w:rFonts w:cs="David" w:hint="cs"/>
          <w:b/>
          <w:bCs/>
          <w:sz w:val="28"/>
          <w:szCs w:val="28"/>
          <w:rtl/>
        </w:rPr>
        <w:t xml:space="preserve">אמנם </w:t>
      </w:r>
      <w:r>
        <w:rPr>
          <w:rFonts w:cs="David" w:hint="cs"/>
          <w:b/>
          <w:bCs/>
          <w:sz w:val="28"/>
          <w:szCs w:val="28"/>
          <w:rtl/>
        </w:rPr>
        <w:t>מדגישה כי הטכנולוגיה אינה חסינה מפני הסדרה</w:t>
      </w:r>
      <w:r w:rsidR="007504E4">
        <w:rPr>
          <w:rFonts w:cs="David" w:hint="cs"/>
          <w:b/>
          <w:bCs/>
          <w:sz w:val="28"/>
          <w:szCs w:val="28"/>
          <w:rtl/>
        </w:rPr>
        <w:t xml:space="preserve"> - מדינתית או פרטית</w:t>
      </w:r>
      <w:r>
        <w:rPr>
          <w:rFonts w:cs="David" w:hint="cs"/>
          <w:b/>
          <w:bCs/>
          <w:sz w:val="28"/>
          <w:szCs w:val="28"/>
          <w:rtl/>
        </w:rPr>
        <w:t xml:space="preserve">, אבל בד בבד, אין להתעלם ממנה. </w:t>
      </w:r>
      <w:r w:rsidRPr="00F27EFC">
        <w:rPr>
          <w:rFonts w:cs="David" w:hint="cs"/>
          <w:sz w:val="28"/>
          <w:szCs w:val="28"/>
          <w:rtl/>
        </w:rPr>
        <w:t>טוען בירנהק:</w:t>
      </w:r>
      <w:r>
        <w:rPr>
          <w:rStyle w:val="a5"/>
          <w:rFonts w:cs="David"/>
          <w:sz w:val="28"/>
          <w:szCs w:val="28"/>
          <w:rtl/>
        </w:rPr>
        <w:footnoteReference w:id="221"/>
      </w:r>
    </w:p>
    <w:p w:rsidR="00712EFA" w:rsidRPr="00F27EFC" w:rsidRDefault="00712EFA" w:rsidP="00322605">
      <w:pPr>
        <w:spacing w:line="360" w:lineRule="auto"/>
        <w:ind w:left="720"/>
        <w:jc w:val="both"/>
        <w:rPr>
          <w:rFonts w:cs="David"/>
          <w:sz w:val="24"/>
          <w:szCs w:val="24"/>
          <w:rtl/>
        </w:rPr>
      </w:pPr>
      <w:r w:rsidRPr="00F27EFC">
        <w:rPr>
          <w:rFonts w:cs="David" w:hint="cs"/>
          <w:sz w:val="24"/>
          <w:szCs w:val="24"/>
          <w:rtl/>
        </w:rPr>
        <w:t xml:space="preserve">בעיצוב כללים משפטיים חדשים או בעת פרשנות כללים קיימים, </w:t>
      </w:r>
      <w:r w:rsidRPr="00B55FF7">
        <w:rPr>
          <w:rFonts w:cs="David" w:hint="cs"/>
          <w:b/>
          <w:bCs/>
          <w:sz w:val="24"/>
          <w:szCs w:val="24"/>
          <w:rtl/>
        </w:rPr>
        <w:t>יש להיות ערים לטכנולוגיה</w:t>
      </w:r>
      <w:r w:rsidRPr="00F27EFC">
        <w:rPr>
          <w:rFonts w:cs="David" w:hint="cs"/>
          <w:sz w:val="24"/>
          <w:szCs w:val="24"/>
          <w:rtl/>
        </w:rPr>
        <w:t xml:space="preserve">, ללמוד את מאפייניה ולחלץ את הערכים הגלומים בה. </w:t>
      </w:r>
      <w:r>
        <w:rPr>
          <w:rFonts w:cs="David" w:hint="cs"/>
          <w:sz w:val="24"/>
          <w:szCs w:val="24"/>
          <w:rtl/>
        </w:rPr>
        <w:t xml:space="preserve">הטעם לכך הוא </w:t>
      </w:r>
      <w:r w:rsidRPr="00044B44">
        <w:rPr>
          <w:rFonts w:cs="David" w:hint="cs"/>
          <w:b/>
          <w:bCs/>
          <w:sz w:val="24"/>
          <w:szCs w:val="24"/>
          <w:rtl/>
        </w:rPr>
        <w:t>שהטכנולוגיה מאתגרת את הערכים</w:t>
      </w:r>
      <w:r>
        <w:rPr>
          <w:rFonts w:cs="David" w:hint="cs"/>
          <w:sz w:val="24"/>
          <w:szCs w:val="24"/>
          <w:rtl/>
        </w:rPr>
        <w:t xml:space="preserve">. </w:t>
      </w:r>
      <w:r w:rsidRPr="00F27EFC">
        <w:rPr>
          <w:rFonts w:cs="David" w:hint="cs"/>
          <w:sz w:val="24"/>
          <w:szCs w:val="24"/>
          <w:rtl/>
        </w:rPr>
        <w:t>היא יוצרת מצבים חדשים, אשר אין לנו תשובה מן המוכן לגביהם. היא חושפת את קוצר ידם של ערכים מסוימים ואת עוצמתם של ערכים אחרים.</w:t>
      </w:r>
      <w:r>
        <w:rPr>
          <w:rFonts w:cs="David" w:hint="cs"/>
          <w:sz w:val="24"/>
          <w:szCs w:val="24"/>
          <w:rtl/>
        </w:rPr>
        <w:t xml:space="preserve"> בנוסף, </w:t>
      </w:r>
      <w:r w:rsidRPr="00B439FF">
        <w:rPr>
          <w:rFonts w:cs="David" w:hint="cs"/>
          <w:b/>
          <w:bCs/>
          <w:sz w:val="24"/>
          <w:szCs w:val="24"/>
          <w:rtl/>
        </w:rPr>
        <w:t>הרב-שיח שבין הערכים לטכנולוגיה נדרש כדי שהכלל המשפטי הנגזר מהערכים יהיה אפקטיבי</w:t>
      </w:r>
      <w:r>
        <w:rPr>
          <w:rFonts w:cs="David" w:hint="cs"/>
          <w:sz w:val="24"/>
          <w:szCs w:val="24"/>
          <w:rtl/>
        </w:rPr>
        <w:t xml:space="preserve">: </w:t>
      </w:r>
      <w:r w:rsidRPr="00044B44">
        <w:rPr>
          <w:rFonts w:cs="David" w:hint="cs"/>
          <w:b/>
          <w:bCs/>
          <w:sz w:val="24"/>
          <w:szCs w:val="24"/>
          <w:rtl/>
        </w:rPr>
        <w:t>אין טעם או הגיון בכלל משפטי שאינו ישים לרשת או שאפשר לסכלו בקלות, באמצעות טכנולוגיה מתאימה.</w:t>
      </w:r>
      <w:r>
        <w:rPr>
          <w:rFonts w:cs="David" w:hint="cs"/>
          <w:sz w:val="24"/>
          <w:szCs w:val="24"/>
          <w:rtl/>
        </w:rPr>
        <w:t xml:space="preserve"> (ההדגשות של הח"מ </w:t>
      </w:r>
      <w:r>
        <w:rPr>
          <w:rFonts w:cs="David"/>
          <w:sz w:val="24"/>
          <w:szCs w:val="24"/>
          <w:rtl/>
        </w:rPr>
        <w:t>–</w:t>
      </w:r>
      <w:r>
        <w:rPr>
          <w:rFonts w:cs="David" w:hint="cs"/>
          <w:sz w:val="24"/>
          <w:szCs w:val="24"/>
          <w:rtl/>
        </w:rPr>
        <w:t xml:space="preserve"> ר"מ)</w:t>
      </w:r>
    </w:p>
    <w:p w:rsidR="00C80269" w:rsidRDefault="00C153AF" w:rsidP="00322605">
      <w:pPr>
        <w:spacing w:line="360" w:lineRule="auto"/>
        <w:jc w:val="both"/>
        <w:rPr>
          <w:rFonts w:cs="David"/>
          <w:b/>
          <w:bCs/>
          <w:sz w:val="28"/>
          <w:szCs w:val="28"/>
          <w:rtl/>
        </w:rPr>
      </w:pPr>
      <w:r w:rsidRPr="00C153AF">
        <w:rPr>
          <w:rFonts w:cs="David" w:hint="cs"/>
          <w:sz w:val="28"/>
          <w:szCs w:val="28"/>
          <w:rtl/>
        </w:rPr>
        <w:t xml:space="preserve">בסיכומו של הפרק </w:t>
      </w:r>
      <w:r w:rsidR="00C80269" w:rsidRPr="00C153AF">
        <w:rPr>
          <w:rFonts w:cs="David" w:hint="cs"/>
          <w:sz w:val="28"/>
          <w:szCs w:val="28"/>
          <w:rtl/>
        </w:rPr>
        <w:t xml:space="preserve">ניתן לראות אם כן, כי המגבלות בהסדרה מדינתית, כפי שאלו הובאו לעיל, </w:t>
      </w:r>
      <w:r w:rsidR="00C80269" w:rsidRPr="00186A08">
        <w:rPr>
          <w:rFonts w:cs="David" w:hint="cs"/>
          <w:sz w:val="28"/>
          <w:szCs w:val="28"/>
          <w:rtl/>
        </w:rPr>
        <w:t>הו</w:t>
      </w:r>
      <w:r w:rsidR="001718B4">
        <w:rPr>
          <w:rFonts w:cs="David" w:hint="cs"/>
          <w:sz w:val="28"/>
          <w:szCs w:val="28"/>
          <w:rtl/>
        </w:rPr>
        <w:t>בילו</w:t>
      </w:r>
      <w:r w:rsidR="00C80269" w:rsidRPr="00186A08">
        <w:rPr>
          <w:rFonts w:cs="David" w:hint="cs"/>
          <w:sz w:val="28"/>
          <w:szCs w:val="28"/>
          <w:rtl/>
        </w:rPr>
        <w:t xml:space="preserve"> את החוקרים לדון </w:t>
      </w:r>
      <w:r w:rsidR="00C80269" w:rsidRPr="00ED163D">
        <w:rPr>
          <w:rFonts w:cs="David" w:hint="cs"/>
          <w:b/>
          <w:bCs/>
          <w:sz w:val="28"/>
          <w:szCs w:val="28"/>
          <w:rtl/>
        </w:rPr>
        <w:t>באימוצה של הסדרה פרטית</w:t>
      </w:r>
      <w:r w:rsidR="00C80269" w:rsidRPr="00186A08">
        <w:rPr>
          <w:rFonts w:cs="David" w:hint="cs"/>
          <w:sz w:val="28"/>
          <w:szCs w:val="28"/>
          <w:rtl/>
        </w:rPr>
        <w:t xml:space="preserve"> במרשתת ו</w:t>
      </w:r>
      <w:r w:rsidR="00C80269" w:rsidRPr="00831A09">
        <w:rPr>
          <w:rFonts w:cs="David" w:hint="cs"/>
          <w:b/>
          <w:bCs/>
          <w:sz w:val="28"/>
          <w:szCs w:val="28"/>
          <w:rtl/>
        </w:rPr>
        <w:t>לתמיכה</w:t>
      </w:r>
      <w:r w:rsidR="00C80269" w:rsidRPr="00186A08">
        <w:rPr>
          <w:rFonts w:cs="David" w:hint="cs"/>
          <w:sz w:val="28"/>
          <w:szCs w:val="28"/>
          <w:rtl/>
        </w:rPr>
        <w:t xml:space="preserve"> בגישה זו,</w:t>
      </w:r>
      <w:r w:rsidR="00C80269" w:rsidRPr="002D30EF">
        <w:rPr>
          <w:rFonts w:cs="David" w:hint="cs"/>
          <w:b/>
          <w:bCs/>
          <w:sz w:val="28"/>
          <w:szCs w:val="28"/>
          <w:rtl/>
        </w:rPr>
        <w:t xml:space="preserve"> אך</w:t>
      </w:r>
      <w:r w:rsidR="00C80269">
        <w:rPr>
          <w:rFonts w:cs="David" w:hint="cs"/>
          <w:sz w:val="28"/>
          <w:szCs w:val="28"/>
          <w:rtl/>
        </w:rPr>
        <w:t xml:space="preserve"> </w:t>
      </w:r>
      <w:r w:rsidR="00C80269" w:rsidRPr="00EA77B7">
        <w:rPr>
          <w:rFonts w:cs="David" w:hint="cs"/>
          <w:b/>
          <w:bCs/>
          <w:sz w:val="28"/>
          <w:szCs w:val="28"/>
          <w:rtl/>
        </w:rPr>
        <w:t>בהסתייגות</w:t>
      </w:r>
      <w:r w:rsidR="00C80269">
        <w:rPr>
          <w:rFonts w:cs="David" w:hint="cs"/>
          <w:sz w:val="28"/>
          <w:szCs w:val="28"/>
          <w:rtl/>
        </w:rPr>
        <w:t xml:space="preserve">. לדידם, רצוי כי המחוקק יקבע </w:t>
      </w:r>
      <w:r w:rsidR="00C80269" w:rsidRPr="003775FA">
        <w:rPr>
          <w:rFonts w:cs="David" w:hint="cs"/>
          <w:sz w:val="28"/>
          <w:szCs w:val="28"/>
          <w:rtl/>
        </w:rPr>
        <w:t xml:space="preserve">כללים </w:t>
      </w:r>
      <w:r w:rsidR="00A82B4C">
        <w:rPr>
          <w:rFonts w:cs="David" w:hint="cs"/>
          <w:sz w:val="28"/>
          <w:szCs w:val="28"/>
          <w:rtl/>
        </w:rPr>
        <w:t xml:space="preserve">המאפשרים להסדרה </w:t>
      </w:r>
      <w:r w:rsidR="001718B4">
        <w:rPr>
          <w:rFonts w:cs="David" w:hint="cs"/>
          <w:sz w:val="28"/>
          <w:szCs w:val="28"/>
          <w:rtl/>
        </w:rPr>
        <w:t>ה</w:t>
      </w:r>
      <w:r w:rsidR="004340C6">
        <w:rPr>
          <w:rFonts w:cs="David" w:hint="cs"/>
          <w:sz w:val="28"/>
          <w:szCs w:val="28"/>
          <w:rtl/>
        </w:rPr>
        <w:t>פרטית</w:t>
      </w:r>
      <w:r w:rsidR="00A82B4C">
        <w:rPr>
          <w:rFonts w:cs="David" w:hint="cs"/>
          <w:sz w:val="28"/>
          <w:szCs w:val="28"/>
          <w:rtl/>
        </w:rPr>
        <w:t xml:space="preserve"> לפעול ביעילות: </w:t>
      </w:r>
      <w:r w:rsidR="00DA40EA">
        <w:rPr>
          <w:rFonts w:cs="David" w:hint="cs"/>
          <w:sz w:val="28"/>
          <w:szCs w:val="28"/>
          <w:rtl/>
        </w:rPr>
        <w:t xml:space="preserve">כללים </w:t>
      </w:r>
      <w:r w:rsidR="00A82B4C">
        <w:rPr>
          <w:rFonts w:cs="David" w:hint="cs"/>
          <w:sz w:val="28"/>
          <w:szCs w:val="28"/>
          <w:rtl/>
        </w:rPr>
        <w:t xml:space="preserve">המטילים </w:t>
      </w:r>
      <w:r w:rsidR="00C80269" w:rsidRPr="003775FA">
        <w:rPr>
          <w:rFonts w:cs="David" w:hint="cs"/>
          <w:sz w:val="28"/>
          <w:szCs w:val="28"/>
          <w:rtl/>
        </w:rPr>
        <w:t xml:space="preserve">אחריות על </w:t>
      </w:r>
      <w:r w:rsidR="00C80269">
        <w:rPr>
          <w:rFonts w:cs="David" w:hint="cs"/>
          <w:sz w:val="28"/>
          <w:szCs w:val="28"/>
          <w:rtl/>
        </w:rPr>
        <w:t>'מתווכי התוכן' במרשתת</w:t>
      </w:r>
      <w:r w:rsidR="00C80269" w:rsidRPr="003775FA">
        <w:rPr>
          <w:rFonts w:cs="David" w:hint="cs"/>
          <w:sz w:val="28"/>
          <w:szCs w:val="28"/>
          <w:rtl/>
        </w:rPr>
        <w:t xml:space="preserve"> לאמץ כללי התנהגות מסוימים במרשת, </w:t>
      </w:r>
      <w:r w:rsidR="00A82B4C">
        <w:rPr>
          <w:rFonts w:cs="David" w:hint="cs"/>
          <w:sz w:val="28"/>
          <w:szCs w:val="28"/>
          <w:rtl/>
        </w:rPr>
        <w:t>המחייבים את ספקי המרשתת</w:t>
      </w:r>
      <w:r w:rsidR="00C80269" w:rsidRPr="003775FA">
        <w:rPr>
          <w:rFonts w:cs="David" w:hint="cs"/>
          <w:sz w:val="28"/>
          <w:szCs w:val="28"/>
          <w:rtl/>
        </w:rPr>
        <w:t xml:space="preserve"> לשמור על מידע והמסדירים את האפשרויות העומדות לרשות הגולשים בעת פנייה לספקים</w:t>
      </w:r>
      <w:r w:rsidR="00C80269">
        <w:rPr>
          <w:rFonts w:cs="David" w:hint="cs"/>
          <w:sz w:val="28"/>
          <w:szCs w:val="28"/>
          <w:rtl/>
        </w:rPr>
        <w:t xml:space="preserve">, </w:t>
      </w:r>
      <w:r w:rsidR="00C80269" w:rsidRPr="008345BC">
        <w:rPr>
          <w:rFonts w:cs="David" w:hint="cs"/>
          <w:b/>
          <w:bCs/>
          <w:sz w:val="28"/>
          <w:szCs w:val="28"/>
          <w:rtl/>
        </w:rPr>
        <w:t>אך אל ל</w:t>
      </w:r>
      <w:r>
        <w:rPr>
          <w:rFonts w:cs="David" w:hint="cs"/>
          <w:b/>
          <w:bCs/>
          <w:sz w:val="28"/>
          <w:szCs w:val="28"/>
          <w:rtl/>
        </w:rPr>
        <w:t>ו</w:t>
      </w:r>
      <w:r w:rsidR="00C80269" w:rsidRPr="008345BC">
        <w:rPr>
          <w:rFonts w:cs="David" w:hint="cs"/>
          <w:b/>
          <w:bCs/>
          <w:sz w:val="28"/>
          <w:szCs w:val="28"/>
          <w:rtl/>
        </w:rPr>
        <w:t xml:space="preserve"> להתערב בתכנים עצמם</w:t>
      </w:r>
      <w:r w:rsidR="009C3720">
        <w:rPr>
          <w:rFonts w:cs="David" w:hint="cs"/>
          <w:sz w:val="28"/>
          <w:szCs w:val="28"/>
          <w:rtl/>
        </w:rPr>
        <w:t xml:space="preserve">. </w:t>
      </w:r>
      <w:r w:rsidR="0073628C">
        <w:rPr>
          <w:rFonts w:cs="David" w:hint="cs"/>
          <w:sz w:val="28"/>
          <w:szCs w:val="28"/>
          <w:rtl/>
        </w:rPr>
        <w:t xml:space="preserve">לדעתם חקיקה שכזו </w:t>
      </w:r>
      <w:r w:rsidR="0073628C" w:rsidRPr="00DA40EA">
        <w:rPr>
          <w:rFonts w:cs="David" w:hint="cs"/>
          <w:b/>
          <w:bCs/>
          <w:sz w:val="28"/>
          <w:szCs w:val="28"/>
          <w:rtl/>
        </w:rPr>
        <w:t>ישימה</w:t>
      </w:r>
      <w:r w:rsidR="0073628C">
        <w:rPr>
          <w:rFonts w:cs="David" w:hint="cs"/>
          <w:sz w:val="28"/>
          <w:szCs w:val="28"/>
          <w:rtl/>
        </w:rPr>
        <w:t xml:space="preserve">, מכיוון שמדובר בספקי מרשתת מקומיים ובה בעת אינה מתערבת בתכנים עצמם ולכן אינה מעוררת חשש לסכנות שעליהן עמדה העבודה לעיל. </w:t>
      </w:r>
    </w:p>
    <w:p w:rsidR="002A1012" w:rsidRPr="00AA6518" w:rsidRDefault="006C7D25" w:rsidP="00322605">
      <w:pPr>
        <w:spacing w:line="360" w:lineRule="auto"/>
        <w:jc w:val="both"/>
        <w:rPr>
          <w:rFonts w:cs="David"/>
          <w:b/>
          <w:bCs/>
          <w:sz w:val="28"/>
          <w:szCs w:val="28"/>
          <w:rtl/>
        </w:rPr>
      </w:pPr>
      <w:r>
        <w:rPr>
          <w:rFonts w:cs="David" w:hint="cs"/>
          <w:sz w:val="28"/>
          <w:szCs w:val="28"/>
          <w:rtl/>
        </w:rPr>
        <w:t xml:space="preserve">על כך יש </w:t>
      </w:r>
      <w:r w:rsidR="008A7A35">
        <w:rPr>
          <w:rFonts w:cs="David" w:hint="cs"/>
          <w:sz w:val="28"/>
          <w:szCs w:val="28"/>
          <w:rtl/>
        </w:rPr>
        <w:t xml:space="preserve">להוסיף, כי </w:t>
      </w:r>
      <w:r w:rsidR="00A250EF" w:rsidRPr="00AA6518">
        <w:rPr>
          <w:rFonts w:cs="David" w:hint="cs"/>
          <w:sz w:val="28"/>
          <w:szCs w:val="28"/>
          <w:rtl/>
        </w:rPr>
        <w:t xml:space="preserve">בכל הסדרה </w:t>
      </w:r>
      <w:r w:rsidR="008A7A35" w:rsidRPr="00AA6518">
        <w:rPr>
          <w:rFonts w:cs="David" w:hint="cs"/>
          <w:sz w:val="28"/>
          <w:szCs w:val="28"/>
          <w:rtl/>
        </w:rPr>
        <w:t>-</w:t>
      </w:r>
      <w:r w:rsidR="00A250EF" w:rsidRPr="00AA6518">
        <w:rPr>
          <w:rFonts w:cs="David" w:hint="cs"/>
          <w:sz w:val="28"/>
          <w:szCs w:val="28"/>
          <w:rtl/>
        </w:rPr>
        <w:t xml:space="preserve"> מדינתית או פרטית </w:t>
      </w:r>
      <w:r w:rsidR="008A7A35" w:rsidRPr="00AA6518">
        <w:rPr>
          <w:rFonts w:cs="David" w:hint="cs"/>
          <w:sz w:val="28"/>
          <w:szCs w:val="28"/>
          <w:rtl/>
        </w:rPr>
        <w:t>-</w:t>
      </w:r>
      <w:r w:rsidR="00A250EF" w:rsidRPr="00AA6518">
        <w:rPr>
          <w:rFonts w:cs="David" w:hint="cs"/>
          <w:sz w:val="28"/>
          <w:szCs w:val="28"/>
          <w:rtl/>
        </w:rPr>
        <w:t xml:space="preserve"> </w:t>
      </w:r>
      <w:r w:rsidR="00A250EF" w:rsidRPr="00AA6518">
        <w:rPr>
          <w:rFonts w:cs="David" w:hint="cs"/>
          <w:b/>
          <w:bCs/>
          <w:sz w:val="28"/>
          <w:szCs w:val="28"/>
          <w:rtl/>
        </w:rPr>
        <w:t>יש לערכים החברתיים משקל מכריע בעיצוב המותר והאסור בסביבה הדיגיטלית</w:t>
      </w:r>
      <w:r w:rsidR="008A7A35" w:rsidRPr="00AA6518">
        <w:rPr>
          <w:rFonts w:cs="David" w:hint="cs"/>
          <w:sz w:val="28"/>
          <w:szCs w:val="28"/>
          <w:rtl/>
        </w:rPr>
        <w:t>.</w:t>
      </w:r>
      <w:r w:rsidR="00A250EF" w:rsidRPr="00AA6518">
        <w:rPr>
          <w:rFonts w:cs="David" w:hint="cs"/>
          <w:sz w:val="28"/>
          <w:szCs w:val="28"/>
          <w:rtl/>
        </w:rPr>
        <w:t xml:space="preserve"> </w:t>
      </w:r>
      <w:r w:rsidR="008A7A35" w:rsidRPr="00AA6518">
        <w:rPr>
          <w:rFonts w:cs="David" w:hint="cs"/>
          <w:sz w:val="28"/>
          <w:szCs w:val="28"/>
          <w:rtl/>
        </w:rPr>
        <w:t xml:space="preserve">הטכנולוגיה, כמו גם </w:t>
      </w:r>
      <w:r w:rsidR="002A1012" w:rsidRPr="00AA6518">
        <w:rPr>
          <w:rFonts w:cs="David" w:hint="cs"/>
          <w:sz w:val="28"/>
          <w:szCs w:val="28"/>
          <w:rtl/>
        </w:rPr>
        <w:t>ה</w:t>
      </w:r>
      <w:r w:rsidR="008A7A35" w:rsidRPr="00AA6518">
        <w:rPr>
          <w:rFonts w:cs="David" w:hint="cs"/>
          <w:sz w:val="28"/>
          <w:szCs w:val="28"/>
          <w:rtl/>
        </w:rPr>
        <w:t xml:space="preserve">פרשנות </w:t>
      </w:r>
      <w:r w:rsidR="002A1012" w:rsidRPr="00AA6518">
        <w:rPr>
          <w:rFonts w:cs="David" w:hint="cs"/>
          <w:sz w:val="28"/>
          <w:szCs w:val="28"/>
          <w:rtl/>
        </w:rPr>
        <w:t>ל</w:t>
      </w:r>
      <w:r w:rsidR="008A7A35" w:rsidRPr="00AA6518">
        <w:rPr>
          <w:rFonts w:cs="David" w:hint="cs"/>
          <w:sz w:val="28"/>
          <w:szCs w:val="28"/>
          <w:rtl/>
        </w:rPr>
        <w:t xml:space="preserve">כללי המשפט, כפופה גם היא לערכים. </w:t>
      </w:r>
      <w:r w:rsidR="002B6309" w:rsidRPr="00AA6518">
        <w:rPr>
          <w:rFonts w:cs="David" w:hint="cs"/>
          <w:b/>
          <w:bCs/>
          <w:sz w:val="28"/>
          <w:szCs w:val="28"/>
          <w:rtl/>
        </w:rPr>
        <w:t>נראה</w:t>
      </w:r>
      <w:r w:rsidR="001718B4">
        <w:rPr>
          <w:rFonts w:cs="David" w:hint="cs"/>
          <w:b/>
          <w:bCs/>
          <w:sz w:val="28"/>
          <w:szCs w:val="28"/>
          <w:rtl/>
        </w:rPr>
        <w:t>,</w:t>
      </w:r>
      <w:r w:rsidR="002B6309" w:rsidRPr="00AA6518">
        <w:rPr>
          <w:rFonts w:cs="David" w:hint="cs"/>
          <w:b/>
          <w:bCs/>
          <w:sz w:val="28"/>
          <w:szCs w:val="28"/>
          <w:rtl/>
        </w:rPr>
        <w:t xml:space="preserve"> כי בכל הנוגע לשיח גזעני ומסית מקרב יהודי</w:t>
      </w:r>
      <w:r w:rsidR="00306B31">
        <w:rPr>
          <w:rFonts w:cs="David" w:hint="cs"/>
          <w:b/>
          <w:bCs/>
          <w:sz w:val="28"/>
          <w:szCs w:val="28"/>
          <w:rtl/>
        </w:rPr>
        <w:t>ם</w:t>
      </w:r>
      <w:r w:rsidR="002B6309" w:rsidRPr="00AA6518">
        <w:rPr>
          <w:rFonts w:cs="David" w:hint="cs"/>
          <w:b/>
          <w:bCs/>
          <w:sz w:val="28"/>
          <w:szCs w:val="28"/>
          <w:rtl/>
        </w:rPr>
        <w:t xml:space="preserve"> ברשתות החברתיות, יש למדינת ישראל עוד כברת דרך לעשות בהקשר זה.</w:t>
      </w:r>
    </w:p>
    <w:p w:rsidR="00C80269" w:rsidRPr="00700238" w:rsidRDefault="00C80269" w:rsidP="00322605">
      <w:pPr>
        <w:spacing w:line="360" w:lineRule="auto"/>
        <w:jc w:val="both"/>
        <w:rPr>
          <w:rFonts w:cs="David"/>
          <w:b/>
          <w:bCs/>
          <w:sz w:val="28"/>
          <w:szCs w:val="28"/>
          <w:rtl/>
        </w:rPr>
      </w:pPr>
      <w:r>
        <w:rPr>
          <w:rFonts w:cs="David" w:hint="cs"/>
          <w:sz w:val="28"/>
          <w:szCs w:val="28"/>
          <w:rtl/>
        </w:rPr>
        <w:t>ההתלבטות בין הרצון לאכוף נורמות חברתיות</w:t>
      </w:r>
      <w:r w:rsidR="00D26B78">
        <w:rPr>
          <w:rFonts w:cs="David" w:hint="cs"/>
          <w:sz w:val="28"/>
          <w:szCs w:val="28"/>
          <w:rtl/>
        </w:rPr>
        <w:t xml:space="preserve"> כאשר הפעילות מבוצעת ברשת</w:t>
      </w:r>
      <w:r w:rsidR="00BC0C98">
        <w:rPr>
          <w:rFonts w:cs="David" w:hint="cs"/>
          <w:sz w:val="28"/>
          <w:szCs w:val="28"/>
          <w:rtl/>
        </w:rPr>
        <w:t xml:space="preserve"> </w:t>
      </w:r>
      <w:r w:rsidR="002D30EF">
        <w:rPr>
          <w:rFonts w:cs="David" w:hint="cs"/>
          <w:sz w:val="28"/>
          <w:szCs w:val="28"/>
          <w:rtl/>
        </w:rPr>
        <w:t>-</w:t>
      </w:r>
      <w:r w:rsidR="00BC0C98">
        <w:rPr>
          <w:rFonts w:cs="David" w:hint="cs"/>
          <w:sz w:val="28"/>
          <w:szCs w:val="28"/>
          <w:rtl/>
        </w:rPr>
        <w:t xml:space="preserve"> </w:t>
      </w:r>
      <w:r w:rsidR="00BC0C98" w:rsidRPr="00356907">
        <w:rPr>
          <w:rFonts w:cs="David" w:hint="cs"/>
          <w:b/>
          <w:bCs/>
          <w:sz w:val="28"/>
          <w:szCs w:val="28"/>
          <w:rtl/>
        </w:rPr>
        <w:t>כולל כאלו הנוגעות באופן פרטני בשיח גזעני ומסית</w:t>
      </w:r>
      <w:r w:rsidR="00BC0C98">
        <w:rPr>
          <w:rFonts w:cs="David" w:hint="cs"/>
          <w:sz w:val="28"/>
          <w:szCs w:val="28"/>
          <w:rtl/>
        </w:rPr>
        <w:t xml:space="preserve"> </w:t>
      </w:r>
      <w:r w:rsidR="00B01B9E">
        <w:rPr>
          <w:rFonts w:cs="David" w:hint="cs"/>
          <w:sz w:val="28"/>
          <w:szCs w:val="28"/>
          <w:rtl/>
        </w:rPr>
        <w:t xml:space="preserve">- </w:t>
      </w:r>
      <w:r>
        <w:rPr>
          <w:rFonts w:cs="David" w:hint="cs"/>
          <w:sz w:val="28"/>
          <w:szCs w:val="28"/>
          <w:rtl/>
        </w:rPr>
        <w:t xml:space="preserve">לבין החשש לפגיעה </w:t>
      </w:r>
      <w:r w:rsidR="0010526C">
        <w:rPr>
          <w:rFonts w:cs="David" w:hint="cs"/>
          <w:sz w:val="28"/>
          <w:szCs w:val="28"/>
          <w:rtl/>
        </w:rPr>
        <w:t>בחופש הביטוי ו</w:t>
      </w:r>
      <w:r>
        <w:rPr>
          <w:rFonts w:cs="David" w:hint="cs"/>
          <w:sz w:val="28"/>
          <w:szCs w:val="28"/>
          <w:rtl/>
        </w:rPr>
        <w:t xml:space="preserve">בהתפתחות הרשת על היתרונות שבה, </w:t>
      </w:r>
      <w:r w:rsidRPr="00BC0C98">
        <w:rPr>
          <w:rFonts w:cs="David" w:hint="cs"/>
          <w:b/>
          <w:bCs/>
          <w:sz w:val="28"/>
          <w:szCs w:val="28"/>
          <w:rtl/>
        </w:rPr>
        <w:t>היא התלבטות מהותית ולא פשוטה.</w:t>
      </w:r>
      <w:r>
        <w:rPr>
          <w:rFonts w:cs="David" w:hint="cs"/>
          <w:sz w:val="28"/>
          <w:szCs w:val="28"/>
          <w:rtl/>
        </w:rPr>
        <w:t xml:space="preserve"> בהתלבטות זו יש להביא בחשבון את קשיי האכיפה </w:t>
      </w:r>
      <w:r w:rsidR="00541EA9">
        <w:rPr>
          <w:rFonts w:cs="David" w:hint="cs"/>
          <w:sz w:val="28"/>
          <w:szCs w:val="28"/>
          <w:rtl/>
        </w:rPr>
        <w:t xml:space="preserve">האובייקטיבים הקיימים </w:t>
      </w:r>
      <w:r>
        <w:rPr>
          <w:rFonts w:cs="David" w:hint="cs"/>
          <w:sz w:val="28"/>
          <w:szCs w:val="28"/>
          <w:rtl/>
        </w:rPr>
        <w:t>ברשת, הנובעים מהפן הטכנולוגי ומ</w:t>
      </w:r>
      <w:r w:rsidR="00EA4ACB">
        <w:rPr>
          <w:rFonts w:cs="David" w:hint="cs"/>
          <w:sz w:val="28"/>
          <w:szCs w:val="28"/>
          <w:rtl/>
        </w:rPr>
        <w:t>ה</w:t>
      </w:r>
      <w:r>
        <w:rPr>
          <w:rFonts w:cs="David" w:hint="cs"/>
          <w:sz w:val="28"/>
          <w:szCs w:val="28"/>
          <w:rtl/>
        </w:rPr>
        <w:t xml:space="preserve">גלובליות </w:t>
      </w:r>
      <w:r w:rsidR="00EA4ACB">
        <w:rPr>
          <w:rFonts w:cs="David" w:hint="cs"/>
          <w:sz w:val="28"/>
          <w:szCs w:val="28"/>
          <w:rtl/>
        </w:rPr>
        <w:t xml:space="preserve">של </w:t>
      </w:r>
      <w:r>
        <w:rPr>
          <w:rFonts w:cs="David" w:hint="cs"/>
          <w:sz w:val="28"/>
          <w:szCs w:val="28"/>
          <w:rtl/>
        </w:rPr>
        <w:t>הר</w:t>
      </w:r>
      <w:r w:rsidR="00356907">
        <w:rPr>
          <w:rFonts w:cs="David" w:hint="cs"/>
          <w:sz w:val="28"/>
          <w:szCs w:val="28"/>
          <w:rtl/>
        </w:rPr>
        <w:t xml:space="preserve">שת </w:t>
      </w:r>
      <w:r w:rsidR="0046632B">
        <w:rPr>
          <w:rFonts w:cs="David" w:hint="cs"/>
          <w:sz w:val="28"/>
          <w:szCs w:val="28"/>
          <w:rtl/>
        </w:rPr>
        <w:t xml:space="preserve">כמו גם </w:t>
      </w:r>
      <w:r w:rsidR="00356907">
        <w:rPr>
          <w:rFonts w:cs="David" w:hint="cs"/>
          <w:sz w:val="28"/>
          <w:szCs w:val="28"/>
          <w:rtl/>
        </w:rPr>
        <w:t xml:space="preserve">את שיקולי מדיניות </w:t>
      </w:r>
      <w:r w:rsidR="00356907">
        <w:rPr>
          <w:rFonts w:cs="David" w:hint="cs"/>
          <w:sz w:val="28"/>
          <w:szCs w:val="28"/>
          <w:rtl/>
        </w:rPr>
        <w:lastRenderedPageBreak/>
        <w:t>האכיפה</w:t>
      </w:r>
      <w:r w:rsidR="00EA4ACB">
        <w:rPr>
          <w:rFonts w:cs="David" w:hint="cs"/>
          <w:sz w:val="28"/>
          <w:szCs w:val="28"/>
          <w:rtl/>
        </w:rPr>
        <w:t xml:space="preserve"> של הרשויות בישראל</w:t>
      </w:r>
      <w:r w:rsidR="00356907">
        <w:rPr>
          <w:rFonts w:cs="David" w:hint="cs"/>
          <w:sz w:val="28"/>
          <w:szCs w:val="28"/>
          <w:rtl/>
        </w:rPr>
        <w:t>, כפי שיובא</w:t>
      </w:r>
      <w:r w:rsidR="0046632B">
        <w:rPr>
          <w:rFonts w:cs="David" w:hint="cs"/>
          <w:sz w:val="28"/>
          <w:szCs w:val="28"/>
          <w:rtl/>
        </w:rPr>
        <w:t>ו</w:t>
      </w:r>
      <w:r w:rsidR="00356907">
        <w:rPr>
          <w:rFonts w:cs="David" w:hint="cs"/>
          <w:sz w:val="28"/>
          <w:szCs w:val="28"/>
          <w:rtl/>
        </w:rPr>
        <w:t xml:space="preserve"> בפרק הבא,</w:t>
      </w:r>
      <w:r>
        <w:rPr>
          <w:rFonts w:cs="David" w:hint="cs"/>
          <w:sz w:val="28"/>
          <w:szCs w:val="28"/>
          <w:rtl/>
        </w:rPr>
        <w:t xml:space="preserve"> כאשר ברור </w:t>
      </w:r>
      <w:r w:rsidRPr="00700238">
        <w:rPr>
          <w:rFonts w:cs="David" w:hint="cs"/>
          <w:b/>
          <w:bCs/>
          <w:sz w:val="28"/>
          <w:szCs w:val="28"/>
          <w:rtl/>
        </w:rPr>
        <w:t>שבכל פתרון תהיה פגיעה מסוימת בחופש הביטוי.</w:t>
      </w:r>
    </w:p>
    <w:p w:rsidR="00C80269" w:rsidRDefault="00C80269" w:rsidP="00F119A4">
      <w:pPr>
        <w:spacing w:line="360" w:lineRule="auto"/>
        <w:jc w:val="both"/>
        <w:rPr>
          <w:rFonts w:cs="David"/>
          <w:b/>
          <w:bCs/>
          <w:sz w:val="36"/>
          <w:szCs w:val="36"/>
          <w:rtl/>
        </w:rPr>
      </w:pPr>
    </w:p>
    <w:p w:rsidR="007D593C" w:rsidRDefault="007D593C" w:rsidP="00F119A4">
      <w:pPr>
        <w:spacing w:line="360" w:lineRule="auto"/>
        <w:jc w:val="both"/>
        <w:rPr>
          <w:rFonts w:cs="David"/>
          <w:b/>
          <w:bCs/>
          <w:sz w:val="36"/>
          <w:szCs w:val="36"/>
          <w:rtl/>
        </w:rPr>
      </w:pPr>
    </w:p>
    <w:p w:rsidR="00186A08" w:rsidRDefault="00186A08" w:rsidP="006701A6">
      <w:pPr>
        <w:spacing w:line="360" w:lineRule="auto"/>
        <w:jc w:val="both"/>
        <w:rPr>
          <w:rFonts w:cs="David"/>
          <w:b/>
          <w:bCs/>
          <w:sz w:val="36"/>
          <w:szCs w:val="36"/>
          <w:rtl/>
        </w:rPr>
      </w:pPr>
    </w:p>
    <w:p w:rsidR="00186A08" w:rsidRDefault="00186A08" w:rsidP="006701A6">
      <w:pPr>
        <w:spacing w:line="360" w:lineRule="auto"/>
        <w:jc w:val="both"/>
        <w:rPr>
          <w:rFonts w:cs="David"/>
          <w:b/>
          <w:bCs/>
          <w:sz w:val="36"/>
          <w:szCs w:val="36"/>
          <w:rtl/>
        </w:rPr>
      </w:pPr>
    </w:p>
    <w:p w:rsidR="00186A08" w:rsidRDefault="00186A08"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F20010" w:rsidRDefault="00F20010" w:rsidP="006701A6">
      <w:pPr>
        <w:spacing w:line="360" w:lineRule="auto"/>
        <w:jc w:val="both"/>
        <w:rPr>
          <w:rFonts w:cs="David"/>
          <w:b/>
          <w:bCs/>
          <w:sz w:val="36"/>
          <w:szCs w:val="36"/>
          <w:rtl/>
        </w:rPr>
      </w:pPr>
    </w:p>
    <w:p w:rsidR="005229A0" w:rsidRDefault="004378DD" w:rsidP="003073B4">
      <w:pPr>
        <w:spacing w:line="360" w:lineRule="auto"/>
        <w:jc w:val="both"/>
        <w:rPr>
          <w:rFonts w:cs="David"/>
          <w:sz w:val="28"/>
          <w:szCs w:val="28"/>
          <w:rtl/>
        </w:rPr>
      </w:pPr>
      <w:r w:rsidRPr="000365CD">
        <w:rPr>
          <w:rFonts w:cs="David" w:hint="cs"/>
          <w:b/>
          <w:bCs/>
          <w:sz w:val="36"/>
          <w:szCs w:val="36"/>
          <w:rtl/>
        </w:rPr>
        <w:lastRenderedPageBreak/>
        <w:t xml:space="preserve">פרק </w:t>
      </w:r>
      <w:r w:rsidR="007D593C">
        <w:rPr>
          <w:rFonts w:cs="David" w:hint="cs"/>
          <w:b/>
          <w:bCs/>
          <w:sz w:val="36"/>
          <w:szCs w:val="36"/>
          <w:rtl/>
        </w:rPr>
        <w:t>רביעי</w:t>
      </w:r>
      <w:r w:rsidR="00BC677C" w:rsidRPr="000365CD">
        <w:rPr>
          <w:rFonts w:cs="David" w:hint="cs"/>
          <w:b/>
          <w:bCs/>
          <w:sz w:val="36"/>
          <w:szCs w:val="36"/>
          <w:rtl/>
        </w:rPr>
        <w:t xml:space="preserve"> </w:t>
      </w:r>
      <w:r w:rsidR="003073B4">
        <w:rPr>
          <w:rFonts w:cs="David" w:hint="cs"/>
          <w:b/>
          <w:bCs/>
          <w:sz w:val="36"/>
          <w:szCs w:val="36"/>
          <w:rtl/>
        </w:rPr>
        <w:t>-</w:t>
      </w:r>
      <w:r w:rsidR="006701A6">
        <w:rPr>
          <w:rFonts w:cs="David" w:hint="cs"/>
          <w:b/>
          <w:bCs/>
          <w:sz w:val="36"/>
          <w:szCs w:val="36"/>
          <w:rtl/>
        </w:rPr>
        <w:t xml:space="preserve"> </w:t>
      </w:r>
      <w:r w:rsidR="005229A0" w:rsidRPr="005229A0">
        <w:rPr>
          <w:rFonts w:cs="David" w:hint="cs"/>
          <w:b/>
          <w:bCs/>
          <w:sz w:val="36"/>
          <w:szCs w:val="36"/>
          <w:rtl/>
        </w:rPr>
        <w:t xml:space="preserve">מדיניות האכיפה </w:t>
      </w:r>
      <w:r w:rsidR="00B56D77">
        <w:rPr>
          <w:rFonts w:cs="David" w:hint="cs"/>
          <w:b/>
          <w:bCs/>
          <w:sz w:val="36"/>
          <w:szCs w:val="36"/>
          <w:rtl/>
        </w:rPr>
        <w:t xml:space="preserve">ומימושה </w:t>
      </w:r>
      <w:r w:rsidR="005229A0" w:rsidRPr="005229A0">
        <w:rPr>
          <w:rFonts w:cs="David" w:hint="cs"/>
          <w:b/>
          <w:bCs/>
          <w:sz w:val="36"/>
          <w:szCs w:val="36"/>
          <w:rtl/>
        </w:rPr>
        <w:t xml:space="preserve">בעבירות ההסתה </w:t>
      </w:r>
      <w:r w:rsidR="006701A6">
        <w:rPr>
          <w:rFonts w:cs="David" w:hint="cs"/>
          <w:b/>
          <w:bCs/>
          <w:sz w:val="36"/>
          <w:szCs w:val="36"/>
          <w:rtl/>
        </w:rPr>
        <w:t>ברשתות החברתיות</w:t>
      </w:r>
      <w:r w:rsidR="00B171F6">
        <w:rPr>
          <w:rFonts w:cs="David" w:hint="cs"/>
          <w:b/>
          <w:bCs/>
          <w:sz w:val="36"/>
          <w:szCs w:val="36"/>
          <w:rtl/>
        </w:rPr>
        <w:t xml:space="preserve"> </w:t>
      </w:r>
    </w:p>
    <w:p w:rsidR="00E934C2" w:rsidRDefault="00C532C3" w:rsidP="000475B4">
      <w:pPr>
        <w:spacing w:line="360" w:lineRule="auto"/>
        <w:jc w:val="both"/>
        <w:rPr>
          <w:rFonts w:cs="David"/>
          <w:b/>
          <w:bCs/>
          <w:sz w:val="32"/>
          <w:szCs w:val="32"/>
          <w:rtl/>
        </w:rPr>
      </w:pPr>
      <w:r w:rsidRPr="003635FB">
        <w:rPr>
          <w:rFonts w:cs="David" w:hint="cs"/>
          <w:sz w:val="28"/>
          <w:szCs w:val="28"/>
          <w:rtl/>
        </w:rPr>
        <w:t>עני</w:t>
      </w:r>
      <w:r w:rsidR="000475B4">
        <w:rPr>
          <w:rFonts w:cs="David" w:hint="cs"/>
          <w:sz w:val="28"/>
          <w:szCs w:val="28"/>
          <w:rtl/>
        </w:rPr>
        <w:t>י</w:t>
      </w:r>
      <w:r w:rsidRPr="003635FB">
        <w:rPr>
          <w:rFonts w:cs="David" w:hint="cs"/>
          <w:sz w:val="28"/>
          <w:szCs w:val="28"/>
          <w:rtl/>
        </w:rPr>
        <w:t xml:space="preserve">נו של פרק זה הוא </w:t>
      </w:r>
      <w:r w:rsidR="009F2527">
        <w:rPr>
          <w:rFonts w:cs="David" w:hint="cs"/>
          <w:sz w:val="28"/>
          <w:szCs w:val="28"/>
          <w:rtl/>
        </w:rPr>
        <w:t>ב</w:t>
      </w:r>
      <w:r w:rsidR="00ED61A4" w:rsidRPr="003635FB">
        <w:rPr>
          <w:rFonts w:cs="David" w:hint="cs"/>
          <w:sz w:val="28"/>
          <w:szCs w:val="28"/>
          <w:rtl/>
        </w:rPr>
        <w:t>ליבת העבודה</w:t>
      </w:r>
      <w:r w:rsidR="00186876">
        <w:rPr>
          <w:rFonts w:cs="David" w:hint="cs"/>
          <w:sz w:val="28"/>
          <w:szCs w:val="28"/>
          <w:rtl/>
        </w:rPr>
        <w:t xml:space="preserve">. </w:t>
      </w:r>
      <w:r w:rsidR="00A32BD7">
        <w:rPr>
          <w:rFonts w:cs="David" w:hint="cs"/>
          <w:sz w:val="28"/>
          <w:szCs w:val="28"/>
          <w:rtl/>
        </w:rPr>
        <w:t>לאחר שתוארה תופעת השיח הגזעני והמסית ברשת ולאחר שנסקרו הגורמים המשפיעים על תופעה זו נשאלת השאלה</w:t>
      </w:r>
      <w:r w:rsidR="000475B4">
        <w:rPr>
          <w:rFonts w:cs="David" w:hint="cs"/>
          <w:sz w:val="28"/>
          <w:szCs w:val="28"/>
          <w:rtl/>
        </w:rPr>
        <w:t>:</w:t>
      </w:r>
      <w:r w:rsidR="00A32BD7">
        <w:rPr>
          <w:rFonts w:cs="David" w:hint="cs"/>
          <w:sz w:val="28"/>
          <w:szCs w:val="28"/>
          <w:rtl/>
        </w:rPr>
        <w:t xml:space="preserve"> מהי </w:t>
      </w:r>
      <w:r w:rsidR="00186876">
        <w:rPr>
          <w:rFonts w:cs="David" w:hint="cs"/>
          <w:sz w:val="28"/>
          <w:szCs w:val="28"/>
          <w:rtl/>
        </w:rPr>
        <w:t>מדיניות האכיפה</w:t>
      </w:r>
      <w:r w:rsidR="00A32BD7">
        <w:rPr>
          <w:rFonts w:cs="David" w:hint="cs"/>
          <w:sz w:val="28"/>
          <w:szCs w:val="28"/>
          <w:rtl/>
        </w:rPr>
        <w:t xml:space="preserve"> של התביעה הכללית וכיצד היא מתממשת </w:t>
      </w:r>
      <w:r w:rsidR="00923C2E">
        <w:rPr>
          <w:rFonts w:cs="David" w:hint="cs"/>
          <w:sz w:val="28"/>
          <w:szCs w:val="28"/>
          <w:rtl/>
        </w:rPr>
        <w:t>בפרקטיקה</w:t>
      </w:r>
      <w:r w:rsidR="00186876">
        <w:rPr>
          <w:rFonts w:cs="David" w:hint="cs"/>
          <w:sz w:val="28"/>
          <w:szCs w:val="28"/>
          <w:rtl/>
        </w:rPr>
        <w:t xml:space="preserve"> אל מול התופעה האמורה?</w:t>
      </w:r>
      <w:r w:rsidR="00923C2E">
        <w:rPr>
          <w:rFonts w:cs="David" w:hint="cs"/>
          <w:b/>
          <w:bCs/>
          <w:sz w:val="32"/>
          <w:szCs w:val="32"/>
          <w:rtl/>
        </w:rPr>
        <w:t xml:space="preserve"> </w:t>
      </w:r>
      <w:r w:rsidR="00923C2E">
        <w:rPr>
          <w:rFonts w:cs="David" w:hint="cs"/>
          <w:sz w:val="28"/>
          <w:szCs w:val="28"/>
          <w:rtl/>
        </w:rPr>
        <w:t xml:space="preserve">תחילה ידון הפרק במדיניות התביעה הנוגעת לעבירות ביטוי והסתה באופן כללי ולאחר מכן במדיניות באשר לעבירות ההסתה </w:t>
      </w:r>
      <w:r w:rsidR="00923C2E" w:rsidRPr="00923C2E">
        <w:rPr>
          <w:rFonts w:cs="David" w:hint="cs"/>
          <w:b/>
          <w:bCs/>
          <w:sz w:val="28"/>
          <w:szCs w:val="28"/>
          <w:rtl/>
        </w:rPr>
        <w:t>המבוצעות במרשתת וברשתות החברתיות ובאתגרים הייחודיים הקיימים באכיפה במימד זה</w:t>
      </w:r>
      <w:r w:rsidR="00923C2E">
        <w:rPr>
          <w:rFonts w:cs="David" w:hint="cs"/>
          <w:sz w:val="28"/>
          <w:szCs w:val="28"/>
          <w:rtl/>
        </w:rPr>
        <w:t>. ב</w:t>
      </w:r>
      <w:r w:rsidR="000475B4">
        <w:rPr>
          <w:rFonts w:cs="David" w:hint="cs"/>
          <w:sz w:val="28"/>
          <w:szCs w:val="28"/>
          <w:rtl/>
        </w:rPr>
        <w:t>המשך</w:t>
      </w:r>
      <w:r w:rsidR="00923C2E">
        <w:rPr>
          <w:rFonts w:cs="David" w:hint="cs"/>
          <w:sz w:val="28"/>
          <w:szCs w:val="28"/>
          <w:rtl/>
        </w:rPr>
        <w:t xml:space="preserve">, תדון העבודה גם בכלי </w:t>
      </w:r>
      <w:r w:rsidR="008F4BD3">
        <w:rPr>
          <w:rFonts w:cs="David" w:hint="cs"/>
          <w:sz w:val="28"/>
          <w:szCs w:val="28"/>
          <w:rtl/>
        </w:rPr>
        <w:t xml:space="preserve">אכיפה </w:t>
      </w:r>
      <w:r w:rsidR="00923C2E">
        <w:rPr>
          <w:rFonts w:cs="David" w:hint="cs"/>
          <w:sz w:val="28"/>
          <w:szCs w:val="28"/>
          <w:rtl/>
        </w:rPr>
        <w:t xml:space="preserve">נוסף, לבר-משפטי, </w:t>
      </w:r>
      <w:r w:rsidR="000475B4">
        <w:rPr>
          <w:rFonts w:cs="David" w:hint="cs"/>
          <w:sz w:val="28"/>
          <w:szCs w:val="28"/>
          <w:rtl/>
        </w:rPr>
        <w:t xml:space="preserve">שנעשה </w:t>
      </w:r>
      <w:r w:rsidR="00E934C2">
        <w:rPr>
          <w:rFonts w:cs="David" w:hint="cs"/>
          <w:sz w:val="28"/>
          <w:szCs w:val="28"/>
          <w:rtl/>
        </w:rPr>
        <w:t>בו שימוש אל מול תופעת ההסתה ברשת.</w:t>
      </w:r>
    </w:p>
    <w:p w:rsidR="003D5AFA" w:rsidRDefault="00903845" w:rsidP="00E934C2">
      <w:pPr>
        <w:spacing w:line="360" w:lineRule="auto"/>
        <w:jc w:val="both"/>
        <w:rPr>
          <w:rFonts w:cs="David"/>
          <w:sz w:val="28"/>
          <w:szCs w:val="28"/>
          <w:rtl/>
        </w:rPr>
      </w:pPr>
      <w:r>
        <w:rPr>
          <w:rFonts w:cs="David" w:hint="cs"/>
          <w:b/>
          <w:bCs/>
          <w:sz w:val="32"/>
          <w:szCs w:val="32"/>
          <w:rtl/>
        </w:rPr>
        <w:t>א</w:t>
      </w:r>
      <w:r w:rsidR="00615BB0">
        <w:rPr>
          <w:rFonts w:cs="David" w:hint="cs"/>
          <w:b/>
          <w:bCs/>
          <w:sz w:val="32"/>
          <w:szCs w:val="32"/>
          <w:rtl/>
        </w:rPr>
        <w:t>. מדיניות התביעה הכללית ומימושה בפועל</w:t>
      </w:r>
    </w:p>
    <w:p w:rsidR="00A85D07" w:rsidRPr="00695493" w:rsidRDefault="00FE40FC" w:rsidP="002E6E7F">
      <w:pPr>
        <w:spacing w:line="360" w:lineRule="auto"/>
        <w:jc w:val="both"/>
        <w:rPr>
          <w:rFonts w:cs="David"/>
          <w:sz w:val="28"/>
          <w:szCs w:val="28"/>
          <w:rtl/>
        </w:rPr>
      </w:pPr>
      <w:r w:rsidRPr="00D521B1">
        <w:rPr>
          <w:rFonts w:cs="David" w:hint="cs"/>
          <w:sz w:val="28"/>
          <w:szCs w:val="28"/>
          <w:rtl/>
        </w:rPr>
        <w:t>כבר ב</w:t>
      </w:r>
      <w:r w:rsidR="002E6E7F">
        <w:rPr>
          <w:rFonts w:cs="David" w:hint="cs"/>
          <w:sz w:val="28"/>
          <w:szCs w:val="28"/>
          <w:rtl/>
        </w:rPr>
        <w:t>ראשית</w:t>
      </w:r>
      <w:r w:rsidRPr="00D521B1">
        <w:rPr>
          <w:rFonts w:cs="David" w:hint="cs"/>
          <w:sz w:val="28"/>
          <w:szCs w:val="28"/>
          <w:rtl/>
        </w:rPr>
        <w:t xml:space="preserve"> הדברים יש לומר</w:t>
      </w:r>
      <w:r w:rsidR="001C43BC">
        <w:rPr>
          <w:rFonts w:cs="David" w:hint="cs"/>
          <w:sz w:val="28"/>
          <w:szCs w:val="28"/>
          <w:rtl/>
        </w:rPr>
        <w:t>,</w:t>
      </w:r>
      <w:r w:rsidRPr="00D521B1">
        <w:rPr>
          <w:rFonts w:cs="David" w:hint="cs"/>
          <w:sz w:val="28"/>
          <w:szCs w:val="28"/>
          <w:rtl/>
        </w:rPr>
        <w:t xml:space="preserve"> כי</w:t>
      </w:r>
      <w:r>
        <w:rPr>
          <w:rFonts w:cs="David" w:hint="cs"/>
          <w:sz w:val="28"/>
          <w:szCs w:val="28"/>
          <w:rtl/>
        </w:rPr>
        <w:t xml:space="preserve"> </w:t>
      </w:r>
      <w:r w:rsidR="00A85D07">
        <w:rPr>
          <w:rFonts w:cs="David" w:hint="cs"/>
          <w:sz w:val="28"/>
          <w:szCs w:val="28"/>
          <w:rtl/>
        </w:rPr>
        <w:t xml:space="preserve">מדיניות התביעה הכללית וגורמי האכיפה בכל הנוגע לעבירות המכרסמות בחופש הביטוי היא ככלל </w:t>
      </w:r>
      <w:r w:rsidR="00A85D07" w:rsidRPr="008F4BD3">
        <w:rPr>
          <w:rFonts w:cs="David" w:hint="cs"/>
          <w:b/>
          <w:bCs/>
          <w:sz w:val="28"/>
          <w:szCs w:val="28"/>
          <w:rtl/>
        </w:rPr>
        <w:t>מדיניות מרוסנת ומצמצמת</w:t>
      </w:r>
      <w:r w:rsidR="00A85D07">
        <w:rPr>
          <w:rFonts w:cs="David" w:hint="cs"/>
          <w:sz w:val="28"/>
          <w:szCs w:val="28"/>
          <w:rtl/>
        </w:rPr>
        <w:t xml:space="preserve">. לפיכך, קיימת הנחיית פרקליט המדינה, הדורשת </w:t>
      </w:r>
      <w:r w:rsidR="00A85D07" w:rsidRPr="00761ED9">
        <w:rPr>
          <w:rFonts w:cs="David" w:hint="cs"/>
          <w:b/>
          <w:bCs/>
          <w:sz w:val="28"/>
          <w:szCs w:val="28"/>
          <w:rtl/>
        </w:rPr>
        <w:t>קבלת אישור מראש מהמשנה לפרקליט המדינה (תפקידים מיוחדים) לפתיחה בחקירה בעניין בעל רגישות ציבורית רבה</w:t>
      </w:r>
      <w:r w:rsidR="00AC6A8C">
        <w:rPr>
          <w:rFonts w:cs="David" w:hint="cs"/>
          <w:b/>
          <w:bCs/>
          <w:sz w:val="28"/>
          <w:szCs w:val="28"/>
          <w:rtl/>
        </w:rPr>
        <w:t xml:space="preserve">. </w:t>
      </w:r>
      <w:r w:rsidR="00A85D07" w:rsidRPr="00761ED9">
        <w:rPr>
          <w:rFonts w:cs="David" w:hint="cs"/>
          <w:b/>
          <w:bCs/>
          <w:sz w:val="28"/>
          <w:szCs w:val="28"/>
          <w:rtl/>
        </w:rPr>
        <w:t xml:space="preserve">כן מנחה </w:t>
      </w:r>
      <w:r w:rsidR="00586A87">
        <w:rPr>
          <w:rFonts w:cs="David" w:hint="cs"/>
          <w:b/>
          <w:bCs/>
          <w:sz w:val="28"/>
          <w:szCs w:val="28"/>
          <w:rtl/>
        </w:rPr>
        <w:t xml:space="preserve">ההנחיה </w:t>
      </w:r>
      <w:r w:rsidR="00A85D07" w:rsidRPr="00761ED9">
        <w:rPr>
          <w:rFonts w:cs="David" w:hint="cs"/>
          <w:b/>
          <w:bCs/>
          <w:sz w:val="28"/>
          <w:szCs w:val="28"/>
          <w:rtl/>
        </w:rPr>
        <w:t xml:space="preserve">כי סגירת תיק שכזה </w:t>
      </w:r>
      <w:r w:rsidR="0017729B">
        <w:rPr>
          <w:rFonts w:cs="David" w:hint="cs"/>
          <w:b/>
          <w:bCs/>
          <w:sz w:val="28"/>
          <w:szCs w:val="28"/>
          <w:rtl/>
        </w:rPr>
        <w:t>ת</w:t>
      </w:r>
      <w:r w:rsidR="00A85D07" w:rsidRPr="00761ED9">
        <w:rPr>
          <w:rFonts w:cs="David" w:hint="cs"/>
          <w:b/>
          <w:bCs/>
          <w:sz w:val="28"/>
          <w:szCs w:val="28"/>
          <w:rtl/>
        </w:rPr>
        <w:t>ובא לידיעתו ולאישורו של פרקליט המדינה או המשנה האמור</w:t>
      </w:r>
      <w:r w:rsidR="00A85D07">
        <w:rPr>
          <w:rFonts w:cs="David" w:hint="cs"/>
          <w:sz w:val="28"/>
          <w:szCs w:val="28"/>
          <w:rtl/>
        </w:rPr>
        <w:t>.</w:t>
      </w:r>
      <w:r w:rsidR="00A85D07">
        <w:rPr>
          <w:rStyle w:val="a5"/>
          <w:rFonts w:cs="David"/>
          <w:sz w:val="28"/>
          <w:szCs w:val="28"/>
          <w:rtl/>
        </w:rPr>
        <w:footnoteReference w:id="222"/>
      </w:r>
      <w:r w:rsidR="00A85D07">
        <w:rPr>
          <w:rFonts w:cs="David" w:hint="cs"/>
          <w:sz w:val="28"/>
          <w:szCs w:val="28"/>
          <w:rtl/>
        </w:rPr>
        <w:t xml:space="preserve"> אישור כזה נדרש לפתיחה </w:t>
      </w:r>
      <w:r w:rsidR="00A81373">
        <w:rPr>
          <w:rFonts w:cs="David" w:hint="cs"/>
          <w:sz w:val="28"/>
          <w:szCs w:val="28"/>
          <w:rtl/>
        </w:rPr>
        <w:t>או סגירת חקירה</w:t>
      </w:r>
      <w:r w:rsidR="00A85D07" w:rsidRPr="00695493">
        <w:rPr>
          <w:rFonts w:cs="David" w:hint="cs"/>
          <w:sz w:val="28"/>
          <w:szCs w:val="28"/>
          <w:rtl/>
        </w:rPr>
        <w:t>, במגוון עבירות ולעניין עבודה זו, בעבירת ההסתה לגזענות (144ב) ובעבירת ההסתה לאלימות (144ד2).</w:t>
      </w:r>
    </w:p>
    <w:p w:rsidR="00A85D07" w:rsidRDefault="008207DB" w:rsidP="008207DB">
      <w:pPr>
        <w:spacing w:line="360" w:lineRule="auto"/>
        <w:jc w:val="both"/>
        <w:rPr>
          <w:rFonts w:cs="David"/>
          <w:sz w:val="28"/>
          <w:szCs w:val="28"/>
          <w:rtl/>
        </w:rPr>
      </w:pPr>
      <w:r>
        <w:rPr>
          <w:rFonts w:cs="David" w:hint="cs"/>
          <w:sz w:val="28"/>
          <w:szCs w:val="28"/>
          <w:rtl/>
        </w:rPr>
        <w:t xml:space="preserve">בנוסף, </w:t>
      </w:r>
      <w:r w:rsidR="00A85D07" w:rsidRPr="00EC795D">
        <w:rPr>
          <w:rFonts w:cs="David" w:hint="cs"/>
          <w:sz w:val="28"/>
          <w:szCs w:val="28"/>
          <w:rtl/>
        </w:rPr>
        <w:t xml:space="preserve">בעבירות </w:t>
      </w:r>
      <w:r w:rsidR="00AA26A4" w:rsidRPr="00EC795D">
        <w:rPr>
          <w:rFonts w:cs="David" w:hint="cs"/>
          <w:sz w:val="28"/>
          <w:szCs w:val="28"/>
          <w:rtl/>
        </w:rPr>
        <w:t>ההסתה</w:t>
      </w:r>
      <w:r w:rsidR="00AA26A4">
        <w:rPr>
          <w:rFonts w:cs="David" w:hint="cs"/>
          <w:sz w:val="28"/>
          <w:szCs w:val="28"/>
          <w:rtl/>
        </w:rPr>
        <w:t xml:space="preserve"> </w:t>
      </w:r>
      <w:r w:rsidR="00A85D07">
        <w:rPr>
          <w:rFonts w:cs="David" w:hint="cs"/>
          <w:sz w:val="28"/>
          <w:szCs w:val="28"/>
          <w:rtl/>
        </w:rPr>
        <w:t>הנידונות</w:t>
      </w:r>
      <w:r w:rsidR="00B06E59">
        <w:rPr>
          <w:rFonts w:cs="David" w:hint="cs"/>
          <w:sz w:val="28"/>
          <w:szCs w:val="28"/>
          <w:rtl/>
        </w:rPr>
        <w:t xml:space="preserve"> בעבודה</w:t>
      </w:r>
      <w:r w:rsidR="00A85D07">
        <w:rPr>
          <w:rFonts w:cs="David" w:hint="cs"/>
          <w:sz w:val="28"/>
          <w:szCs w:val="28"/>
          <w:rtl/>
        </w:rPr>
        <w:t xml:space="preserve">, </w:t>
      </w:r>
      <w:r w:rsidR="00A85D07" w:rsidRPr="00761ED9">
        <w:rPr>
          <w:rFonts w:cs="David" w:hint="cs"/>
          <w:b/>
          <w:bCs/>
          <w:sz w:val="28"/>
          <w:szCs w:val="28"/>
          <w:rtl/>
        </w:rPr>
        <w:t xml:space="preserve">נדרש אישור היועץ המשפטי לממשלה להעמדה לדין </w:t>
      </w:r>
      <w:r w:rsidR="00A85D07">
        <w:rPr>
          <w:rFonts w:cs="David" w:hint="cs"/>
          <w:sz w:val="28"/>
          <w:szCs w:val="28"/>
          <w:rtl/>
        </w:rPr>
        <w:t>לפי סעיף 144ה לחוק העונשין, שקובע "לא יוגש כתב אישום לפי סימן זה, אלא בהסכמה בכתב של היועץ המשפטי לממשלה".</w:t>
      </w:r>
      <w:r w:rsidR="00A85D07">
        <w:rPr>
          <w:rStyle w:val="a5"/>
          <w:rFonts w:cs="David"/>
          <w:sz w:val="28"/>
          <w:szCs w:val="28"/>
          <w:rtl/>
        </w:rPr>
        <w:footnoteReference w:id="223"/>
      </w:r>
    </w:p>
    <w:p w:rsidR="00EC71BD" w:rsidRDefault="00A85D07" w:rsidP="00E03947">
      <w:pPr>
        <w:spacing w:line="360" w:lineRule="auto"/>
        <w:jc w:val="both"/>
        <w:rPr>
          <w:rFonts w:cs="David"/>
          <w:sz w:val="28"/>
          <w:szCs w:val="28"/>
          <w:rtl/>
        </w:rPr>
      </w:pPr>
      <w:r>
        <w:rPr>
          <w:rFonts w:cs="David" w:hint="cs"/>
          <w:sz w:val="28"/>
          <w:szCs w:val="28"/>
          <w:rtl/>
        </w:rPr>
        <w:t>ניתן לראות</w:t>
      </w:r>
      <w:r w:rsidR="00725A4A">
        <w:rPr>
          <w:rFonts w:cs="David" w:hint="cs"/>
          <w:sz w:val="28"/>
          <w:szCs w:val="28"/>
          <w:rtl/>
        </w:rPr>
        <w:t>,</w:t>
      </w:r>
      <w:r>
        <w:rPr>
          <w:rFonts w:cs="David" w:hint="cs"/>
          <w:sz w:val="28"/>
          <w:szCs w:val="28"/>
          <w:rtl/>
        </w:rPr>
        <w:t xml:space="preserve"> כי </w:t>
      </w:r>
      <w:r w:rsidR="00725A4A">
        <w:rPr>
          <w:rFonts w:cs="David" w:hint="cs"/>
          <w:sz w:val="28"/>
          <w:szCs w:val="28"/>
          <w:rtl/>
        </w:rPr>
        <w:t>ל</w:t>
      </w:r>
      <w:r>
        <w:rPr>
          <w:rFonts w:cs="David" w:hint="cs"/>
          <w:sz w:val="28"/>
          <w:szCs w:val="28"/>
          <w:rtl/>
        </w:rPr>
        <w:t>צד התפתחות החקיקה</w:t>
      </w:r>
      <w:r w:rsidR="00E03947">
        <w:rPr>
          <w:rFonts w:cs="David" w:hint="cs"/>
          <w:sz w:val="28"/>
          <w:szCs w:val="28"/>
          <w:rtl/>
        </w:rPr>
        <w:t>,</w:t>
      </w:r>
      <w:r>
        <w:rPr>
          <w:rFonts w:cs="David" w:hint="cs"/>
          <w:sz w:val="28"/>
          <w:szCs w:val="28"/>
          <w:rtl/>
        </w:rPr>
        <w:t xml:space="preserve"> התגבשות תפיסתו של בית המשפט העליון בנושא </w:t>
      </w:r>
      <w:r w:rsidR="00E03947">
        <w:rPr>
          <w:rFonts w:cs="David" w:hint="cs"/>
          <w:sz w:val="28"/>
          <w:szCs w:val="28"/>
          <w:rtl/>
        </w:rPr>
        <w:t>חופש הביטוי מחד גיסא ובנושא האיסורים הפליליים שבעבירות ההסתה מאידך גיסא</w:t>
      </w:r>
      <w:r>
        <w:rPr>
          <w:rFonts w:cs="David" w:hint="cs"/>
          <w:sz w:val="28"/>
          <w:szCs w:val="28"/>
          <w:rtl/>
        </w:rPr>
        <w:t xml:space="preserve">, כפי שהוצג בהרחבה בפרקים הקודמים, בולט בהקשר מדינת ישראל </w:t>
      </w:r>
      <w:r w:rsidRPr="006E518F">
        <w:rPr>
          <w:rFonts w:cs="David" w:hint="cs"/>
          <w:b/>
          <w:bCs/>
          <w:sz w:val="28"/>
          <w:szCs w:val="28"/>
          <w:rtl/>
        </w:rPr>
        <w:lastRenderedPageBreak/>
        <w:t>גם התפקיד המאזן של רשויות התביעה</w:t>
      </w:r>
      <w:r>
        <w:rPr>
          <w:rFonts w:cs="David" w:hint="cs"/>
          <w:sz w:val="28"/>
          <w:szCs w:val="28"/>
          <w:rtl/>
        </w:rPr>
        <w:t xml:space="preserve"> </w:t>
      </w:r>
      <w:r w:rsidRPr="006E518F">
        <w:rPr>
          <w:rFonts w:cs="David" w:hint="cs"/>
          <w:b/>
          <w:bCs/>
          <w:sz w:val="28"/>
          <w:szCs w:val="28"/>
          <w:rtl/>
        </w:rPr>
        <w:t>ובעקבותיה של כלל רשויות האכיפה</w:t>
      </w:r>
      <w:r>
        <w:rPr>
          <w:rFonts w:cs="David" w:hint="cs"/>
          <w:sz w:val="28"/>
          <w:szCs w:val="28"/>
          <w:rtl/>
        </w:rPr>
        <w:t xml:space="preserve"> באכיפתן של נורמות המגבילות את חופש הביטוי.</w:t>
      </w:r>
      <w:r>
        <w:rPr>
          <w:rStyle w:val="a5"/>
          <w:rFonts w:cs="David"/>
          <w:sz w:val="28"/>
          <w:szCs w:val="28"/>
          <w:rtl/>
        </w:rPr>
        <w:footnoteReference w:id="224"/>
      </w:r>
    </w:p>
    <w:p w:rsidR="00EC71BD" w:rsidRDefault="00EC71BD" w:rsidP="0077264A">
      <w:pPr>
        <w:spacing w:line="360" w:lineRule="auto"/>
        <w:jc w:val="both"/>
        <w:rPr>
          <w:rFonts w:cs="David"/>
          <w:sz w:val="28"/>
          <w:szCs w:val="28"/>
          <w:rtl/>
        </w:rPr>
      </w:pPr>
      <w:r>
        <w:rPr>
          <w:rFonts w:cs="David" w:hint="cs"/>
          <w:sz w:val="28"/>
          <w:szCs w:val="28"/>
          <w:rtl/>
        </w:rPr>
        <w:t xml:space="preserve">פסק דין של בית המשפט העליון, הנוגע היטב בדילמות שבפני היועץ המשפטי לממשלה והתביעה הכללית בהגשת כתב אישום בגין הסתה הינו פסק הדין </w:t>
      </w:r>
      <w:r w:rsidRPr="00B923DC">
        <w:rPr>
          <w:rFonts w:cs="David" w:hint="cs"/>
          <w:b/>
          <w:bCs/>
          <w:sz w:val="28"/>
          <w:szCs w:val="28"/>
          <w:rtl/>
        </w:rPr>
        <w:t>בעניין 'תורת המלך'</w:t>
      </w:r>
      <w:r>
        <w:rPr>
          <w:rFonts w:cs="David" w:hint="cs"/>
          <w:sz w:val="28"/>
          <w:szCs w:val="28"/>
          <w:rtl/>
        </w:rPr>
        <w:t xml:space="preserve">, שניתן בדצמבר 2015. בפסק דין זה ולאחר התלבטות רבה קיבלו </w:t>
      </w:r>
      <w:r w:rsidR="0077264A">
        <w:rPr>
          <w:rFonts w:cs="David" w:hint="cs"/>
          <w:sz w:val="28"/>
          <w:szCs w:val="28"/>
          <w:rtl/>
        </w:rPr>
        <w:t>השופט</w:t>
      </w:r>
      <w:r>
        <w:rPr>
          <w:rFonts w:cs="David" w:hint="cs"/>
          <w:sz w:val="28"/>
          <w:szCs w:val="28"/>
          <w:rtl/>
        </w:rPr>
        <w:t xml:space="preserve">ים בדעת רוב (2:1) את החלטת היועץ המשפטי לממשלה </w:t>
      </w:r>
      <w:r w:rsidRPr="00260FD4">
        <w:rPr>
          <w:rFonts w:cs="David" w:hint="cs"/>
          <w:b/>
          <w:bCs/>
          <w:sz w:val="28"/>
          <w:szCs w:val="28"/>
          <w:rtl/>
        </w:rPr>
        <w:t xml:space="preserve">שלא </w:t>
      </w:r>
      <w:r>
        <w:rPr>
          <w:rFonts w:cs="David" w:hint="cs"/>
          <w:sz w:val="28"/>
          <w:szCs w:val="28"/>
          <w:rtl/>
        </w:rPr>
        <w:t xml:space="preserve">להגיש כתב אישום כנגד מחברי הספר 'תורת המלך' בגין עבירות של הסתה לגזענות והסתה לאלימות ובכך </w:t>
      </w:r>
      <w:r w:rsidRPr="00122501">
        <w:rPr>
          <w:rFonts w:cs="David" w:hint="cs"/>
          <w:b/>
          <w:bCs/>
          <w:sz w:val="28"/>
          <w:szCs w:val="28"/>
          <w:rtl/>
        </w:rPr>
        <w:t xml:space="preserve">גיבו את מדיניות התביעה הכללית, </w:t>
      </w:r>
      <w:r w:rsidRPr="00260FD4">
        <w:rPr>
          <w:rFonts w:cs="David" w:hint="cs"/>
          <w:sz w:val="28"/>
          <w:szCs w:val="28"/>
          <w:rtl/>
        </w:rPr>
        <w:t>הגם שלא חסכו את ביקורתם הנוקבת נגד הנכתב בספר</w:t>
      </w:r>
      <w:r>
        <w:rPr>
          <w:rFonts w:cs="David" w:hint="cs"/>
          <w:sz w:val="28"/>
          <w:szCs w:val="28"/>
          <w:rtl/>
        </w:rPr>
        <w:t>. ראוי להביא לעניין זה את דבריה של הנשיאה נאור, אשר תמכה בדעתו של המשנה לנשיאה, א' רובינשטיין, אשר כתב את דעת הרוב:</w:t>
      </w:r>
      <w:r>
        <w:rPr>
          <w:rStyle w:val="a5"/>
          <w:rFonts w:cs="David"/>
          <w:sz w:val="28"/>
          <w:szCs w:val="28"/>
          <w:rtl/>
        </w:rPr>
        <w:footnoteReference w:id="225"/>
      </w:r>
    </w:p>
    <w:p w:rsidR="00EC71BD" w:rsidRDefault="00EC71BD" w:rsidP="00260FD4">
      <w:pPr>
        <w:spacing w:line="360" w:lineRule="auto"/>
        <w:ind w:left="720"/>
        <w:jc w:val="both"/>
        <w:rPr>
          <w:rFonts w:cs="David"/>
          <w:sz w:val="28"/>
          <w:szCs w:val="28"/>
          <w:rtl/>
        </w:rPr>
      </w:pPr>
      <w:r w:rsidRPr="00317A97">
        <w:rPr>
          <w:rFonts w:cs="David" w:hint="cs"/>
          <w:sz w:val="24"/>
          <w:szCs w:val="24"/>
          <w:rtl/>
        </w:rPr>
        <w:t xml:space="preserve">היוהרה של המשיבים (מחברי הספר </w:t>
      </w:r>
      <w:r w:rsidRPr="00317A97">
        <w:rPr>
          <w:rFonts w:cs="David"/>
          <w:sz w:val="24"/>
          <w:szCs w:val="24"/>
          <w:rtl/>
        </w:rPr>
        <w:t>–</w:t>
      </w:r>
      <w:r w:rsidRPr="00317A97">
        <w:rPr>
          <w:rFonts w:cs="David" w:hint="cs"/>
          <w:sz w:val="24"/>
          <w:szCs w:val="24"/>
          <w:rtl/>
        </w:rPr>
        <w:t xml:space="preserve"> הערה של הח"מ </w:t>
      </w:r>
      <w:r w:rsidRPr="00317A97">
        <w:rPr>
          <w:rFonts w:cs="David"/>
          <w:sz w:val="24"/>
          <w:szCs w:val="24"/>
          <w:rtl/>
        </w:rPr>
        <w:t>–</w:t>
      </w:r>
      <w:r w:rsidRPr="00317A97">
        <w:rPr>
          <w:rFonts w:cs="David" w:hint="cs"/>
          <w:sz w:val="24"/>
          <w:szCs w:val="24"/>
          <w:rtl/>
        </w:rPr>
        <w:t xml:space="preserve"> ר"מ) כלפי מערכות אכיפת החוק, והתגובה שלהם לעתירה, מקוממת ומתריסה. שדון שובב שהופיע מאי שם לחש באוזני </w:t>
      </w:r>
      <w:r w:rsidRPr="00317A97">
        <w:rPr>
          <w:rFonts w:cs="David"/>
          <w:sz w:val="24"/>
          <w:szCs w:val="24"/>
          <w:rtl/>
        </w:rPr>
        <w:t>–</w:t>
      </w:r>
      <w:r w:rsidRPr="00317A97">
        <w:rPr>
          <w:rFonts w:cs="David" w:hint="cs"/>
          <w:sz w:val="24"/>
          <w:szCs w:val="24"/>
          <w:rtl/>
        </w:rPr>
        <w:t xml:space="preserve"> שיעמדו המשיבים לדין, שיעמדו בפני בית המשפט ואולי שם יטרחו להסביר את עצמם, ולעמוד לחקירה שכנגד, גם אם לא יצא מכך כלום, והם יזוכו כפי שחושש היועץ המשפטי לממשלה. דברי השדון השובב, זכו בלבי תחילה לאהדה לא מעטה. אולם, בסופו של יום צוויתי על השדון: לך מכאן, חזור למקום ממנו באת, ואל תשוב. אנו שופטים </w:t>
      </w:r>
      <w:r w:rsidRPr="00317A97">
        <w:rPr>
          <w:rFonts w:cs="David"/>
          <w:sz w:val="24"/>
          <w:szCs w:val="24"/>
          <w:rtl/>
        </w:rPr>
        <w:t>–</w:t>
      </w:r>
      <w:r w:rsidRPr="00317A97">
        <w:rPr>
          <w:rFonts w:cs="David" w:hint="cs"/>
          <w:sz w:val="24"/>
          <w:szCs w:val="24"/>
          <w:rtl/>
        </w:rPr>
        <w:t xml:space="preserve"> אמרתי לאותו שדון. עלינו לשקול שיקולים ענייניים, ושיקולים עניינים בלבד. לא נעשה צו החלטי רק כדי ללמד את המשיבים לקח ו"לטרטר" אותם; גם לא נעשה צו החלטי כדי לרצות חלקים מן הציבור ולהביע שאט נפש מן הגזענות. נבחן את הדברים לגופם. אכן, שדון שובב זה, המשקף והמבטא </w:t>
      </w:r>
      <w:r w:rsidRPr="00317A97">
        <w:rPr>
          <w:rFonts w:cs="David"/>
          <w:sz w:val="24"/>
          <w:szCs w:val="24"/>
          <w:rtl/>
        </w:rPr>
        <w:t>–</w:t>
      </w:r>
      <w:r w:rsidRPr="00317A97">
        <w:rPr>
          <w:rFonts w:cs="David" w:hint="cs"/>
          <w:sz w:val="24"/>
          <w:szCs w:val="24"/>
          <w:rtl/>
        </w:rPr>
        <w:t xml:space="preserve"> אולי </w:t>
      </w:r>
      <w:r w:rsidRPr="00317A97">
        <w:rPr>
          <w:rFonts w:cs="David"/>
          <w:sz w:val="24"/>
          <w:szCs w:val="24"/>
          <w:rtl/>
        </w:rPr>
        <w:t>–</w:t>
      </w:r>
      <w:r w:rsidRPr="00317A97">
        <w:rPr>
          <w:rFonts w:cs="David" w:hint="cs"/>
          <w:sz w:val="24"/>
          <w:szCs w:val="24"/>
          <w:rtl/>
        </w:rPr>
        <w:t xml:space="preserve"> את נטיות הלב הראשוניות של כל מי שמתקומם מהתבטאויות</w:t>
      </w:r>
      <w:r>
        <w:rPr>
          <w:rFonts w:cs="David" w:hint="cs"/>
          <w:sz w:val="24"/>
          <w:szCs w:val="24"/>
          <w:rtl/>
        </w:rPr>
        <w:t>י</w:t>
      </w:r>
      <w:r w:rsidRPr="00317A97">
        <w:rPr>
          <w:rFonts w:cs="David" w:hint="cs"/>
          <w:sz w:val="24"/>
          <w:szCs w:val="24"/>
          <w:rtl/>
        </w:rPr>
        <w:t xml:space="preserve">הם הבזויות של המשיבים </w:t>
      </w:r>
      <w:r w:rsidRPr="00317A97">
        <w:rPr>
          <w:rFonts w:cs="David"/>
          <w:sz w:val="24"/>
          <w:szCs w:val="24"/>
          <w:rtl/>
        </w:rPr>
        <w:t>–</w:t>
      </w:r>
      <w:r w:rsidRPr="00317A97">
        <w:rPr>
          <w:rFonts w:cs="David" w:hint="cs"/>
          <w:sz w:val="24"/>
          <w:szCs w:val="24"/>
          <w:rtl/>
        </w:rPr>
        <w:t xml:space="preserve"> אסור לו שיכת</w:t>
      </w:r>
      <w:r>
        <w:rPr>
          <w:rFonts w:cs="David" w:hint="cs"/>
          <w:sz w:val="24"/>
          <w:szCs w:val="24"/>
          <w:rtl/>
        </w:rPr>
        <w:t>יב לשופט את התוצאה המשפטית עצמה [...]</w:t>
      </w:r>
    </w:p>
    <w:p w:rsidR="00A85D07" w:rsidRDefault="00A85D07" w:rsidP="00A85D07">
      <w:pPr>
        <w:spacing w:line="360" w:lineRule="auto"/>
        <w:jc w:val="both"/>
        <w:rPr>
          <w:rFonts w:cs="David"/>
          <w:sz w:val="28"/>
          <w:szCs w:val="28"/>
          <w:rtl/>
        </w:rPr>
      </w:pPr>
      <w:r>
        <w:rPr>
          <w:rFonts w:cs="David" w:hint="cs"/>
          <w:sz w:val="28"/>
          <w:szCs w:val="28"/>
          <w:rtl/>
        </w:rPr>
        <w:t xml:space="preserve">בעניין עבירות ההסתה לגזענות ולאלימות ניתן לסמן שלוש 'אבני דרך' בגישתן של הפרקליטות ורשויות האכיפה. האחת, </w:t>
      </w:r>
      <w:r w:rsidRPr="00936571">
        <w:rPr>
          <w:rFonts w:cs="David" w:hint="cs"/>
          <w:b/>
          <w:bCs/>
          <w:sz w:val="28"/>
          <w:szCs w:val="28"/>
          <w:rtl/>
        </w:rPr>
        <w:t>עד למחצית שנות התשעים של המאה הקודמת</w:t>
      </w:r>
      <w:r>
        <w:rPr>
          <w:rFonts w:cs="David" w:hint="cs"/>
          <w:sz w:val="28"/>
          <w:szCs w:val="28"/>
          <w:rtl/>
        </w:rPr>
        <w:t xml:space="preserve"> - עובר לרצח רבין ז"ל - נעשה שימוש חריג בסעיפי ההסתה, והפרקליטות הסתייגה מהעמדה לדין בעבירות אלו.</w:t>
      </w:r>
      <w:r>
        <w:rPr>
          <w:rStyle w:val="a5"/>
          <w:rFonts w:cs="David"/>
          <w:sz w:val="28"/>
          <w:szCs w:val="28"/>
          <w:rtl/>
        </w:rPr>
        <w:footnoteReference w:id="226"/>
      </w:r>
      <w:r>
        <w:rPr>
          <w:rFonts w:cs="David" w:hint="cs"/>
          <w:sz w:val="28"/>
          <w:szCs w:val="28"/>
          <w:rtl/>
        </w:rPr>
        <w:t xml:space="preserve"> מדיניות זו גם זכתה לגיבוי של בית המשפט העליון, אשר קבע, למשל, בבג"צ </w:t>
      </w:r>
      <w:r w:rsidRPr="00C77982">
        <w:rPr>
          <w:rFonts w:cs="David" w:hint="cs"/>
          <w:b/>
          <w:bCs/>
          <w:sz w:val="28"/>
          <w:szCs w:val="28"/>
          <w:rtl/>
        </w:rPr>
        <w:t>שלנגר נ' היועץ המשפטי לממשלה</w:t>
      </w:r>
      <w:r>
        <w:rPr>
          <w:rFonts w:cs="David" w:hint="cs"/>
          <w:sz w:val="28"/>
          <w:szCs w:val="28"/>
          <w:rtl/>
        </w:rPr>
        <w:t xml:space="preserve"> (1994)</w:t>
      </w:r>
      <w:r>
        <w:rPr>
          <w:rStyle w:val="a5"/>
          <w:rFonts w:cs="David"/>
          <w:sz w:val="28"/>
          <w:szCs w:val="28"/>
          <w:rtl/>
        </w:rPr>
        <w:footnoteReference w:id="227"/>
      </w:r>
      <w:r>
        <w:rPr>
          <w:rFonts w:cs="David" w:hint="cs"/>
          <w:sz w:val="28"/>
          <w:szCs w:val="28"/>
          <w:rtl/>
        </w:rPr>
        <w:t xml:space="preserve"> כי:</w:t>
      </w:r>
    </w:p>
    <w:p w:rsidR="00A85D07" w:rsidRPr="00BC5A38" w:rsidRDefault="00A85D07" w:rsidP="00A85D07">
      <w:pPr>
        <w:spacing w:line="360" w:lineRule="auto"/>
        <w:ind w:left="720"/>
        <w:jc w:val="both"/>
        <w:rPr>
          <w:rFonts w:cs="David"/>
          <w:sz w:val="24"/>
          <w:szCs w:val="24"/>
          <w:rtl/>
        </w:rPr>
      </w:pPr>
      <w:r w:rsidRPr="00BC5A38">
        <w:rPr>
          <w:rFonts w:cs="David" w:hint="cs"/>
          <w:sz w:val="24"/>
          <w:szCs w:val="24"/>
          <w:rtl/>
        </w:rPr>
        <w:t>מדיניותה הכללית של התביעה הינה כי יש להמעיט ככל האפשר בהעמדת אדם לדין בגין התבטאויות שהתבטא. עיקרון חופש הביטוי הוא עיקרון יסוד במשפט</w:t>
      </w:r>
      <w:r>
        <w:rPr>
          <w:rFonts w:cs="David" w:hint="cs"/>
          <w:sz w:val="24"/>
          <w:szCs w:val="24"/>
          <w:rtl/>
        </w:rPr>
        <w:t>נ</w:t>
      </w:r>
      <w:r w:rsidRPr="00BC5A38">
        <w:rPr>
          <w:rFonts w:cs="David" w:hint="cs"/>
          <w:sz w:val="24"/>
          <w:szCs w:val="24"/>
          <w:rtl/>
        </w:rPr>
        <w:t xml:space="preserve">ו, שבגינו מחליטה </w:t>
      </w:r>
      <w:r w:rsidRPr="00BC5A38">
        <w:rPr>
          <w:rFonts w:cs="David" w:hint="cs"/>
          <w:sz w:val="24"/>
          <w:szCs w:val="24"/>
          <w:rtl/>
        </w:rPr>
        <w:lastRenderedPageBreak/>
        <w:t>התביעה במקרים רבים, כי אף על פי שלכאורה ישנן ראיות לביצועה של עבירה, אין עניין לציבור בהעמדת אדם לדין, וזאת כדי להימנע מלפגוע , ככל שניתן הדבר, בחופש הביטוי והבעת הדעה</w:t>
      </w:r>
    </w:p>
    <w:p w:rsidR="00A85D07" w:rsidRDefault="00A85D07" w:rsidP="00725A4A">
      <w:pPr>
        <w:spacing w:line="360" w:lineRule="auto"/>
        <w:jc w:val="both"/>
        <w:rPr>
          <w:rFonts w:cs="David"/>
          <w:sz w:val="28"/>
          <w:szCs w:val="28"/>
          <w:rtl/>
        </w:rPr>
      </w:pPr>
      <w:r>
        <w:rPr>
          <w:rFonts w:cs="David" w:hint="cs"/>
          <w:sz w:val="28"/>
          <w:szCs w:val="28"/>
          <w:rtl/>
        </w:rPr>
        <w:t xml:space="preserve">השנייה, כפי שכבר צוין, </w:t>
      </w:r>
      <w:r w:rsidR="00725A4A" w:rsidRPr="00725A4A">
        <w:rPr>
          <w:rFonts w:cs="David" w:hint="cs"/>
          <w:sz w:val="28"/>
          <w:szCs w:val="28"/>
          <w:rtl/>
        </w:rPr>
        <w:t>סומנה</w:t>
      </w:r>
      <w:r w:rsidR="00725A4A">
        <w:rPr>
          <w:rFonts w:cs="David" w:hint="cs"/>
          <w:b/>
          <w:bCs/>
          <w:sz w:val="28"/>
          <w:szCs w:val="28"/>
          <w:rtl/>
        </w:rPr>
        <w:t xml:space="preserve"> </w:t>
      </w:r>
      <w:r w:rsidRPr="00936571">
        <w:rPr>
          <w:rFonts w:cs="David" w:hint="cs"/>
          <w:b/>
          <w:bCs/>
          <w:sz w:val="28"/>
          <w:szCs w:val="28"/>
          <w:rtl/>
        </w:rPr>
        <w:t>לאחר רצח רבין</w:t>
      </w:r>
      <w:r>
        <w:rPr>
          <w:rFonts w:cs="David" w:hint="cs"/>
          <w:sz w:val="28"/>
          <w:szCs w:val="28"/>
          <w:rtl/>
        </w:rPr>
        <w:t>, אז שונתה גישתה של הפרקליטות לעבירות הסתה באופן דרמטי. מיד לאחר הרצח הגישה הפרקליטות שורה של כתבי אישום כנגד גורמים אשר השמיעו התבטאויות מסיתות.</w:t>
      </w:r>
      <w:r>
        <w:rPr>
          <w:rStyle w:val="a5"/>
          <w:rFonts w:cs="David"/>
          <w:sz w:val="28"/>
          <w:szCs w:val="28"/>
          <w:rtl/>
        </w:rPr>
        <w:footnoteReference w:id="228"/>
      </w:r>
      <w:r>
        <w:rPr>
          <w:rFonts w:cs="David" w:hint="cs"/>
          <w:sz w:val="28"/>
          <w:szCs w:val="28"/>
          <w:rtl/>
        </w:rPr>
        <w:t xml:space="preserve"> יחד עם זאת, עדיין נותרה רגישות רבה לסכנה של הגבלת חופש הביטוי ופתיחה בחקירות והגשת כתבי אישום הייתה במשורה.</w:t>
      </w:r>
    </w:p>
    <w:p w:rsidR="00A85D07" w:rsidRDefault="00725A4A" w:rsidP="001C43BC">
      <w:pPr>
        <w:spacing w:line="360" w:lineRule="auto"/>
        <w:jc w:val="both"/>
        <w:rPr>
          <w:rFonts w:cs="David"/>
          <w:sz w:val="28"/>
          <w:szCs w:val="28"/>
          <w:rtl/>
        </w:rPr>
      </w:pPr>
      <w:r>
        <w:rPr>
          <w:rFonts w:cs="David" w:hint="cs"/>
          <w:sz w:val="28"/>
          <w:szCs w:val="28"/>
          <w:rtl/>
        </w:rPr>
        <w:t xml:space="preserve">את </w:t>
      </w:r>
      <w:r w:rsidR="00A85D07">
        <w:rPr>
          <w:rFonts w:cs="David" w:hint="cs"/>
          <w:sz w:val="28"/>
          <w:szCs w:val="28"/>
          <w:rtl/>
        </w:rPr>
        <w:t xml:space="preserve">'אבן הדרך' השלישית, </w:t>
      </w:r>
      <w:r>
        <w:rPr>
          <w:rFonts w:cs="David" w:hint="cs"/>
          <w:sz w:val="28"/>
          <w:szCs w:val="28"/>
          <w:rtl/>
        </w:rPr>
        <w:t xml:space="preserve">ניתן לסמן </w:t>
      </w:r>
      <w:r w:rsidR="00A85D07" w:rsidRPr="00936571">
        <w:rPr>
          <w:rFonts w:cs="David" w:hint="cs"/>
          <w:b/>
          <w:bCs/>
          <w:sz w:val="28"/>
          <w:szCs w:val="28"/>
          <w:rtl/>
        </w:rPr>
        <w:t>במחצית שנת 2014</w:t>
      </w:r>
      <w:r w:rsidR="00A85D07">
        <w:rPr>
          <w:rFonts w:cs="David" w:hint="cs"/>
          <w:sz w:val="28"/>
          <w:szCs w:val="28"/>
          <w:rtl/>
        </w:rPr>
        <w:t>, לאחר מבצע 'צוק איתן' וחטיפת שלושת הנערים</w:t>
      </w:r>
      <w:r w:rsidR="001C43BC">
        <w:rPr>
          <w:rFonts w:cs="David" w:hint="cs"/>
          <w:sz w:val="28"/>
          <w:szCs w:val="28"/>
          <w:rtl/>
        </w:rPr>
        <w:t>,</w:t>
      </w:r>
      <w:r w:rsidR="00A85D07">
        <w:rPr>
          <w:rFonts w:cs="David" w:hint="cs"/>
          <w:sz w:val="28"/>
          <w:szCs w:val="28"/>
          <w:rtl/>
        </w:rPr>
        <w:t xml:space="preserve"> שנרצחו על ידי פלסטינים מחברון. </w:t>
      </w:r>
      <w:r w:rsidR="00A85D07" w:rsidRPr="000E02E2">
        <w:rPr>
          <w:rFonts w:cs="David" w:hint="cs"/>
          <w:b/>
          <w:bCs/>
          <w:sz w:val="28"/>
          <w:szCs w:val="28"/>
          <w:rtl/>
        </w:rPr>
        <w:t>אירועים אלו הביאו לגל עכור של התבטאויות קיצוניות, גזעניות ואלימות משני הצדדים, היהודים והערבים, ובעיקר ברשתות החברתיות</w:t>
      </w:r>
      <w:r w:rsidR="00A85D07">
        <w:rPr>
          <w:rFonts w:cs="David" w:hint="cs"/>
          <w:sz w:val="28"/>
          <w:szCs w:val="28"/>
          <w:rtl/>
        </w:rPr>
        <w:t xml:space="preserve">. לפיכך, הוחלט בפרקליטות כי </w:t>
      </w:r>
      <w:r w:rsidR="00A85D07" w:rsidRPr="000E02E2">
        <w:rPr>
          <w:rFonts w:cs="David" w:hint="cs"/>
          <w:b/>
          <w:bCs/>
          <w:sz w:val="28"/>
          <w:szCs w:val="28"/>
          <w:rtl/>
        </w:rPr>
        <w:t xml:space="preserve">יש צורך בשינוי המדיניות הזהירה שננקטה </w:t>
      </w:r>
      <w:r w:rsidR="001C43BC">
        <w:rPr>
          <w:rFonts w:cs="David" w:hint="cs"/>
          <w:b/>
          <w:bCs/>
          <w:sz w:val="28"/>
          <w:szCs w:val="28"/>
          <w:rtl/>
        </w:rPr>
        <w:t>עד אז.</w:t>
      </w:r>
      <w:r w:rsidR="00A85D07">
        <w:rPr>
          <w:rFonts w:cs="David" w:hint="cs"/>
          <w:sz w:val="28"/>
          <w:szCs w:val="28"/>
          <w:rtl/>
        </w:rPr>
        <w:t xml:space="preserve"> ברם, השינוי לא ניכר בפועל, שכן לא </w:t>
      </w:r>
      <w:r w:rsidR="001C43BC">
        <w:rPr>
          <w:rFonts w:cs="David" w:hint="cs"/>
          <w:sz w:val="28"/>
          <w:szCs w:val="28"/>
          <w:rtl/>
        </w:rPr>
        <w:t xml:space="preserve">נעשתה </w:t>
      </w:r>
      <w:r w:rsidR="00A85D07">
        <w:rPr>
          <w:rFonts w:cs="David" w:hint="cs"/>
          <w:sz w:val="28"/>
          <w:szCs w:val="28"/>
          <w:rtl/>
        </w:rPr>
        <w:t>פעילות יזומה מצד רשויות האכיפה</w:t>
      </w:r>
      <w:r w:rsidR="00B32E5D">
        <w:rPr>
          <w:rFonts w:cs="David" w:hint="cs"/>
          <w:sz w:val="28"/>
          <w:szCs w:val="28"/>
          <w:rtl/>
        </w:rPr>
        <w:t>.</w:t>
      </w:r>
      <w:r w:rsidR="00A85D07">
        <w:rPr>
          <w:rFonts w:cs="David" w:hint="cs"/>
          <w:sz w:val="28"/>
          <w:szCs w:val="28"/>
          <w:rtl/>
        </w:rPr>
        <w:t xml:space="preserve"> החקירות התבסס</w:t>
      </w:r>
      <w:r w:rsidR="00B32E5D">
        <w:rPr>
          <w:rFonts w:cs="David" w:hint="cs"/>
          <w:sz w:val="28"/>
          <w:szCs w:val="28"/>
          <w:rtl/>
        </w:rPr>
        <w:t>ו</w:t>
      </w:r>
      <w:r w:rsidR="00A85D07">
        <w:rPr>
          <w:rFonts w:cs="David" w:hint="cs"/>
          <w:sz w:val="28"/>
          <w:szCs w:val="28"/>
          <w:rtl/>
        </w:rPr>
        <w:t xml:space="preserve"> בעיקר על תלונות מצד אלו שחשו עצמם </w:t>
      </w:r>
      <w:r w:rsidR="00A85D07" w:rsidRPr="001C43BC">
        <w:rPr>
          <w:rFonts w:cs="David" w:hint="cs"/>
          <w:sz w:val="28"/>
          <w:szCs w:val="28"/>
          <w:rtl/>
        </w:rPr>
        <w:t>נפגעים</w:t>
      </w:r>
      <w:r w:rsidR="00CE12A6" w:rsidRPr="001C43BC">
        <w:rPr>
          <w:rFonts w:cs="David" w:hint="cs"/>
          <w:sz w:val="28"/>
          <w:szCs w:val="28"/>
          <w:rtl/>
        </w:rPr>
        <w:t xml:space="preserve"> כתוצאה מהסתה נגדם במרשתת וברשתות החברתיות</w:t>
      </w:r>
      <w:r w:rsidR="00A85D07" w:rsidRPr="001C43BC">
        <w:rPr>
          <w:rFonts w:cs="David" w:hint="cs"/>
          <w:sz w:val="28"/>
          <w:szCs w:val="28"/>
          <w:rtl/>
        </w:rPr>
        <w:t>.</w:t>
      </w:r>
      <w:r w:rsidR="00A85D07">
        <w:rPr>
          <w:rStyle w:val="a5"/>
          <w:rFonts w:cs="David"/>
          <w:sz w:val="28"/>
          <w:szCs w:val="28"/>
          <w:rtl/>
        </w:rPr>
        <w:footnoteReference w:id="229"/>
      </w:r>
      <w:r w:rsidR="00A85D07">
        <w:rPr>
          <w:rFonts w:cs="David" w:hint="cs"/>
          <w:sz w:val="28"/>
          <w:szCs w:val="28"/>
          <w:rtl/>
        </w:rPr>
        <w:t xml:space="preserve"> השינוי בפועל, ובעיקר באופן הטיפול </w:t>
      </w:r>
      <w:r w:rsidR="00A85D07" w:rsidRPr="00463D22">
        <w:rPr>
          <w:rFonts w:cs="David" w:hint="cs"/>
          <w:b/>
          <w:bCs/>
          <w:sz w:val="28"/>
          <w:szCs w:val="28"/>
          <w:rtl/>
        </w:rPr>
        <w:t>היזום</w:t>
      </w:r>
      <w:r w:rsidR="00A85D07">
        <w:rPr>
          <w:rFonts w:cs="David" w:hint="cs"/>
          <w:sz w:val="28"/>
          <w:szCs w:val="28"/>
          <w:rtl/>
        </w:rPr>
        <w:t xml:space="preserve">, ארע כשנה לאחר מכן, </w:t>
      </w:r>
      <w:r w:rsidR="00A85D07" w:rsidRPr="00936571">
        <w:rPr>
          <w:rFonts w:cs="David" w:hint="cs"/>
          <w:b/>
          <w:bCs/>
          <w:sz w:val="28"/>
          <w:szCs w:val="28"/>
          <w:rtl/>
        </w:rPr>
        <w:t>במחצית שנת 2015</w:t>
      </w:r>
      <w:r w:rsidR="00A85D07">
        <w:rPr>
          <w:rFonts w:cs="David" w:hint="cs"/>
          <w:sz w:val="28"/>
          <w:szCs w:val="28"/>
          <w:rtl/>
        </w:rPr>
        <w:t>, לאור רצף אירועים: הרצח של המשפחה הפלסטינית בכפר דומא שבבנימין, רצח הנערה שירה בנקי ז"ל במצעד הגאווה בירושלים וגל הטרור שהחל באוקטובר 2015.</w:t>
      </w:r>
      <w:r w:rsidR="00A85D07">
        <w:rPr>
          <w:rStyle w:val="a5"/>
          <w:rFonts w:cs="David"/>
          <w:sz w:val="28"/>
          <w:szCs w:val="28"/>
          <w:rtl/>
        </w:rPr>
        <w:footnoteReference w:id="230"/>
      </w:r>
      <w:r w:rsidR="00A85D07">
        <w:rPr>
          <w:rFonts w:cs="David" w:hint="cs"/>
          <w:sz w:val="28"/>
          <w:szCs w:val="28"/>
          <w:rtl/>
        </w:rPr>
        <w:t xml:space="preserve"> כל אלו </w:t>
      </w:r>
      <w:r w:rsidR="00A85D07" w:rsidRPr="00620256">
        <w:rPr>
          <w:rFonts w:cs="David" w:hint="cs"/>
          <w:b/>
          <w:bCs/>
          <w:sz w:val="28"/>
          <w:szCs w:val="28"/>
          <w:rtl/>
        </w:rPr>
        <w:t>הקצינו את ההסתה ברשתות החברתיות</w:t>
      </w:r>
      <w:r w:rsidR="00A85D07">
        <w:rPr>
          <w:rFonts w:cs="David" w:hint="cs"/>
          <w:sz w:val="28"/>
          <w:szCs w:val="28"/>
          <w:rtl/>
        </w:rPr>
        <w:t>, כפי שניתן לראות בנתונים שהובאו בפרק המבוא.</w:t>
      </w:r>
    </w:p>
    <w:p w:rsidR="00A85D07" w:rsidRDefault="00A85D07" w:rsidP="00A85D07">
      <w:pPr>
        <w:spacing w:line="360" w:lineRule="auto"/>
        <w:jc w:val="both"/>
        <w:rPr>
          <w:rFonts w:cs="David"/>
          <w:sz w:val="28"/>
          <w:szCs w:val="28"/>
          <w:rtl/>
        </w:rPr>
      </w:pPr>
      <w:r>
        <w:rPr>
          <w:rFonts w:cs="David" w:hint="cs"/>
          <w:sz w:val="28"/>
          <w:szCs w:val="28"/>
          <w:rtl/>
        </w:rPr>
        <w:t xml:space="preserve">כדי להתמודד טוב יותר עם הרמת הראש המכוערת של הגזענות וגל ההסתה הגואה </w:t>
      </w:r>
      <w:r w:rsidRPr="00226DCE">
        <w:rPr>
          <w:rFonts w:cs="David" w:hint="cs"/>
          <w:b/>
          <w:bCs/>
          <w:sz w:val="28"/>
          <w:szCs w:val="28"/>
          <w:rtl/>
        </w:rPr>
        <w:t>ברשתות החברתיות</w:t>
      </w:r>
      <w:r>
        <w:rPr>
          <w:rFonts w:cs="David" w:hint="cs"/>
          <w:sz w:val="28"/>
          <w:szCs w:val="28"/>
          <w:rtl/>
        </w:rPr>
        <w:t xml:space="preserve">, </w:t>
      </w:r>
      <w:r w:rsidRPr="00226DCE">
        <w:rPr>
          <w:rFonts w:cs="David" w:hint="cs"/>
          <w:sz w:val="28"/>
          <w:szCs w:val="28"/>
          <w:rtl/>
        </w:rPr>
        <w:t>נקבעו בפרקליטות המדינה קריטריונים, שאמורים לסייע בידי התביעה לגבש את מדיניותה</w:t>
      </w:r>
      <w:r>
        <w:rPr>
          <w:rFonts w:cs="David" w:hint="cs"/>
          <w:sz w:val="28"/>
          <w:szCs w:val="28"/>
          <w:rtl/>
        </w:rPr>
        <w:t xml:space="preserve">, באשר לפתיחה בחקירות והגשת כתבי אישום </w:t>
      </w:r>
      <w:r w:rsidRPr="00226DCE">
        <w:rPr>
          <w:rFonts w:cs="David" w:hint="cs"/>
          <w:b/>
          <w:bCs/>
          <w:sz w:val="28"/>
          <w:szCs w:val="28"/>
          <w:rtl/>
        </w:rPr>
        <w:t>על ביטויים במרשתת וברשתות החברתיות</w:t>
      </w:r>
      <w:r>
        <w:rPr>
          <w:rFonts w:cs="David" w:hint="cs"/>
          <w:sz w:val="28"/>
          <w:szCs w:val="28"/>
          <w:rtl/>
        </w:rPr>
        <w:t>, בהתאם להנחיות פרקליט המדינה הכלליות שעדיין תקפות. להלן יובאו הקריטריונים, אשר נבחנים במצטבר ואינם רשימה סגורה:</w:t>
      </w:r>
      <w:r>
        <w:rPr>
          <w:rStyle w:val="a5"/>
          <w:rFonts w:cs="David"/>
          <w:sz w:val="28"/>
          <w:szCs w:val="28"/>
          <w:rtl/>
        </w:rPr>
        <w:footnoteReference w:id="231"/>
      </w:r>
    </w:p>
    <w:p w:rsidR="00A85D07" w:rsidRDefault="00A85D07" w:rsidP="00AB733E">
      <w:pPr>
        <w:pStyle w:val="a6"/>
        <w:numPr>
          <w:ilvl w:val="0"/>
          <w:numId w:val="13"/>
        </w:numPr>
        <w:spacing w:line="360" w:lineRule="auto"/>
        <w:ind w:left="643"/>
        <w:jc w:val="both"/>
        <w:rPr>
          <w:rFonts w:cs="David"/>
          <w:sz w:val="28"/>
          <w:szCs w:val="28"/>
        </w:rPr>
      </w:pPr>
      <w:r w:rsidRPr="000D19C5">
        <w:rPr>
          <w:rFonts w:cs="David" w:hint="cs"/>
          <w:b/>
          <w:bCs/>
          <w:sz w:val="28"/>
          <w:szCs w:val="28"/>
          <w:rtl/>
        </w:rPr>
        <w:lastRenderedPageBreak/>
        <w:t>תוכן הפרסום</w:t>
      </w:r>
      <w:r>
        <w:rPr>
          <w:rFonts w:cs="David" w:hint="cs"/>
          <w:sz w:val="28"/>
          <w:szCs w:val="28"/>
          <w:rtl/>
        </w:rPr>
        <w:t xml:space="preserve"> </w:t>
      </w:r>
      <w:r>
        <w:rPr>
          <w:rFonts w:cs="David"/>
          <w:sz w:val="28"/>
          <w:szCs w:val="28"/>
          <w:rtl/>
        </w:rPr>
        <w:t>–</w:t>
      </w:r>
      <w:r>
        <w:rPr>
          <w:rFonts w:cs="David" w:hint="cs"/>
          <w:sz w:val="28"/>
          <w:szCs w:val="28"/>
          <w:rtl/>
        </w:rPr>
        <w:t xml:space="preserve"> ככל שהאמירה </w:t>
      </w:r>
      <w:r w:rsidR="00AB733E">
        <w:rPr>
          <w:rFonts w:cs="David" w:hint="cs"/>
          <w:sz w:val="28"/>
          <w:szCs w:val="28"/>
          <w:rtl/>
        </w:rPr>
        <w:t xml:space="preserve">בוטה </w:t>
      </w:r>
      <w:r>
        <w:rPr>
          <w:rFonts w:cs="David" w:hint="cs"/>
          <w:sz w:val="28"/>
          <w:szCs w:val="28"/>
          <w:rtl/>
        </w:rPr>
        <w:t xml:space="preserve">יותר, חריפה או קוראת בצורה מפורשת יותר למעשה אלימות, כך יש אינטרס גדול יותר לחקור </w:t>
      </w:r>
      <w:r w:rsidR="00AB733E">
        <w:rPr>
          <w:rFonts w:cs="David" w:hint="cs"/>
          <w:sz w:val="28"/>
          <w:szCs w:val="28"/>
          <w:rtl/>
        </w:rPr>
        <w:t xml:space="preserve">אותה </w:t>
      </w:r>
      <w:r>
        <w:rPr>
          <w:rFonts w:cs="David" w:hint="cs"/>
          <w:sz w:val="28"/>
          <w:szCs w:val="28"/>
          <w:rtl/>
        </w:rPr>
        <w:t xml:space="preserve">ולהגיש כתב אישום אם יתגבשו הראיות המתאימות. במידה ומצורפים תמונות, סרטים </w:t>
      </w:r>
      <w:r>
        <w:rPr>
          <w:rFonts w:cs="David"/>
          <w:sz w:val="28"/>
          <w:szCs w:val="28"/>
          <w:rtl/>
        </w:rPr>
        <w:t>–</w:t>
      </w:r>
      <w:r>
        <w:rPr>
          <w:rFonts w:cs="David" w:hint="cs"/>
          <w:sz w:val="28"/>
          <w:szCs w:val="28"/>
          <w:rtl/>
        </w:rPr>
        <w:t xml:space="preserve"> האינטרס גדל.</w:t>
      </w:r>
    </w:p>
    <w:p w:rsidR="00A85D07" w:rsidRPr="00385DCB" w:rsidRDefault="00A85D07" w:rsidP="00ED5F66">
      <w:pPr>
        <w:pStyle w:val="a6"/>
        <w:numPr>
          <w:ilvl w:val="0"/>
          <w:numId w:val="13"/>
        </w:numPr>
        <w:spacing w:line="360" w:lineRule="auto"/>
        <w:ind w:left="643"/>
        <w:jc w:val="both"/>
        <w:rPr>
          <w:rFonts w:cs="David"/>
          <w:sz w:val="28"/>
          <w:szCs w:val="28"/>
        </w:rPr>
      </w:pPr>
      <w:r w:rsidRPr="000D19C5">
        <w:rPr>
          <w:rFonts w:cs="David" w:hint="cs"/>
          <w:b/>
          <w:bCs/>
          <w:sz w:val="28"/>
          <w:szCs w:val="28"/>
          <w:rtl/>
        </w:rPr>
        <w:t>היקף החשיפה</w:t>
      </w:r>
      <w:r>
        <w:rPr>
          <w:rFonts w:cs="David" w:hint="cs"/>
          <w:sz w:val="28"/>
          <w:szCs w:val="28"/>
          <w:rtl/>
        </w:rPr>
        <w:t xml:space="preserve"> </w:t>
      </w:r>
      <w:r>
        <w:rPr>
          <w:rFonts w:cs="David"/>
          <w:sz w:val="28"/>
          <w:szCs w:val="28"/>
          <w:rtl/>
        </w:rPr>
        <w:t>–</w:t>
      </w:r>
      <w:r>
        <w:rPr>
          <w:rFonts w:cs="David" w:hint="cs"/>
          <w:sz w:val="28"/>
          <w:szCs w:val="28"/>
          <w:rtl/>
        </w:rPr>
        <w:t xml:space="preserve"> ככל שאנשים </w:t>
      </w:r>
      <w:r w:rsidR="00ED5F66">
        <w:rPr>
          <w:rFonts w:cs="David" w:hint="cs"/>
          <w:sz w:val="28"/>
          <w:szCs w:val="28"/>
          <w:rtl/>
        </w:rPr>
        <w:t xml:space="preserve">רבים יותר </w:t>
      </w:r>
      <w:r>
        <w:rPr>
          <w:rFonts w:cs="David" w:hint="cs"/>
          <w:sz w:val="28"/>
          <w:szCs w:val="28"/>
          <w:rtl/>
        </w:rPr>
        <w:t>נחשפים לתוכן הגזעני והמסית לכאורה, כך גובר האינטרס לפתוח בחקירה. נבדק האם המדובר בקבוצה סגורה או פתוחה, כמות החברים באותו אתר וכמה אנשים הגיבו או עשו 'לייק' לפוסט.</w:t>
      </w:r>
    </w:p>
    <w:p w:rsidR="00A85D07" w:rsidRDefault="00A85D07" w:rsidP="00A85D07">
      <w:pPr>
        <w:pStyle w:val="a6"/>
        <w:numPr>
          <w:ilvl w:val="0"/>
          <w:numId w:val="13"/>
        </w:numPr>
        <w:spacing w:line="360" w:lineRule="auto"/>
        <w:ind w:left="643"/>
        <w:jc w:val="both"/>
        <w:rPr>
          <w:rFonts w:cs="David"/>
          <w:sz w:val="28"/>
          <w:szCs w:val="28"/>
        </w:rPr>
      </w:pPr>
      <w:r w:rsidRPr="000D19C5">
        <w:rPr>
          <w:rFonts w:cs="David" w:hint="cs"/>
          <w:b/>
          <w:bCs/>
          <w:sz w:val="28"/>
          <w:szCs w:val="28"/>
          <w:rtl/>
        </w:rPr>
        <w:t>מעמד המפרסם</w:t>
      </w:r>
      <w:r>
        <w:rPr>
          <w:rFonts w:cs="David" w:hint="cs"/>
          <w:sz w:val="28"/>
          <w:szCs w:val="28"/>
          <w:rtl/>
        </w:rPr>
        <w:t xml:space="preserve"> </w:t>
      </w:r>
      <w:r>
        <w:rPr>
          <w:rFonts w:cs="David"/>
          <w:sz w:val="28"/>
          <w:szCs w:val="28"/>
          <w:rtl/>
        </w:rPr>
        <w:t>–</w:t>
      </w:r>
      <w:r>
        <w:rPr>
          <w:rFonts w:cs="David" w:hint="cs"/>
          <w:sz w:val="28"/>
          <w:szCs w:val="28"/>
          <w:rtl/>
        </w:rPr>
        <w:t xml:space="preserve"> ככל ש</w:t>
      </w:r>
      <w:r w:rsidR="00ED5F66">
        <w:rPr>
          <w:rFonts w:cs="David" w:hint="cs"/>
          <w:sz w:val="28"/>
          <w:szCs w:val="28"/>
          <w:rtl/>
        </w:rPr>
        <w:t xml:space="preserve">הוא </w:t>
      </w:r>
      <w:r>
        <w:rPr>
          <w:rFonts w:cs="David" w:hint="cs"/>
          <w:sz w:val="28"/>
          <w:szCs w:val="28"/>
          <w:rtl/>
        </w:rPr>
        <w:t>מוכר ובעל השפעה על ציבור גדול יותר (למשל, יש לו מספר עוקבים רב), כך גובר הסיכוי להשפעה גבוהה יותר ומכאן לסכנה הטמונה באותו פרסום.</w:t>
      </w:r>
    </w:p>
    <w:p w:rsidR="00A85D07" w:rsidRDefault="00A85D07" w:rsidP="00ED5F66">
      <w:pPr>
        <w:pStyle w:val="a6"/>
        <w:numPr>
          <w:ilvl w:val="0"/>
          <w:numId w:val="13"/>
        </w:numPr>
        <w:spacing w:line="360" w:lineRule="auto"/>
        <w:ind w:left="643"/>
        <w:jc w:val="both"/>
        <w:rPr>
          <w:rFonts w:cs="David"/>
          <w:sz w:val="28"/>
          <w:szCs w:val="28"/>
        </w:rPr>
      </w:pPr>
      <w:r w:rsidRPr="000D19C5">
        <w:rPr>
          <w:rFonts w:cs="David" w:hint="cs"/>
          <w:b/>
          <w:bCs/>
          <w:sz w:val="28"/>
          <w:szCs w:val="28"/>
          <w:rtl/>
        </w:rPr>
        <w:t>מספר ההתבטאויות שהתפרסמו</w:t>
      </w:r>
      <w:r>
        <w:rPr>
          <w:rFonts w:cs="David" w:hint="cs"/>
          <w:sz w:val="28"/>
          <w:szCs w:val="28"/>
          <w:rtl/>
        </w:rPr>
        <w:t xml:space="preserve"> </w:t>
      </w:r>
      <w:r>
        <w:rPr>
          <w:rFonts w:cs="David"/>
          <w:sz w:val="28"/>
          <w:szCs w:val="28"/>
          <w:rtl/>
        </w:rPr>
        <w:t>–</w:t>
      </w:r>
      <w:r w:rsidR="00ED5F66">
        <w:rPr>
          <w:rFonts w:cs="David" w:hint="cs"/>
          <w:sz w:val="28"/>
          <w:szCs w:val="28"/>
          <w:rtl/>
        </w:rPr>
        <w:t xml:space="preserve"> ככל ש</w:t>
      </w:r>
      <w:r>
        <w:rPr>
          <w:rFonts w:cs="David" w:hint="cs"/>
          <w:sz w:val="28"/>
          <w:szCs w:val="28"/>
          <w:rtl/>
        </w:rPr>
        <w:t xml:space="preserve">מדובר בהתבטאויות חוזרות   ושהמפרסם עושה זו במשך תקופה אזי </w:t>
      </w:r>
      <w:r w:rsidR="00ED5F66">
        <w:rPr>
          <w:rFonts w:cs="David" w:hint="cs"/>
          <w:sz w:val="28"/>
          <w:szCs w:val="28"/>
          <w:rtl/>
        </w:rPr>
        <w:t xml:space="preserve">תגדל </w:t>
      </w:r>
      <w:r>
        <w:rPr>
          <w:rFonts w:cs="David" w:hint="cs"/>
          <w:sz w:val="28"/>
          <w:szCs w:val="28"/>
          <w:rtl/>
        </w:rPr>
        <w:t xml:space="preserve">הנטייה לפתוח בחקירה. ולהפך,  באם היה זה </w:t>
      </w:r>
      <w:r w:rsidR="00ED5F66">
        <w:rPr>
          <w:rFonts w:cs="David" w:hint="cs"/>
          <w:sz w:val="28"/>
          <w:szCs w:val="28"/>
          <w:rtl/>
        </w:rPr>
        <w:t xml:space="preserve">פרסום </w:t>
      </w:r>
      <w:r>
        <w:rPr>
          <w:rFonts w:cs="David" w:hint="cs"/>
          <w:sz w:val="28"/>
          <w:szCs w:val="28"/>
          <w:rtl/>
        </w:rPr>
        <w:t>חד-פעמי, לא תיפתח חקירה.</w:t>
      </w:r>
    </w:p>
    <w:p w:rsidR="00A85D07" w:rsidRDefault="00A85D07" w:rsidP="00807618">
      <w:pPr>
        <w:pStyle w:val="a6"/>
        <w:numPr>
          <w:ilvl w:val="0"/>
          <w:numId w:val="13"/>
        </w:numPr>
        <w:spacing w:line="360" w:lineRule="auto"/>
        <w:ind w:left="643"/>
        <w:jc w:val="both"/>
        <w:rPr>
          <w:rFonts w:cs="David"/>
          <w:sz w:val="28"/>
          <w:szCs w:val="28"/>
        </w:rPr>
      </w:pPr>
      <w:r w:rsidRPr="000D19C5">
        <w:rPr>
          <w:rFonts w:cs="David" w:hint="cs"/>
          <w:b/>
          <w:bCs/>
          <w:sz w:val="28"/>
          <w:szCs w:val="28"/>
          <w:rtl/>
        </w:rPr>
        <w:t>הקשר הפרסום</w:t>
      </w:r>
      <w:r>
        <w:rPr>
          <w:rFonts w:cs="David" w:hint="cs"/>
          <w:sz w:val="28"/>
          <w:szCs w:val="28"/>
          <w:rtl/>
        </w:rPr>
        <w:t xml:space="preserve"> </w:t>
      </w:r>
      <w:r>
        <w:rPr>
          <w:rFonts w:cs="David"/>
          <w:sz w:val="28"/>
          <w:szCs w:val="28"/>
          <w:rtl/>
        </w:rPr>
        <w:t>–</w:t>
      </w:r>
      <w:r>
        <w:rPr>
          <w:rFonts w:cs="David" w:hint="cs"/>
          <w:sz w:val="28"/>
          <w:szCs w:val="28"/>
          <w:rtl/>
        </w:rPr>
        <w:t xml:space="preserve"> אם</w:t>
      </w:r>
      <w:r w:rsidR="00807618">
        <w:rPr>
          <w:rFonts w:cs="David" w:hint="cs"/>
          <w:sz w:val="28"/>
          <w:szCs w:val="28"/>
          <w:rtl/>
        </w:rPr>
        <w:t xml:space="preserve"> המדובר בתגובית ('טוקבק'),</w:t>
      </w:r>
      <w:r>
        <w:rPr>
          <w:rFonts w:cs="David" w:hint="cs"/>
          <w:sz w:val="28"/>
          <w:szCs w:val="28"/>
          <w:rtl/>
        </w:rPr>
        <w:t xml:space="preserve"> המדיניות הכללית היא לא לפתוח בחקירה</w:t>
      </w:r>
      <w:r w:rsidR="00807618">
        <w:rPr>
          <w:rFonts w:cs="David" w:hint="cs"/>
          <w:sz w:val="28"/>
          <w:szCs w:val="28"/>
          <w:rtl/>
        </w:rPr>
        <w:t>.</w:t>
      </w:r>
    </w:p>
    <w:p w:rsidR="00A85D07" w:rsidRDefault="00A85D07" w:rsidP="00A85D07">
      <w:pPr>
        <w:pStyle w:val="a6"/>
        <w:numPr>
          <w:ilvl w:val="0"/>
          <w:numId w:val="13"/>
        </w:numPr>
        <w:spacing w:line="360" w:lineRule="auto"/>
        <w:ind w:left="643"/>
        <w:jc w:val="both"/>
        <w:rPr>
          <w:rFonts w:cs="David"/>
          <w:sz w:val="28"/>
          <w:szCs w:val="28"/>
        </w:rPr>
      </w:pPr>
      <w:r w:rsidRPr="000D19C5">
        <w:rPr>
          <w:rFonts w:cs="David" w:hint="cs"/>
          <w:b/>
          <w:bCs/>
          <w:sz w:val="28"/>
          <w:szCs w:val="28"/>
          <w:rtl/>
        </w:rPr>
        <w:t>זמן הפרסום</w:t>
      </w:r>
      <w:r>
        <w:rPr>
          <w:rFonts w:cs="David" w:hint="cs"/>
          <w:sz w:val="28"/>
          <w:szCs w:val="28"/>
          <w:rtl/>
        </w:rPr>
        <w:t xml:space="preserve"> </w:t>
      </w:r>
      <w:r>
        <w:rPr>
          <w:rFonts w:cs="David"/>
          <w:sz w:val="28"/>
          <w:szCs w:val="28"/>
          <w:rtl/>
        </w:rPr>
        <w:t>–</w:t>
      </w:r>
      <w:r>
        <w:rPr>
          <w:rFonts w:cs="David" w:hint="cs"/>
          <w:sz w:val="28"/>
          <w:szCs w:val="28"/>
          <w:rtl/>
        </w:rPr>
        <w:t xml:space="preserve"> נבדק האם כותב הפוסט ברשת הוריד את הפרסום שלו, או שהשאירו.</w:t>
      </w:r>
    </w:p>
    <w:p w:rsidR="00A85D07" w:rsidRPr="001871EA" w:rsidRDefault="00A85D07" w:rsidP="004B3E14">
      <w:pPr>
        <w:pStyle w:val="a6"/>
        <w:numPr>
          <w:ilvl w:val="0"/>
          <w:numId w:val="13"/>
        </w:numPr>
        <w:spacing w:line="360" w:lineRule="auto"/>
        <w:ind w:left="643"/>
        <w:jc w:val="both"/>
        <w:rPr>
          <w:rFonts w:cs="David"/>
          <w:sz w:val="28"/>
          <w:szCs w:val="28"/>
          <w:rtl/>
        </w:rPr>
      </w:pPr>
      <w:r w:rsidRPr="000D19C5">
        <w:rPr>
          <w:rFonts w:cs="David" w:hint="cs"/>
          <w:b/>
          <w:bCs/>
          <w:sz w:val="28"/>
          <w:szCs w:val="28"/>
          <w:rtl/>
        </w:rPr>
        <w:t>א</w:t>
      </w:r>
      <w:r>
        <w:rPr>
          <w:rFonts w:cs="David" w:hint="cs"/>
          <w:b/>
          <w:bCs/>
          <w:sz w:val="28"/>
          <w:szCs w:val="28"/>
          <w:rtl/>
        </w:rPr>
        <w:t>ו</w:t>
      </w:r>
      <w:r w:rsidRPr="000D19C5">
        <w:rPr>
          <w:rFonts w:cs="David" w:hint="cs"/>
          <w:b/>
          <w:bCs/>
          <w:sz w:val="28"/>
          <w:szCs w:val="28"/>
          <w:rtl/>
        </w:rPr>
        <w:t>וירה ציבורית</w:t>
      </w:r>
      <w:r>
        <w:rPr>
          <w:rFonts w:cs="David" w:hint="cs"/>
          <w:sz w:val="28"/>
          <w:szCs w:val="28"/>
          <w:rtl/>
        </w:rPr>
        <w:t xml:space="preserve"> </w:t>
      </w:r>
      <w:r>
        <w:rPr>
          <w:rFonts w:cs="David"/>
          <w:sz w:val="28"/>
          <w:szCs w:val="28"/>
          <w:rtl/>
        </w:rPr>
        <w:t>–</w:t>
      </w:r>
      <w:r>
        <w:rPr>
          <w:rFonts w:cs="David" w:hint="cs"/>
          <w:sz w:val="28"/>
          <w:szCs w:val="28"/>
          <w:rtl/>
        </w:rPr>
        <w:t xml:space="preserve"> </w:t>
      </w:r>
      <w:r w:rsidR="000941E9">
        <w:rPr>
          <w:rFonts w:cs="David" w:hint="cs"/>
          <w:sz w:val="28"/>
          <w:szCs w:val="28"/>
          <w:rtl/>
        </w:rPr>
        <w:t xml:space="preserve">זהו </w:t>
      </w:r>
      <w:r>
        <w:rPr>
          <w:rFonts w:cs="David" w:hint="cs"/>
          <w:sz w:val="28"/>
          <w:szCs w:val="28"/>
          <w:rtl/>
        </w:rPr>
        <w:t>קריטריון בעל חשיבות משמעותית. ככל שהאווירה טעונה יותר ויש בה כדי להוביל לאלימות כלפי ציבור מסוים, מ</w:t>
      </w:r>
      <w:r w:rsidR="004B3E14">
        <w:rPr>
          <w:rFonts w:cs="David" w:hint="cs"/>
          <w:sz w:val="28"/>
          <w:szCs w:val="28"/>
          <w:rtl/>
        </w:rPr>
        <w:t>ת</w:t>
      </w:r>
      <w:r>
        <w:rPr>
          <w:rFonts w:cs="David" w:hint="cs"/>
          <w:sz w:val="28"/>
          <w:szCs w:val="28"/>
          <w:rtl/>
        </w:rPr>
        <w:t>עצמים הסיכונים להתקיימות המבחן ההסתברותי של "אפשרות ממשית", כפי שמופיע בעביר</w:t>
      </w:r>
      <w:r w:rsidR="004B3E14">
        <w:rPr>
          <w:rFonts w:cs="David" w:hint="cs"/>
          <w:sz w:val="28"/>
          <w:szCs w:val="28"/>
          <w:rtl/>
        </w:rPr>
        <w:t>ת</w:t>
      </w:r>
      <w:r>
        <w:rPr>
          <w:rFonts w:cs="David" w:hint="cs"/>
          <w:sz w:val="28"/>
          <w:szCs w:val="28"/>
          <w:rtl/>
        </w:rPr>
        <w:t xml:space="preserve"> ההסתה לאלימות.</w:t>
      </w:r>
    </w:p>
    <w:p w:rsidR="00A85D07" w:rsidRDefault="00A85D07" w:rsidP="003F1EE3">
      <w:pPr>
        <w:spacing w:line="360" w:lineRule="auto"/>
        <w:jc w:val="both"/>
        <w:rPr>
          <w:rFonts w:cs="David"/>
          <w:sz w:val="28"/>
          <w:szCs w:val="28"/>
          <w:rtl/>
        </w:rPr>
      </w:pPr>
      <w:r>
        <w:rPr>
          <w:rFonts w:cs="David" w:hint="cs"/>
          <w:sz w:val="28"/>
          <w:szCs w:val="28"/>
          <w:rtl/>
        </w:rPr>
        <w:t>יש לומר</w:t>
      </w:r>
      <w:r w:rsidR="004B3E14">
        <w:rPr>
          <w:rFonts w:cs="David" w:hint="cs"/>
          <w:sz w:val="28"/>
          <w:szCs w:val="28"/>
          <w:rtl/>
        </w:rPr>
        <w:t>,</w:t>
      </w:r>
      <w:r>
        <w:rPr>
          <w:rFonts w:cs="David" w:hint="cs"/>
          <w:sz w:val="28"/>
          <w:szCs w:val="28"/>
          <w:rtl/>
        </w:rPr>
        <w:t xml:space="preserve"> כי למרות המדיניות הנוהגת בפרקליטות, אשר </w:t>
      </w:r>
      <w:r w:rsidRPr="00BF7658">
        <w:rPr>
          <w:rFonts w:cs="David" w:hint="cs"/>
          <w:b/>
          <w:bCs/>
          <w:sz w:val="28"/>
          <w:szCs w:val="28"/>
          <w:rtl/>
        </w:rPr>
        <w:t>מביאה לטיפול רב יותר ומשמעותי יותר בתופעה של הסתה לגזענות ולאלימות</w:t>
      </w:r>
      <w:r>
        <w:rPr>
          <w:rFonts w:cs="David" w:hint="cs"/>
          <w:sz w:val="28"/>
          <w:szCs w:val="28"/>
          <w:rtl/>
        </w:rPr>
        <w:t xml:space="preserve"> </w:t>
      </w:r>
      <w:r w:rsidRPr="003F2A99">
        <w:rPr>
          <w:rFonts w:cs="David" w:hint="cs"/>
          <w:b/>
          <w:bCs/>
          <w:sz w:val="28"/>
          <w:szCs w:val="28"/>
          <w:rtl/>
        </w:rPr>
        <w:t>במרשתת וברשתות החברתיות</w:t>
      </w:r>
      <w:r>
        <w:rPr>
          <w:rFonts w:cs="David" w:hint="cs"/>
          <w:sz w:val="28"/>
          <w:szCs w:val="28"/>
          <w:rtl/>
        </w:rPr>
        <w:t xml:space="preserve">, </w:t>
      </w:r>
      <w:r w:rsidRPr="00BF7658">
        <w:rPr>
          <w:rFonts w:cs="David" w:hint="cs"/>
          <w:b/>
          <w:bCs/>
          <w:sz w:val="28"/>
          <w:szCs w:val="28"/>
          <w:rtl/>
        </w:rPr>
        <w:t>עדיין מדובר במספר קטן של חקירות</w:t>
      </w:r>
      <w:r w:rsidR="003F1EE3">
        <w:rPr>
          <w:rFonts w:cs="David" w:hint="cs"/>
          <w:b/>
          <w:bCs/>
          <w:sz w:val="28"/>
          <w:szCs w:val="28"/>
          <w:rtl/>
        </w:rPr>
        <w:t>, מעצרים</w:t>
      </w:r>
      <w:r w:rsidRPr="00BF7658">
        <w:rPr>
          <w:rFonts w:cs="David" w:hint="cs"/>
          <w:b/>
          <w:bCs/>
          <w:sz w:val="28"/>
          <w:szCs w:val="28"/>
          <w:rtl/>
        </w:rPr>
        <w:t xml:space="preserve"> וכתבי אישום אל מול יהודים בפרט</w:t>
      </w:r>
      <w:r>
        <w:rPr>
          <w:rFonts w:cs="David" w:hint="cs"/>
          <w:sz w:val="28"/>
          <w:szCs w:val="28"/>
          <w:rtl/>
        </w:rPr>
        <w:t xml:space="preserve">, בשל הזהירות הרבה שמחייבת איזון </w:t>
      </w:r>
      <w:r w:rsidRPr="004B351F">
        <w:rPr>
          <w:rFonts w:cs="David" w:hint="cs"/>
          <w:b/>
          <w:bCs/>
          <w:sz w:val="28"/>
          <w:szCs w:val="28"/>
          <w:rtl/>
        </w:rPr>
        <w:t>בין האכיפה ובין זכות חופש הביטוי</w:t>
      </w:r>
      <w:r>
        <w:rPr>
          <w:rFonts w:cs="David" w:hint="cs"/>
          <w:sz w:val="28"/>
          <w:szCs w:val="28"/>
          <w:rtl/>
        </w:rPr>
        <w:t xml:space="preserve"> בעבירות מסוג זה.</w:t>
      </w:r>
      <w:r>
        <w:rPr>
          <w:rStyle w:val="a5"/>
          <w:rFonts w:cs="David"/>
          <w:sz w:val="28"/>
          <w:szCs w:val="28"/>
          <w:rtl/>
        </w:rPr>
        <w:footnoteReference w:id="232"/>
      </w:r>
      <w:r>
        <w:rPr>
          <w:rFonts w:cs="David" w:hint="cs"/>
          <w:sz w:val="28"/>
          <w:szCs w:val="28"/>
          <w:rtl/>
        </w:rPr>
        <w:t xml:space="preserve"> </w:t>
      </w:r>
    </w:p>
    <w:p w:rsidR="001E767D" w:rsidRDefault="001E767D" w:rsidP="004B3E14">
      <w:pPr>
        <w:spacing w:line="360" w:lineRule="auto"/>
        <w:jc w:val="both"/>
        <w:rPr>
          <w:rFonts w:cs="David"/>
          <w:b/>
          <w:bCs/>
          <w:sz w:val="28"/>
          <w:szCs w:val="28"/>
          <w:rtl/>
        </w:rPr>
      </w:pPr>
    </w:p>
    <w:p w:rsidR="001E767D" w:rsidRDefault="001E767D" w:rsidP="004B3E14">
      <w:pPr>
        <w:spacing w:line="360" w:lineRule="auto"/>
        <w:jc w:val="both"/>
        <w:rPr>
          <w:rFonts w:cs="David"/>
          <w:b/>
          <w:bCs/>
          <w:sz w:val="28"/>
          <w:szCs w:val="28"/>
          <w:rtl/>
        </w:rPr>
      </w:pPr>
    </w:p>
    <w:p w:rsidR="001E767D" w:rsidRDefault="003F1EE3" w:rsidP="003F1EE3">
      <w:pPr>
        <w:spacing w:line="360" w:lineRule="auto"/>
        <w:jc w:val="both"/>
        <w:rPr>
          <w:rFonts w:cs="David"/>
          <w:b/>
          <w:bCs/>
          <w:sz w:val="28"/>
          <w:szCs w:val="28"/>
          <w:rtl/>
        </w:rPr>
      </w:pPr>
      <w:r w:rsidRPr="003F1EE3">
        <w:rPr>
          <w:rFonts w:cs="David" w:hint="cs"/>
          <w:sz w:val="28"/>
          <w:szCs w:val="28"/>
          <w:rtl/>
        </w:rPr>
        <w:lastRenderedPageBreak/>
        <w:t>ניתן לראות זאת היטב בנתונים שלהלן:</w:t>
      </w:r>
      <w:r w:rsidR="00384453">
        <w:rPr>
          <w:rStyle w:val="a5"/>
          <w:rFonts w:cs="David"/>
          <w:b/>
          <w:bCs/>
          <w:sz w:val="28"/>
          <w:szCs w:val="28"/>
          <w:rtl/>
        </w:rPr>
        <w:footnoteReference w:id="233"/>
      </w:r>
    </w:p>
    <w:p w:rsidR="00721492" w:rsidRDefault="00721492" w:rsidP="00384453">
      <w:pPr>
        <w:spacing w:line="360" w:lineRule="auto"/>
        <w:jc w:val="both"/>
        <w:rPr>
          <w:rFonts w:cs="David"/>
          <w:sz w:val="28"/>
          <w:szCs w:val="28"/>
          <w:rtl/>
        </w:rPr>
      </w:pPr>
      <w:r w:rsidRPr="001E767D">
        <w:rPr>
          <w:rFonts w:cs="David" w:hint="cs"/>
          <w:b/>
          <w:bCs/>
          <w:sz w:val="28"/>
          <w:szCs w:val="28"/>
          <w:rtl/>
        </w:rPr>
        <w:t>גרף</w:t>
      </w:r>
      <w:r w:rsidR="001E767D" w:rsidRPr="001E767D">
        <w:rPr>
          <w:rFonts w:cs="David" w:hint="cs"/>
          <w:b/>
          <w:bCs/>
          <w:sz w:val="28"/>
          <w:szCs w:val="28"/>
          <w:rtl/>
        </w:rPr>
        <w:t xml:space="preserve"> מספר 12</w:t>
      </w:r>
      <w:r>
        <w:rPr>
          <w:rFonts w:cs="David" w:hint="cs"/>
          <w:sz w:val="28"/>
          <w:szCs w:val="28"/>
          <w:rtl/>
        </w:rPr>
        <w:t xml:space="preserve"> </w:t>
      </w:r>
      <w:r>
        <w:rPr>
          <w:rFonts w:cs="David"/>
          <w:sz w:val="28"/>
          <w:szCs w:val="28"/>
          <w:rtl/>
        </w:rPr>
        <w:t>–</w:t>
      </w:r>
      <w:r>
        <w:rPr>
          <w:rFonts w:cs="David" w:hint="cs"/>
          <w:sz w:val="28"/>
          <w:szCs w:val="28"/>
          <w:rtl/>
        </w:rPr>
        <w:t xml:space="preserve"> אכיפה </w:t>
      </w:r>
      <w:r w:rsidR="00132702">
        <w:rPr>
          <w:rFonts w:cs="David" w:hint="cs"/>
          <w:sz w:val="28"/>
          <w:szCs w:val="28"/>
          <w:rtl/>
        </w:rPr>
        <w:t xml:space="preserve">מול יהודים </w:t>
      </w:r>
      <w:r>
        <w:rPr>
          <w:rFonts w:cs="David" w:hint="cs"/>
          <w:sz w:val="28"/>
          <w:szCs w:val="28"/>
          <w:rtl/>
        </w:rPr>
        <w:t>בעבירות הסתה לגזענות ולאלימות</w:t>
      </w:r>
    </w:p>
    <w:p w:rsidR="00A85D07" w:rsidRDefault="003E6062" w:rsidP="00B21982">
      <w:pPr>
        <w:pStyle w:val="a6"/>
        <w:spacing w:line="360" w:lineRule="auto"/>
        <w:ind w:left="57"/>
        <w:jc w:val="both"/>
        <w:rPr>
          <w:rFonts w:cs="David"/>
          <w:sz w:val="28"/>
          <w:szCs w:val="28"/>
          <w:rtl/>
        </w:rPr>
      </w:pPr>
      <w:r>
        <w:rPr>
          <w:noProof/>
        </w:rPr>
        <w:drawing>
          <wp:inline distT="0" distB="0" distL="0" distR="0" wp14:anchorId="1F9A3812" wp14:editId="4DBE25B2">
            <wp:extent cx="4588510" cy="2276475"/>
            <wp:effectExtent l="0" t="0" r="2540" b="9525"/>
            <wp:docPr id="19" name="תרשים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1982" w:rsidRPr="00B21982" w:rsidRDefault="00B21982" w:rsidP="00B21982">
      <w:pPr>
        <w:pStyle w:val="a6"/>
        <w:spacing w:line="360" w:lineRule="auto"/>
        <w:ind w:left="57"/>
        <w:jc w:val="both"/>
        <w:rPr>
          <w:rFonts w:cs="David"/>
          <w:sz w:val="24"/>
          <w:szCs w:val="24"/>
        </w:rPr>
      </w:pPr>
      <w:r w:rsidRPr="00B21982">
        <w:rPr>
          <w:rFonts w:cs="David" w:hint="cs"/>
          <w:sz w:val="24"/>
          <w:szCs w:val="24"/>
          <w:rtl/>
        </w:rPr>
        <w:t>כמצוין לעיל, ניתן לראות כיצד שנת 2014 מהווה נקודת מפנה.</w:t>
      </w:r>
    </w:p>
    <w:p w:rsidR="003549F4" w:rsidRPr="00D404A2" w:rsidRDefault="003549F4" w:rsidP="00EC7447">
      <w:pPr>
        <w:spacing w:line="360" w:lineRule="auto"/>
        <w:jc w:val="both"/>
        <w:rPr>
          <w:rFonts w:cs="David"/>
          <w:sz w:val="28"/>
          <w:szCs w:val="28"/>
          <w:rtl/>
        </w:rPr>
      </w:pPr>
      <w:r w:rsidRPr="003549F4">
        <w:rPr>
          <w:rFonts w:cs="David" w:hint="cs"/>
          <w:b/>
          <w:bCs/>
          <w:sz w:val="28"/>
          <w:szCs w:val="28"/>
          <w:rtl/>
        </w:rPr>
        <w:t>ניתן להתרשם עד כמה מתקשה מערכת המשפט הפלילית ה'רגילה' להתמודד באפקטיביות עם תופעת השיח הגזעני והמסית ברשת. כמעט ואין כל הלימה בין התופעה לבין המענה במישור הפלילי.</w:t>
      </w:r>
      <w:r w:rsidR="00D404A2">
        <w:rPr>
          <w:rFonts w:cs="David" w:hint="cs"/>
          <w:b/>
          <w:bCs/>
          <w:sz w:val="28"/>
          <w:szCs w:val="28"/>
          <w:rtl/>
        </w:rPr>
        <w:t xml:space="preserve"> </w:t>
      </w:r>
    </w:p>
    <w:p w:rsidR="00A85D07" w:rsidRPr="00590843" w:rsidRDefault="003549F4" w:rsidP="00A624BD">
      <w:pPr>
        <w:spacing w:line="360" w:lineRule="auto"/>
        <w:jc w:val="both"/>
        <w:rPr>
          <w:rFonts w:cs="David"/>
          <w:sz w:val="28"/>
          <w:szCs w:val="28"/>
          <w:rtl/>
        </w:rPr>
      </w:pPr>
      <w:r>
        <w:rPr>
          <w:rFonts w:cs="David" w:hint="cs"/>
          <w:sz w:val="28"/>
          <w:szCs w:val="28"/>
          <w:rtl/>
        </w:rPr>
        <w:t xml:space="preserve"> </w:t>
      </w:r>
      <w:r w:rsidR="00A85D07" w:rsidRPr="00122501">
        <w:rPr>
          <w:rFonts w:cs="David" w:hint="cs"/>
          <w:sz w:val="28"/>
          <w:szCs w:val="28"/>
          <w:rtl/>
        </w:rPr>
        <w:t xml:space="preserve">בממשק </w:t>
      </w:r>
      <w:r w:rsidR="00A85D07">
        <w:rPr>
          <w:rFonts w:cs="David" w:hint="cs"/>
          <w:sz w:val="28"/>
          <w:szCs w:val="28"/>
          <w:rtl/>
        </w:rPr>
        <w:t xml:space="preserve">בין התביעה הכללית ובין המשטרה בענייני פתיחה בחקירה, </w:t>
      </w:r>
      <w:r w:rsidR="00A85D07" w:rsidRPr="00590843">
        <w:rPr>
          <w:rFonts w:cs="David" w:hint="cs"/>
          <w:sz w:val="28"/>
          <w:szCs w:val="28"/>
          <w:rtl/>
        </w:rPr>
        <w:t>ב</w:t>
      </w:r>
      <w:r w:rsidR="00021BF7" w:rsidRPr="00590843">
        <w:rPr>
          <w:rFonts w:cs="David" w:hint="cs"/>
          <w:sz w:val="28"/>
          <w:szCs w:val="28"/>
          <w:rtl/>
        </w:rPr>
        <w:t xml:space="preserve">נושאי </w:t>
      </w:r>
      <w:r w:rsidR="00A85D07" w:rsidRPr="00590843">
        <w:rPr>
          <w:rFonts w:cs="David" w:hint="cs"/>
          <w:sz w:val="28"/>
          <w:szCs w:val="28"/>
          <w:rtl/>
        </w:rPr>
        <w:t>הסתה לגזענות ולאלימות</w:t>
      </w:r>
      <w:r w:rsidR="00021BF7" w:rsidRPr="00590843">
        <w:rPr>
          <w:rFonts w:cs="David" w:hint="cs"/>
          <w:sz w:val="28"/>
          <w:szCs w:val="28"/>
          <w:rtl/>
        </w:rPr>
        <w:t>,</w:t>
      </w:r>
      <w:r w:rsidR="00A85D07" w:rsidRPr="00590843">
        <w:rPr>
          <w:rFonts w:cs="David" w:hint="cs"/>
          <w:sz w:val="28"/>
          <w:szCs w:val="28"/>
          <w:rtl/>
        </w:rPr>
        <w:t xml:space="preserve"> שמתרחשת במרשתת וברשתות החברתיות מצד הציבור היהודי כנגד הציבור הערבי, </w:t>
      </w:r>
      <w:r w:rsidR="00A624BD">
        <w:rPr>
          <w:rFonts w:cs="David" w:hint="cs"/>
          <w:sz w:val="28"/>
          <w:szCs w:val="28"/>
          <w:rtl/>
        </w:rPr>
        <w:t xml:space="preserve">מתקיים </w:t>
      </w:r>
      <w:r w:rsidR="00651A5C" w:rsidRPr="00590843">
        <w:rPr>
          <w:rFonts w:cs="David" w:hint="cs"/>
          <w:sz w:val="28"/>
          <w:szCs w:val="28"/>
          <w:rtl/>
        </w:rPr>
        <w:t>שיח</w:t>
      </w:r>
      <w:r w:rsidR="00A85D07" w:rsidRPr="00590843">
        <w:rPr>
          <w:rFonts w:cs="David" w:hint="cs"/>
          <w:sz w:val="28"/>
          <w:szCs w:val="28"/>
          <w:rtl/>
        </w:rPr>
        <w:t xml:space="preserve"> קבוע, שבסופו כאמור, </w:t>
      </w:r>
      <w:r w:rsidR="00D11EDE" w:rsidRPr="00590843">
        <w:rPr>
          <w:rFonts w:cs="David" w:hint="cs"/>
          <w:sz w:val="28"/>
          <w:szCs w:val="28"/>
          <w:rtl/>
        </w:rPr>
        <w:t xml:space="preserve">נדרשת </w:t>
      </w:r>
      <w:r w:rsidR="00A85D07" w:rsidRPr="00590843">
        <w:rPr>
          <w:rFonts w:cs="David" w:hint="cs"/>
          <w:sz w:val="28"/>
          <w:szCs w:val="28"/>
          <w:rtl/>
        </w:rPr>
        <w:t>המשטרה לאישור פרטני</w:t>
      </w:r>
      <w:r w:rsidR="00590843">
        <w:rPr>
          <w:rFonts w:cs="David" w:hint="cs"/>
          <w:sz w:val="28"/>
          <w:szCs w:val="28"/>
          <w:rtl/>
        </w:rPr>
        <w:t xml:space="preserve"> מהפרקליטות</w:t>
      </w:r>
      <w:r w:rsidR="00A85D07" w:rsidRPr="00590843">
        <w:rPr>
          <w:rFonts w:cs="David" w:hint="cs"/>
          <w:sz w:val="28"/>
          <w:szCs w:val="28"/>
          <w:rtl/>
        </w:rPr>
        <w:t xml:space="preserve"> כדי לפתוח בחקירה.</w:t>
      </w:r>
    </w:p>
    <w:p w:rsidR="00A85D07" w:rsidRDefault="00A85D07" w:rsidP="00A624BD">
      <w:pPr>
        <w:spacing w:line="360" w:lineRule="auto"/>
        <w:jc w:val="both"/>
        <w:rPr>
          <w:rFonts w:cs="David"/>
          <w:sz w:val="28"/>
          <w:szCs w:val="28"/>
          <w:rtl/>
        </w:rPr>
      </w:pPr>
      <w:r>
        <w:rPr>
          <w:rFonts w:cs="David" w:hint="cs"/>
          <w:sz w:val="28"/>
          <w:szCs w:val="28"/>
          <w:rtl/>
        </w:rPr>
        <w:t>המקרים</w:t>
      </w:r>
      <w:r w:rsidR="00A624BD">
        <w:rPr>
          <w:rFonts w:cs="David" w:hint="cs"/>
          <w:sz w:val="28"/>
          <w:szCs w:val="28"/>
          <w:rtl/>
        </w:rPr>
        <w:t>,</w:t>
      </w:r>
      <w:r>
        <w:rPr>
          <w:rFonts w:cs="David" w:hint="cs"/>
          <w:sz w:val="28"/>
          <w:szCs w:val="28"/>
          <w:rtl/>
        </w:rPr>
        <w:t xml:space="preserve"> המובאים לפתחה של התביעה הכללית</w:t>
      </w:r>
      <w:r w:rsidR="00A624BD">
        <w:rPr>
          <w:rFonts w:cs="David" w:hint="cs"/>
          <w:sz w:val="28"/>
          <w:szCs w:val="28"/>
          <w:rtl/>
        </w:rPr>
        <w:t>,</w:t>
      </w:r>
      <w:r>
        <w:rPr>
          <w:rFonts w:cs="David" w:hint="cs"/>
          <w:sz w:val="28"/>
          <w:szCs w:val="28"/>
          <w:rtl/>
        </w:rPr>
        <w:t xml:space="preserve"> מגיעים </w:t>
      </w:r>
      <w:r w:rsidR="00A624BD">
        <w:rPr>
          <w:rFonts w:cs="David" w:hint="cs"/>
          <w:sz w:val="28"/>
          <w:szCs w:val="28"/>
          <w:rtl/>
        </w:rPr>
        <w:t>מ</w:t>
      </w:r>
      <w:r>
        <w:rPr>
          <w:rFonts w:cs="David" w:hint="cs"/>
          <w:sz w:val="28"/>
          <w:szCs w:val="28"/>
          <w:rtl/>
        </w:rPr>
        <w:t>שלושה צירים עיקריים.</w:t>
      </w:r>
      <w:r>
        <w:rPr>
          <w:rStyle w:val="a5"/>
          <w:rFonts w:cs="David"/>
          <w:sz w:val="28"/>
          <w:szCs w:val="28"/>
          <w:rtl/>
        </w:rPr>
        <w:footnoteReference w:id="234"/>
      </w:r>
      <w:r>
        <w:rPr>
          <w:rFonts w:cs="David" w:hint="cs"/>
          <w:sz w:val="28"/>
          <w:szCs w:val="28"/>
          <w:rtl/>
        </w:rPr>
        <w:t xml:space="preserve"> האחד, הגישה 'הקלאסית' של הגשת תלונה מצד מי שחש עצמו נפגע מפרסום כלשהו ברשת. השני, פני</w:t>
      </w:r>
      <w:r w:rsidR="00D11EDE">
        <w:rPr>
          <w:rFonts w:cs="David" w:hint="cs"/>
          <w:sz w:val="28"/>
          <w:szCs w:val="28"/>
          <w:rtl/>
        </w:rPr>
        <w:t>י</w:t>
      </w:r>
      <w:r>
        <w:rPr>
          <w:rFonts w:cs="David" w:hint="cs"/>
          <w:sz w:val="28"/>
          <w:szCs w:val="28"/>
          <w:rtl/>
        </w:rPr>
        <w:t>ה של אנשים פרטים או גופים שונים למשטרה דרך דף ה'פייסבוק' שלה, שם הם 'מדביקים' פוסטים</w:t>
      </w:r>
      <w:r w:rsidR="00CF2776">
        <w:rPr>
          <w:rFonts w:cs="David" w:hint="cs"/>
          <w:sz w:val="28"/>
          <w:szCs w:val="28"/>
          <w:rtl/>
        </w:rPr>
        <w:t>,</w:t>
      </w:r>
      <w:r>
        <w:rPr>
          <w:rFonts w:cs="David" w:hint="cs"/>
          <w:sz w:val="28"/>
          <w:szCs w:val="28"/>
          <w:rtl/>
        </w:rPr>
        <w:t xml:space="preserve"> שלדעתם הינם בעלי תכנים מסיתים ובמקרים אלו המשטרה בוחנת את הנושא, גם ללא תלונה. הציר השלישי, הינו הציר המודיעיני של ניטור הרשת, שמפאת רגישותו לא יורחב, אך ייאמר כי מדובר בחוליה שמונה מספר קטן של אנשי משטרה, שהוקמה אך לפני כשנה וחצי, עם פרוץ אירועי גל הטרור ב</w:t>
      </w:r>
      <w:r w:rsidR="0026194D">
        <w:rPr>
          <w:rFonts w:cs="David" w:hint="cs"/>
          <w:sz w:val="28"/>
          <w:szCs w:val="28"/>
          <w:rtl/>
        </w:rPr>
        <w:t xml:space="preserve">אוקטובר </w:t>
      </w:r>
      <w:r>
        <w:rPr>
          <w:rFonts w:cs="David" w:hint="cs"/>
          <w:sz w:val="28"/>
          <w:szCs w:val="28"/>
          <w:rtl/>
        </w:rPr>
        <w:t>שנת 2015.</w:t>
      </w:r>
      <w:r>
        <w:rPr>
          <w:rStyle w:val="a5"/>
          <w:rFonts w:cs="David"/>
          <w:sz w:val="28"/>
          <w:szCs w:val="28"/>
          <w:rtl/>
        </w:rPr>
        <w:footnoteReference w:id="235"/>
      </w:r>
    </w:p>
    <w:p w:rsidR="00651A5C" w:rsidRDefault="00A624BD" w:rsidP="00A624BD">
      <w:pPr>
        <w:spacing w:line="360" w:lineRule="auto"/>
        <w:jc w:val="both"/>
        <w:rPr>
          <w:rFonts w:cs="David"/>
          <w:sz w:val="28"/>
          <w:szCs w:val="28"/>
          <w:rtl/>
        </w:rPr>
      </w:pPr>
      <w:r>
        <w:rPr>
          <w:rFonts w:cs="David" w:hint="cs"/>
          <w:sz w:val="28"/>
          <w:szCs w:val="28"/>
          <w:rtl/>
        </w:rPr>
        <w:lastRenderedPageBreak/>
        <w:t xml:space="preserve">לאור כל אלו ניתן לומר כי מתקיים </w:t>
      </w:r>
      <w:r w:rsidR="00651A5C" w:rsidRPr="007937F6">
        <w:rPr>
          <w:rFonts w:cs="David" w:hint="cs"/>
          <w:sz w:val="28"/>
          <w:szCs w:val="28"/>
          <w:rtl/>
        </w:rPr>
        <w:t>דיאלוג קבוע בין גורמי המשטרה לגורמי התביעה הכללית בכל</w:t>
      </w:r>
      <w:r w:rsidR="00651A5C">
        <w:rPr>
          <w:rFonts w:cs="David" w:hint="cs"/>
          <w:sz w:val="28"/>
          <w:szCs w:val="28"/>
          <w:rtl/>
        </w:rPr>
        <w:t xml:space="preserve"> הנוגע לפתיחת חקירות </w:t>
      </w:r>
      <w:r w:rsidR="009543D1">
        <w:rPr>
          <w:rFonts w:cs="David" w:hint="cs"/>
          <w:sz w:val="28"/>
          <w:szCs w:val="28"/>
          <w:rtl/>
        </w:rPr>
        <w:t xml:space="preserve">והגשת כתבי אישום </w:t>
      </w:r>
      <w:r w:rsidR="00651A5C">
        <w:rPr>
          <w:rFonts w:cs="David" w:hint="cs"/>
          <w:sz w:val="28"/>
          <w:szCs w:val="28"/>
          <w:rtl/>
        </w:rPr>
        <w:t>בנושאי הסתה לג</w:t>
      </w:r>
      <w:r w:rsidR="009543D1">
        <w:rPr>
          <w:rFonts w:cs="David" w:hint="cs"/>
          <w:sz w:val="28"/>
          <w:szCs w:val="28"/>
          <w:rtl/>
        </w:rPr>
        <w:t>זענות ולאלימות</w:t>
      </w:r>
      <w:r w:rsidR="007937F6">
        <w:rPr>
          <w:rFonts w:cs="David" w:hint="cs"/>
          <w:sz w:val="28"/>
          <w:szCs w:val="28"/>
          <w:rtl/>
        </w:rPr>
        <w:t xml:space="preserve"> המתרחשת ברשת</w:t>
      </w:r>
      <w:r w:rsidR="00651A5C">
        <w:rPr>
          <w:rFonts w:cs="David" w:hint="cs"/>
          <w:sz w:val="28"/>
          <w:szCs w:val="28"/>
          <w:rtl/>
        </w:rPr>
        <w:t xml:space="preserve">, </w:t>
      </w:r>
      <w:r w:rsidR="009543D1">
        <w:rPr>
          <w:rFonts w:cs="David" w:hint="cs"/>
          <w:sz w:val="28"/>
          <w:szCs w:val="28"/>
          <w:rtl/>
        </w:rPr>
        <w:t xml:space="preserve">ואף </w:t>
      </w:r>
      <w:r w:rsidR="00651A5C">
        <w:rPr>
          <w:rFonts w:cs="David" w:hint="cs"/>
          <w:sz w:val="28"/>
          <w:szCs w:val="28"/>
          <w:rtl/>
        </w:rPr>
        <w:t>נקבעו תבחינים</w:t>
      </w:r>
      <w:r w:rsidR="009543D1">
        <w:rPr>
          <w:rFonts w:cs="David" w:hint="cs"/>
          <w:sz w:val="28"/>
          <w:szCs w:val="28"/>
          <w:rtl/>
        </w:rPr>
        <w:t xml:space="preserve"> האמורים לסייע בכך. </w:t>
      </w:r>
      <w:r w:rsidR="009543D1" w:rsidRPr="00193AF5">
        <w:rPr>
          <w:rFonts w:cs="David" w:hint="cs"/>
          <w:b/>
          <w:bCs/>
          <w:sz w:val="28"/>
          <w:szCs w:val="28"/>
          <w:rtl/>
        </w:rPr>
        <w:t>המציאות הביאה לשינוי במדיניות התביעה</w:t>
      </w:r>
      <w:r w:rsidR="00651A5C" w:rsidRPr="00193AF5">
        <w:rPr>
          <w:rFonts w:cs="David" w:hint="cs"/>
          <w:b/>
          <w:bCs/>
          <w:sz w:val="28"/>
          <w:szCs w:val="28"/>
          <w:rtl/>
        </w:rPr>
        <w:t xml:space="preserve"> </w:t>
      </w:r>
      <w:r w:rsidR="009543D1" w:rsidRPr="00193AF5">
        <w:rPr>
          <w:rFonts w:cs="David" w:hint="cs"/>
          <w:b/>
          <w:bCs/>
          <w:sz w:val="28"/>
          <w:szCs w:val="28"/>
          <w:rtl/>
        </w:rPr>
        <w:t>ולטיפול רחב יותר בתופעה, אך כלל הגורמים המעורבים בנושא, כמו גם הנתונים</w:t>
      </w:r>
      <w:r w:rsidR="00A33BFF" w:rsidRPr="00193AF5">
        <w:rPr>
          <w:rFonts w:cs="David" w:hint="cs"/>
          <w:b/>
          <w:bCs/>
          <w:sz w:val="28"/>
          <w:szCs w:val="28"/>
          <w:rtl/>
        </w:rPr>
        <w:t>, מעידים כי מדובר ב'טיפה בים'</w:t>
      </w:r>
      <w:r w:rsidR="00AD29F5" w:rsidRPr="00193AF5">
        <w:rPr>
          <w:rFonts w:cs="David" w:hint="cs"/>
          <w:b/>
          <w:bCs/>
          <w:sz w:val="28"/>
          <w:szCs w:val="28"/>
          <w:rtl/>
        </w:rPr>
        <w:t xml:space="preserve"> אל מול</w:t>
      </w:r>
      <w:r w:rsidR="00AD29F5" w:rsidRPr="00AD29F5">
        <w:rPr>
          <w:rFonts w:cs="David" w:hint="cs"/>
          <w:b/>
          <w:bCs/>
          <w:sz w:val="28"/>
          <w:szCs w:val="28"/>
          <w:rtl/>
        </w:rPr>
        <w:t xml:space="preserve"> היקף </w:t>
      </w:r>
      <w:r>
        <w:rPr>
          <w:rFonts w:cs="David" w:hint="cs"/>
          <w:b/>
          <w:bCs/>
          <w:sz w:val="28"/>
          <w:szCs w:val="28"/>
          <w:rtl/>
        </w:rPr>
        <w:t xml:space="preserve">התופעה </w:t>
      </w:r>
      <w:r w:rsidR="00D256B1">
        <w:rPr>
          <w:rFonts w:cs="David" w:hint="cs"/>
          <w:b/>
          <w:bCs/>
          <w:sz w:val="28"/>
          <w:szCs w:val="28"/>
          <w:rtl/>
        </w:rPr>
        <w:t>ועוצמת</w:t>
      </w:r>
      <w:r>
        <w:rPr>
          <w:rFonts w:cs="David" w:hint="cs"/>
          <w:b/>
          <w:bCs/>
          <w:sz w:val="28"/>
          <w:szCs w:val="28"/>
          <w:rtl/>
        </w:rPr>
        <w:t>ה</w:t>
      </w:r>
      <w:r w:rsidR="00AD29F5">
        <w:rPr>
          <w:rFonts w:cs="David" w:hint="cs"/>
          <w:sz w:val="28"/>
          <w:szCs w:val="28"/>
          <w:rtl/>
        </w:rPr>
        <w:t>.</w:t>
      </w:r>
    </w:p>
    <w:p w:rsidR="00A85D07" w:rsidRPr="00B6389C" w:rsidRDefault="00903845" w:rsidP="00A85D07">
      <w:pPr>
        <w:spacing w:line="360" w:lineRule="auto"/>
        <w:jc w:val="both"/>
        <w:rPr>
          <w:rFonts w:cs="David"/>
          <w:b/>
          <w:bCs/>
          <w:sz w:val="28"/>
          <w:szCs w:val="28"/>
          <w:rtl/>
        </w:rPr>
      </w:pPr>
      <w:r>
        <w:rPr>
          <w:rFonts w:cs="David" w:hint="cs"/>
          <w:b/>
          <w:bCs/>
          <w:sz w:val="28"/>
          <w:szCs w:val="28"/>
          <w:rtl/>
        </w:rPr>
        <w:t>א</w:t>
      </w:r>
      <w:r w:rsidR="00B6389C" w:rsidRPr="00B6389C">
        <w:rPr>
          <w:rFonts w:cs="David" w:hint="cs"/>
          <w:b/>
          <w:bCs/>
          <w:sz w:val="28"/>
          <w:szCs w:val="28"/>
          <w:rtl/>
        </w:rPr>
        <w:t>.1</w:t>
      </w:r>
      <w:r w:rsidR="00A85D07" w:rsidRPr="00B6389C">
        <w:rPr>
          <w:rFonts w:cs="David" w:hint="cs"/>
          <w:b/>
          <w:bCs/>
          <w:sz w:val="28"/>
          <w:szCs w:val="28"/>
          <w:rtl/>
        </w:rPr>
        <w:t xml:space="preserve"> טכנולוגיה של אכיפה ו</w:t>
      </w:r>
      <w:r w:rsidR="00835EDA" w:rsidRPr="00B6389C">
        <w:rPr>
          <w:rFonts w:cs="David" w:hint="cs"/>
          <w:b/>
          <w:bCs/>
          <w:sz w:val="28"/>
          <w:szCs w:val="28"/>
          <w:rtl/>
        </w:rPr>
        <w:t xml:space="preserve">מדיניות </w:t>
      </w:r>
      <w:r w:rsidR="00A85D07" w:rsidRPr="00B6389C">
        <w:rPr>
          <w:rFonts w:cs="David" w:hint="cs"/>
          <w:b/>
          <w:bCs/>
          <w:sz w:val="28"/>
          <w:szCs w:val="28"/>
          <w:rtl/>
        </w:rPr>
        <w:t>סינון תכנים</w:t>
      </w:r>
    </w:p>
    <w:p w:rsidR="00266CB5" w:rsidRDefault="0085191B" w:rsidP="00630D65">
      <w:pPr>
        <w:spacing w:line="360" w:lineRule="auto"/>
        <w:jc w:val="both"/>
        <w:rPr>
          <w:rFonts w:cs="David"/>
          <w:sz w:val="28"/>
          <w:szCs w:val="28"/>
          <w:rtl/>
        </w:rPr>
      </w:pPr>
      <w:r>
        <w:rPr>
          <w:rFonts w:cs="David" w:hint="cs"/>
          <w:sz w:val="28"/>
          <w:szCs w:val="28"/>
          <w:rtl/>
        </w:rPr>
        <w:t xml:space="preserve">אם כך, </w:t>
      </w:r>
      <w:r w:rsidR="00266CB5">
        <w:rPr>
          <w:rFonts w:cs="David" w:hint="cs"/>
          <w:sz w:val="28"/>
          <w:szCs w:val="28"/>
          <w:rtl/>
        </w:rPr>
        <w:t>עולה השאלה</w:t>
      </w:r>
      <w:r w:rsidR="00630D65">
        <w:rPr>
          <w:rFonts w:cs="David" w:hint="cs"/>
          <w:sz w:val="28"/>
          <w:szCs w:val="28"/>
          <w:rtl/>
        </w:rPr>
        <w:t>:</w:t>
      </w:r>
      <w:r w:rsidR="00266CB5">
        <w:rPr>
          <w:rFonts w:cs="David" w:hint="cs"/>
          <w:sz w:val="28"/>
          <w:szCs w:val="28"/>
          <w:rtl/>
        </w:rPr>
        <w:t xml:space="preserve"> </w:t>
      </w:r>
      <w:r w:rsidR="003405AB">
        <w:rPr>
          <w:rFonts w:cs="David" w:hint="cs"/>
          <w:sz w:val="28"/>
          <w:szCs w:val="28"/>
          <w:rtl/>
        </w:rPr>
        <w:t xml:space="preserve">האם </w:t>
      </w:r>
      <w:r w:rsidR="008B2344">
        <w:rPr>
          <w:rFonts w:cs="David" w:hint="cs"/>
          <w:sz w:val="28"/>
          <w:szCs w:val="28"/>
          <w:rtl/>
        </w:rPr>
        <w:t xml:space="preserve">וכיצד </w:t>
      </w:r>
      <w:r w:rsidR="003405AB">
        <w:rPr>
          <w:rFonts w:cs="David" w:hint="cs"/>
          <w:sz w:val="28"/>
          <w:szCs w:val="28"/>
          <w:rtl/>
        </w:rPr>
        <w:t xml:space="preserve">ניתן </w:t>
      </w:r>
      <w:r w:rsidR="00266CB5">
        <w:rPr>
          <w:rFonts w:cs="David" w:hint="cs"/>
          <w:sz w:val="28"/>
          <w:szCs w:val="28"/>
          <w:rtl/>
        </w:rPr>
        <w:t xml:space="preserve">לצמצם את תופעת השיח הגזעני וההסתה ברשת </w:t>
      </w:r>
      <w:r w:rsidR="003405AB">
        <w:rPr>
          <w:rFonts w:cs="David" w:hint="cs"/>
          <w:sz w:val="28"/>
          <w:szCs w:val="28"/>
          <w:rtl/>
        </w:rPr>
        <w:t>ב</w:t>
      </w:r>
      <w:r w:rsidR="009564E3">
        <w:rPr>
          <w:rFonts w:cs="David" w:hint="cs"/>
          <w:sz w:val="28"/>
          <w:szCs w:val="28"/>
          <w:rtl/>
        </w:rPr>
        <w:t>דרך נוספת</w:t>
      </w:r>
      <w:r w:rsidR="003405AB">
        <w:rPr>
          <w:rFonts w:cs="David" w:hint="cs"/>
          <w:sz w:val="28"/>
          <w:szCs w:val="28"/>
          <w:rtl/>
        </w:rPr>
        <w:t>, שאינ</w:t>
      </w:r>
      <w:r w:rsidR="009564E3">
        <w:rPr>
          <w:rFonts w:cs="David" w:hint="cs"/>
          <w:sz w:val="28"/>
          <w:szCs w:val="28"/>
          <w:rtl/>
        </w:rPr>
        <w:t>ה</w:t>
      </w:r>
      <w:r w:rsidR="003405AB">
        <w:rPr>
          <w:rFonts w:cs="David" w:hint="cs"/>
          <w:sz w:val="28"/>
          <w:szCs w:val="28"/>
          <w:rtl/>
        </w:rPr>
        <w:t xml:space="preserve"> ה</w:t>
      </w:r>
      <w:r w:rsidR="00266CB5">
        <w:rPr>
          <w:rFonts w:cs="David" w:hint="cs"/>
          <w:sz w:val="28"/>
          <w:szCs w:val="28"/>
          <w:rtl/>
        </w:rPr>
        <w:t>שיטה</w:t>
      </w:r>
      <w:r w:rsidR="009D5842">
        <w:rPr>
          <w:rFonts w:cs="David" w:hint="cs"/>
          <w:sz w:val="28"/>
          <w:szCs w:val="28"/>
          <w:rtl/>
        </w:rPr>
        <w:t xml:space="preserve"> הפלילית</w:t>
      </w:r>
      <w:r w:rsidR="00266CB5">
        <w:rPr>
          <w:rFonts w:cs="David" w:hint="cs"/>
          <w:sz w:val="28"/>
          <w:szCs w:val="28"/>
          <w:rtl/>
        </w:rPr>
        <w:t xml:space="preserve"> 'הרגילה' של חקירות, מעצרים וכתבי אישום? </w:t>
      </w:r>
    </w:p>
    <w:p w:rsidR="00A85D07" w:rsidRPr="008D4EF4" w:rsidRDefault="00A85D07" w:rsidP="00266CB5">
      <w:pPr>
        <w:spacing w:line="360" w:lineRule="auto"/>
        <w:jc w:val="both"/>
        <w:rPr>
          <w:rFonts w:cs="David"/>
          <w:b/>
          <w:bCs/>
          <w:sz w:val="28"/>
          <w:szCs w:val="28"/>
          <w:rtl/>
        </w:rPr>
      </w:pPr>
      <w:r>
        <w:rPr>
          <w:rFonts w:cs="David" w:hint="cs"/>
          <w:sz w:val="28"/>
          <w:szCs w:val="28"/>
          <w:rtl/>
        </w:rPr>
        <w:t>צ</w:t>
      </w:r>
      <w:r w:rsidR="00266CB5">
        <w:rPr>
          <w:rFonts w:cs="David" w:hint="cs"/>
          <w:sz w:val="28"/>
          <w:szCs w:val="28"/>
          <w:rtl/>
        </w:rPr>
        <w:t>'</w:t>
      </w:r>
      <w:r>
        <w:rPr>
          <w:rFonts w:cs="David" w:hint="cs"/>
          <w:sz w:val="28"/>
          <w:szCs w:val="28"/>
          <w:rtl/>
        </w:rPr>
        <w:t>ארלס קלרק העיר ש"התשובה למכונה היא המכונה" (1996).</w:t>
      </w:r>
      <w:r>
        <w:rPr>
          <w:rStyle w:val="a5"/>
          <w:rFonts w:cs="David"/>
          <w:sz w:val="28"/>
          <w:szCs w:val="28"/>
          <w:rtl/>
        </w:rPr>
        <w:footnoteReference w:id="236"/>
      </w:r>
      <w:r>
        <w:rPr>
          <w:rFonts w:cs="David" w:hint="cs"/>
          <w:sz w:val="28"/>
          <w:szCs w:val="28"/>
          <w:rtl/>
        </w:rPr>
        <w:t xml:space="preserve"> תוכנות שונות מאפשרות להתמודד עם חלק מהתופעות שנוצרות על ידי טכנולוגיה אחרת. יש מי מאמין, טוען בירנהק,</w:t>
      </w:r>
      <w:r>
        <w:rPr>
          <w:rStyle w:val="a5"/>
          <w:rFonts w:cs="David"/>
          <w:sz w:val="28"/>
          <w:szCs w:val="28"/>
          <w:rtl/>
        </w:rPr>
        <w:footnoteReference w:id="237"/>
      </w:r>
      <w:r>
        <w:rPr>
          <w:rFonts w:cs="David" w:hint="cs"/>
          <w:sz w:val="28"/>
          <w:szCs w:val="28"/>
          <w:rtl/>
        </w:rPr>
        <w:t xml:space="preserve"> שבמקום שהמשפט יתערב התערבות חיצונית בטכנולוגיה שנתפסת בע</w:t>
      </w:r>
      <w:r w:rsidR="007D1030">
        <w:rPr>
          <w:rFonts w:cs="David" w:hint="cs"/>
          <w:sz w:val="28"/>
          <w:szCs w:val="28"/>
          <w:rtl/>
        </w:rPr>
        <w:t>י</w:t>
      </w:r>
      <w:r>
        <w:rPr>
          <w:rFonts w:cs="David" w:hint="cs"/>
          <w:sz w:val="28"/>
          <w:szCs w:val="28"/>
          <w:rtl/>
        </w:rPr>
        <w:t xml:space="preserve">ניו כטכנולוגיה של אנרכיה, באה הטכנולוגיה עצמה ומציעה פתרון. </w:t>
      </w:r>
      <w:r w:rsidRPr="008D4EF4">
        <w:rPr>
          <w:rFonts w:cs="David" w:hint="cs"/>
          <w:b/>
          <w:bCs/>
          <w:sz w:val="28"/>
          <w:szCs w:val="28"/>
          <w:rtl/>
        </w:rPr>
        <w:t xml:space="preserve">תוכנות הסינון, הוא מוסיף, הן דוגמה מובהקת </w:t>
      </w:r>
      <w:r w:rsidR="003241B3">
        <w:rPr>
          <w:rFonts w:cs="David" w:hint="cs"/>
          <w:b/>
          <w:bCs/>
          <w:sz w:val="28"/>
          <w:szCs w:val="28"/>
          <w:rtl/>
        </w:rPr>
        <w:t>ל</w:t>
      </w:r>
      <w:r w:rsidRPr="008D4EF4">
        <w:rPr>
          <w:rFonts w:cs="David" w:hint="cs"/>
          <w:b/>
          <w:bCs/>
          <w:sz w:val="28"/>
          <w:szCs w:val="28"/>
          <w:rtl/>
        </w:rPr>
        <w:t>טכנולוגיה כזאת.</w:t>
      </w:r>
    </w:p>
    <w:p w:rsidR="00A85D07" w:rsidRPr="00122501" w:rsidRDefault="00A85D07" w:rsidP="00C4040C">
      <w:pPr>
        <w:spacing w:line="360" w:lineRule="auto"/>
        <w:jc w:val="both"/>
        <w:rPr>
          <w:rFonts w:cs="David"/>
          <w:sz w:val="28"/>
          <w:szCs w:val="28"/>
          <w:rtl/>
        </w:rPr>
      </w:pPr>
      <w:r>
        <w:rPr>
          <w:rFonts w:cs="David" w:hint="cs"/>
          <w:sz w:val="28"/>
          <w:szCs w:val="28"/>
          <w:rtl/>
        </w:rPr>
        <w:t xml:space="preserve">לצד התפתחות המרשתת נוצר שוק של תוכנות סינון. הטכנולוגיה שעליה מבוססות התוכנות </w:t>
      </w:r>
      <w:r w:rsidR="00A962E3">
        <w:rPr>
          <w:rFonts w:cs="David" w:hint="cs"/>
          <w:sz w:val="28"/>
          <w:szCs w:val="28"/>
          <w:rtl/>
        </w:rPr>
        <w:t>משתנ</w:t>
      </w:r>
      <w:r>
        <w:rPr>
          <w:rFonts w:cs="David" w:hint="cs"/>
          <w:sz w:val="28"/>
          <w:szCs w:val="28"/>
          <w:rtl/>
        </w:rPr>
        <w:t>ה מחברה לחברה ועיקר השינוי הוא בדרך שבה נקבע התוכן המסונן: בבקרה אנושית או בהפעלת תוכנה טקסטואלית המחפשת מילים שהוגדרו מראש בשמו של האתר, בכותרתו או בתוכנו של החומר המופץ ברשת. תוכנות אלו, מטבע הדברים, גם מועדות לטעויות רבות, בשל המגבלה של התוכנה, אשר אינה בודקת מהות, אלא רק מסננת היכן שמופיעה המילה הבעייתית. ישנן דוגמאות ידועות לחסימת אתרים ותכנים</w:t>
      </w:r>
      <w:r w:rsidR="00244CAF">
        <w:rPr>
          <w:rFonts w:cs="David" w:hint="cs"/>
          <w:sz w:val="28"/>
          <w:szCs w:val="28"/>
          <w:rtl/>
        </w:rPr>
        <w:t>.</w:t>
      </w:r>
      <w:r>
        <w:rPr>
          <w:rFonts w:cs="David" w:hint="cs"/>
          <w:sz w:val="28"/>
          <w:szCs w:val="28"/>
          <w:rtl/>
        </w:rPr>
        <w:t xml:space="preserve"> למשל, תוכנות שחסמו אתרים העוסקים בסרטן השד, או במתכונים לחזה עוף, מאחר שהופיע</w:t>
      </w:r>
      <w:r w:rsidR="00244CAF">
        <w:rPr>
          <w:rFonts w:cs="David" w:hint="cs"/>
          <w:sz w:val="28"/>
          <w:szCs w:val="28"/>
          <w:rtl/>
        </w:rPr>
        <w:t>ו</w:t>
      </w:r>
      <w:r w:rsidR="00C4040C">
        <w:rPr>
          <w:rFonts w:cs="David" w:hint="cs"/>
          <w:sz w:val="28"/>
          <w:szCs w:val="28"/>
          <w:rtl/>
        </w:rPr>
        <w:t xml:space="preserve"> בהן המילים "שד" ו"חזה" הן דוגמאות </w:t>
      </w:r>
      <w:r w:rsidR="00A962E3">
        <w:rPr>
          <w:rFonts w:cs="David" w:hint="cs"/>
          <w:sz w:val="28"/>
          <w:szCs w:val="28"/>
          <w:rtl/>
        </w:rPr>
        <w:t>ל</w:t>
      </w:r>
      <w:r>
        <w:rPr>
          <w:rFonts w:cs="David" w:hint="cs"/>
          <w:sz w:val="28"/>
          <w:szCs w:val="28"/>
          <w:rtl/>
        </w:rPr>
        <w:t>סינון-יתר.</w:t>
      </w:r>
      <w:r>
        <w:rPr>
          <w:rStyle w:val="a5"/>
          <w:rFonts w:cs="David"/>
          <w:sz w:val="28"/>
          <w:szCs w:val="28"/>
          <w:rtl/>
        </w:rPr>
        <w:footnoteReference w:id="238"/>
      </w:r>
    </w:p>
    <w:p w:rsidR="00A85D07" w:rsidRDefault="00A85D07" w:rsidP="00590843">
      <w:pPr>
        <w:spacing w:line="360" w:lineRule="auto"/>
        <w:jc w:val="both"/>
        <w:rPr>
          <w:rFonts w:cs="David"/>
          <w:sz w:val="28"/>
          <w:szCs w:val="28"/>
          <w:rtl/>
        </w:rPr>
      </w:pPr>
      <w:r>
        <w:rPr>
          <w:rFonts w:cs="David" w:hint="cs"/>
          <w:sz w:val="28"/>
          <w:szCs w:val="28"/>
          <w:rtl/>
        </w:rPr>
        <w:t xml:space="preserve">כחלק מהמדיניות של בעלי האתרים וספקיות המרשתת - אשר נובעת מהאחריות המוטלת עליהם להפעיל צנזורה עצמית ומחששם כי הם צפויים לחוב בגין הודעות המועברות דרכם - </w:t>
      </w:r>
      <w:r w:rsidRPr="006E236A">
        <w:rPr>
          <w:rFonts w:cs="David" w:hint="cs"/>
          <w:b/>
          <w:bCs/>
          <w:sz w:val="28"/>
          <w:szCs w:val="28"/>
          <w:rtl/>
        </w:rPr>
        <w:t>הן מפעילות תוכנות לסינון תכנים פוגעניים.</w:t>
      </w:r>
      <w:r>
        <w:rPr>
          <w:rFonts w:cs="David" w:hint="cs"/>
          <w:sz w:val="28"/>
          <w:szCs w:val="28"/>
          <w:rtl/>
        </w:rPr>
        <w:t xml:space="preserve"> ברם, בעוד שהגבלות מסוג אחד ניתנות ליישום בקלות יחסית, שכן הן ברורות ונראות לעין </w:t>
      </w:r>
      <w:r w:rsidR="006262B5">
        <w:rPr>
          <w:rFonts w:cs="David" w:hint="cs"/>
          <w:sz w:val="28"/>
          <w:szCs w:val="28"/>
          <w:rtl/>
        </w:rPr>
        <w:t>-</w:t>
      </w:r>
      <w:r>
        <w:rPr>
          <w:rFonts w:cs="David" w:hint="cs"/>
          <w:sz w:val="28"/>
          <w:szCs w:val="28"/>
          <w:rtl/>
        </w:rPr>
        <w:t xml:space="preserve"> כמו, למשל </w:t>
      </w:r>
      <w:r>
        <w:rPr>
          <w:rFonts w:cs="David" w:hint="cs"/>
          <w:sz w:val="28"/>
          <w:szCs w:val="28"/>
          <w:rtl/>
        </w:rPr>
        <w:lastRenderedPageBreak/>
        <w:t>האיסור הקשור בהפצת חומר פדופילי</w:t>
      </w:r>
      <w:r>
        <w:rPr>
          <w:rStyle w:val="a5"/>
          <w:rFonts w:cs="David"/>
          <w:sz w:val="28"/>
          <w:szCs w:val="28"/>
          <w:rtl/>
        </w:rPr>
        <w:footnoteReference w:id="239"/>
      </w:r>
      <w:r>
        <w:rPr>
          <w:rFonts w:cs="David" w:hint="cs"/>
          <w:sz w:val="28"/>
          <w:szCs w:val="28"/>
          <w:rtl/>
        </w:rPr>
        <w:t xml:space="preserve"> </w:t>
      </w:r>
      <w:r w:rsidR="006262B5">
        <w:rPr>
          <w:rFonts w:cs="David" w:hint="cs"/>
          <w:sz w:val="28"/>
          <w:szCs w:val="28"/>
          <w:rtl/>
        </w:rPr>
        <w:t>-</w:t>
      </w:r>
      <w:r>
        <w:rPr>
          <w:rFonts w:cs="David" w:hint="cs"/>
          <w:sz w:val="28"/>
          <w:szCs w:val="28"/>
          <w:rtl/>
        </w:rPr>
        <w:t xml:space="preserve"> </w:t>
      </w:r>
      <w:r w:rsidRPr="00801C14">
        <w:rPr>
          <w:rFonts w:cs="David" w:hint="cs"/>
          <w:b/>
          <w:bCs/>
          <w:sz w:val="28"/>
          <w:szCs w:val="28"/>
          <w:rtl/>
        </w:rPr>
        <w:t xml:space="preserve">איתור ביטויי </w:t>
      </w:r>
      <w:r w:rsidR="00795DDA">
        <w:rPr>
          <w:rFonts w:cs="David" w:hint="cs"/>
          <w:b/>
          <w:bCs/>
          <w:sz w:val="28"/>
          <w:szCs w:val="28"/>
          <w:rtl/>
        </w:rPr>
        <w:t>גזענות ו</w:t>
      </w:r>
      <w:r w:rsidRPr="00801C14">
        <w:rPr>
          <w:rFonts w:cs="David" w:hint="cs"/>
          <w:b/>
          <w:bCs/>
          <w:sz w:val="28"/>
          <w:szCs w:val="28"/>
          <w:rtl/>
        </w:rPr>
        <w:t xml:space="preserve">הסתה מקוונים דורש רמות גבוהות יותר של התערבות והפעלת שיקול דעת מצד אחד, והרבה מאד משאבים כלכליים מהצד השני. </w:t>
      </w:r>
      <w:r>
        <w:rPr>
          <w:rFonts w:cs="David" w:hint="cs"/>
          <w:sz w:val="28"/>
          <w:szCs w:val="28"/>
          <w:rtl/>
        </w:rPr>
        <w:t xml:space="preserve">לכן, </w:t>
      </w:r>
      <w:r w:rsidR="00B64885">
        <w:rPr>
          <w:rFonts w:cs="David" w:hint="cs"/>
          <w:sz w:val="28"/>
          <w:szCs w:val="28"/>
          <w:rtl/>
        </w:rPr>
        <w:t xml:space="preserve">בעלי האתרים וספקיות המרשתת לא תמיד יוזמים הסתרת </w:t>
      </w:r>
      <w:r>
        <w:rPr>
          <w:rFonts w:cs="David" w:hint="cs"/>
          <w:sz w:val="28"/>
          <w:szCs w:val="28"/>
          <w:rtl/>
        </w:rPr>
        <w:t>תכנים מסיתים</w:t>
      </w:r>
      <w:r w:rsidR="00B64885">
        <w:rPr>
          <w:rFonts w:cs="David" w:hint="cs"/>
          <w:sz w:val="28"/>
          <w:szCs w:val="28"/>
          <w:rtl/>
        </w:rPr>
        <w:t xml:space="preserve">, אלא עושים זאת </w:t>
      </w:r>
      <w:r w:rsidR="00244BD0">
        <w:rPr>
          <w:rFonts w:cs="David" w:hint="cs"/>
          <w:sz w:val="28"/>
          <w:szCs w:val="28"/>
          <w:rtl/>
        </w:rPr>
        <w:t xml:space="preserve">רק </w:t>
      </w:r>
      <w:r>
        <w:rPr>
          <w:rFonts w:cs="David" w:hint="cs"/>
          <w:sz w:val="28"/>
          <w:szCs w:val="28"/>
          <w:rtl/>
        </w:rPr>
        <w:t xml:space="preserve">בעקבות </w:t>
      </w:r>
      <w:r w:rsidRPr="005A79D0">
        <w:rPr>
          <w:rFonts w:cs="David" w:hint="cs"/>
          <w:b/>
          <w:bCs/>
          <w:sz w:val="28"/>
          <w:szCs w:val="28"/>
          <w:rtl/>
        </w:rPr>
        <w:t>קבלת בקשה ישירה</w:t>
      </w:r>
      <w:r>
        <w:rPr>
          <w:rFonts w:cs="David" w:hint="cs"/>
          <w:sz w:val="28"/>
          <w:szCs w:val="28"/>
          <w:rtl/>
        </w:rPr>
        <w:t xml:space="preserve"> ממי שחש נפגע או מהמדינה שמייצגת את האינטרס הציבורי.</w:t>
      </w:r>
    </w:p>
    <w:p w:rsidR="001A6E99" w:rsidRDefault="00590843" w:rsidP="003F702C">
      <w:pPr>
        <w:spacing w:line="360" w:lineRule="auto"/>
        <w:jc w:val="both"/>
        <w:rPr>
          <w:rFonts w:cs="David"/>
          <w:sz w:val="28"/>
          <w:szCs w:val="28"/>
          <w:rtl/>
        </w:rPr>
      </w:pPr>
      <w:r>
        <w:rPr>
          <w:rFonts w:cs="David" w:hint="cs"/>
          <w:sz w:val="28"/>
          <w:szCs w:val="28"/>
          <w:rtl/>
        </w:rPr>
        <w:t>אין חולק</w:t>
      </w:r>
      <w:r w:rsidR="009F5F7A">
        <w:rPr>
          <w:rFonts w:cs="David" w:hint="cs"/>
          <w:sz w:val="28"/>
          <w:szCs w:val="28"/>
          <w:rtl/>
        </w:rPr>
        <w:t xml:space="preserve"> על כך ש</w:t>
      </w:r>
      <w:r>
        <w:rPr>
          <w:rFonts w:cs="David" w:hint="cs"/>
          <w:sz w:val="28"/>
          <w:szCs w:val="28"/>
          <w:rtl/>
        </w:rPr>
        <w:t xml:space="preserve">פרסומי ההסתה במרשתת טומנים בחובם סיכונים ממשיים </w:t>
      </w:r>
      <w:r w:rsidRPr="00795DDA">
        <w:rPr>
          <w:rFonts w:cs="David" w:hint="cs"/>
          <w:b/>
          <w:bCs/>
          <w:sz w:val="28"/>
          <w:szCs w:val="28"/>
          <w:rtl/>
        </w:rPr>
        <w:t xml:space="preserve">לביטחונו של </w:t>
      </w:r>
      <w:r w:rsidRPr="00213550">
        <w:rPr>
          <w:rFonts w:cs="David" w:hint="cs"/>
          <w:b/>
          <w:bCs/>
          <w:sz w:val="28"/>
          <w:szCs w:val="28"/>
          <w:rtl/>
        </w:rPr>
        <w:t>אדם ולאינטרסים ו</w:t>
      </w:r>
      <w:r w:rsidR="009F5F7A">
        <w:rPr>
          <w:rFonts w:cs="David" w:hint="cs"/>
          <w:b/>
          <w:bCs/>
          <w:sz w:val="28"/>
          <w:szCs w:val="28"/>
          <w:rtl/>
        </w:rPr>
        <w:t>ל</w:t>
      </w:r>
      <w:r w:rsidRPr="00213550">
        <w:rPr>
          <w:rFonts w:cs="David" w:hint="cs"/>
          <w:b/>
          <w:bCs/>
          <w:sz w:val="28"/>
          <w:szCs w:val="28"/>
          <w:rtl/>
        </w:rPr>
        <w:t>ערכים נוספים</w:t>
      </w:r>
      <w:r w:rsidR="009F5F7A">
        <w:rPr>
          <w:rFonts w:cs="David" w:hint="cs"/>
          <w:b/>
          <w:bCs/>
          <w:sz w:val="28"/>
          <w:szCs w:val="28"/>
          <w:rtl/>
        </w:rPr>
        <w:t>,</w:t>
      </w:r>
      <w:r w:rsidRPr="00213550">
        <w:rPr>
          <w:rFonts w:cs="David" w:hint="cs"/>
          <w:b/>
          <w:bCs/>
          <w:sz w:val="28"/>
          <w:szCs w:val="28"/>
          <w:rtl/>
        </w:rPr>
        <w:t xml:space="preserve"> המוגנים</w:t>
      </w:r>
      <w:r w:rsidRPr="00795DDA">
        <w:rPr>
          <w:rFonts w:cs="David" w:hint="cs"/>
          <w:b/>
          <w:bCs/>
          <w:sz w:val="28"/>
          <w:szCs w:val="28"/>
          <w:rtl/>
        </w:rPr>
        <w:t xml:space="preserve"> בעבירות ההסתה לגזענות,</w:t>
      </w:r>
      <w:r>
        <w:rPr>
          <w:rFonts w:cs="David" w:hint="cs"/>
          <w:sz w:val="28"/>
          <w:szCs w:val="28"/>
          <w:rtl/>
        </w:rPr>
        <w:t xml:space="preserve"> וזאת ללא קשר אם האתר בו פורסמו הדברים מאוחסן בישראל או מחוץ לגבולות המדינה. מכאן </w:t>
      </w:r>
      <w:r w:rsidR="009F5F7A">
        <w:rPr>
          <w:rFonts w:cs="David" w:hint="cs"/>
          <w:sz w:val="28"/>
          <w:szCs w:val="28"/>
          <w:rtl/>
        </w:rPr>
        <w:t xml:space="preserve">גם עולה </w:t>
      </w:r>
      <w:r>
        <w:rPr>
          <w:rFonts w:cs="David" w:hint="cs"/>
          <w:sz w:val="28"/>
          <w:szCs w:val="28"/>
          <w:rtl/>
        </w:rPr>
        <w:t>ה</w:t>
      </w:r>
      <w:r w:rsidR="00A85D07">
        <w:rPr>
          <w:rFonts w:cs="David" w:hint="cs"/>
          <w:sz w:val="28"/>
          <w:szCs w:val="28"/>
          <w:rtl/>
        </w:rPr>
        <w:t>אינטרס הציבורי</w:t>
      </w:r>
      <w:r w:rsidR="0092436D">
        <w:rPr>
          <w:rFonts w:cs="David" w:hint="cs"/>
          <w:sz w:val="28"/>
          <w:szCs w:val="28"/>
          <w:rtl/>
        </w:rPr>
        <w:t xml:space="preserve"> אל מול בעלי האתרים וספקיות המרשתת</w:t>
      </w:r>
      <w:r>
        <w:rPr>
          <w:rFonts w:cs="David" w:hint="cs"/>
          <w:sz w:val="28"/>
          <w:szCs w:val="28"/>
          <w:rtl/>
        </w:rPr>
        <w:t>.</w:t>
      </w:r>
      <w:r w:rsidR="001A6E99">
        <w:rPr>
          <w:rFonts w:cs="David" w:hint="cs"/>
          <w:sz w:val="28"/>
          <w:szCs w:val="28"/>
          <w:rtl/>
        </w:rPr>
        <w:t xml:space="preserve"> </w:t>
      </w:r>
    </w:p>
    <w:p w:rsidR="00873671" w:rsidRPr="00830370" w:rsidRDefault="00A85D07" w:rsidP="003F702C">
      <w:pPr>
        <w:spacing w:line="360" w:lineRule="auto"/>
        <w:jc w:val="both"/>
        <w:rPr>
          <w:rFonts w:cs="David"/>
          <w:b/>
          <w:bCs/>
          <w:sz w:val="28"/>
          <w:szCs w:val="28"/>
          <w:rtl/>
        </w:rPr>
      </w:pPr>
      <w:r>
        <w:rPr>
          <w:rFonts w:cs="David" w:hint="cs"/>
          <w:sz w:val="28"/>
          <w:szCs w:val="28"/>
          <w:rtl/>
        </w:rPr>
        <w:t>במצב דבר</w:t>
      </w:r>
      <w:r w:rsidR="00720FCA">
        <w:rPr>
          <w:rFonts w:cs="David" w:hint="cs"/>
          <w:sz w:val="28"/>
          <w:szCs w:val="28"/>
          <w:rtl/>
        </w:rPr>
        <w:t>ים זה, פועלת המדינה בשני ערוצים:</w:t>
      </w:r>
      <w:r>
        <w:rPr>
          <w:rFonts w:cs="David" w:hint="cs"/>
          <w:sz w:val="28"/>
          <w:szCs w:val="28"/>
          <w:rtl/>
        </w:rPr>
        <w:t xml:space="preserve"> הערוץ האחד, </w:t>
      </w:r>
      <w:r w:rsidR="0080615F" w:rsidRPr="0080615F">
        <w:rPr>
          <w:rFonts w:cs="David" w:hint="cs"/>
          <w:b/>
          <w:bCs/>
          <w:sz w:val="28"/>
          <w:szCs w:val="28"/>
          <w:rtl/>
        </w:rPr>
        <w:t>ערוץ ישיר</w:t>
      </w:r>
      <w:r w:rsidR="0080615F">
        <w:rPr>
          <w:rFonts w:cs="David" w:hint="cs"/>
          <w:sz w:val="28"/>
          <w:szCs w:val="28"/>
          <w:rtl/>
        </w:rPr>
        <w:t xml:space="preserve">, </w:t>
      </w:r>
      <w:r w:rsidR="009F5F7A">
        <w:rPr>
          <w:rFonts w:cs="David" w:hint="cs"/>
          <w:sz w:val="28"/>
          <w:szCs w:val="28"/>
          <w:rtl/>
        </w:rPr>
        <w:t>ה</w:t>
      </w:r>
      <w:r w:rsidRPr="00E32501">
        <w:rPr>
          <w:rFonts w:cs="David" w:hint="cs"/>
          <w:sz w:val="28"/>
          <w:szCs w:val="28"/>
          <w:rtl/>
        </w:rPr>
        <w:t>מנוהל ב</w:t>
      </w:r>
      <w:r w:rsidR="00720FCA" w:rsidRPr="00E32501">
        <w:rPr>
          <w:rFonts w:cs="David" w:hint="cs"/>
          <w:sz w:val="28"/>
          <w:szCs w:val="28"/>
          <w:rtl/>
        </w:rPr>
        <w:t>מחלקת הסייבר</w:t>
      </w:r>
      <w:r w:rsidR="00720FCA">
        <w:rPr>
          <w:rFonts w:cs="David" w:hint="cs"/>
          <w:sz w:val="28"/>
          <w:szCs w:val="28"/>
          <w:rtl/>
        </w:rPr>
        <w:t xml:space="preserve"> ב</w:t>
      </w:r>
      <w:r w:rsidR="005F376F">
        <w:rPr>
          <w:rFonts w:cs="David" w:hint="cs"/>
          <w:sz w:val="28"/>
          <w:szCs w:val="28"/>
          <w:rtl/>
        </w:rPr>
        <w:t>פרקליטות המדינה, אשר פונ</w:t>
      </w:r>
      <w:r w:rsidR="00E32501">
        <w:rPr>
          <w:rFonts w:cs="David" w:hint="cs"/>
          <w:sz w:val="28"/>
          <w:szCs w:val="28"/>
          <w:rtl/>
        </w:rPr>
        <w:t>ה</w:t>
      </w:r>
      <w:r w:rsidR="005F376F">
        <w:rPr>
          <w:rFonts w:cs="David" w:hint="cs"/>
          <w:sz w:val="28"/>
          <w:szCs w:val="28"/>
          <w:rtl/>
        </w:rPr>
        <w:t xml:space="preserve"> ישירות </w:t>
      </w:r>
      <w:r w:rsidR="005F376F" w:rsidRPr="00E32501">
        <w:rPr>
          <w:rFonts w:cs="David" w:hint="cs"/>
          <w:sz w:val="28"/>
          <w:szCs w:val="28"/>
          <w:rtl/>
        </w:rPr>
        <w:t>לב</w:t>
      </w:r>
      <w:r w:rsidRPr="00E32501">
        <w:rPr>
          <w:rFonts w:cs="David" w:hint="cs"/>
          <w:sz w:val="28"/>
          <w:szCs w:val="28"/>
          <w:rtl/>
        </w:rPr>
        <w:t>עלי האתרים</w:t>
      </w:r>
      <w:r w:rsidR="00720FCA" w:rsidRPr="00E32501">
        <w:rPr>
          <w:rFonts w:cs="David" w:hint="cs"/>
          <w:sz w:val="28"/>
          <w:szCs w:val="28"/>
          <w:rtl/>
        </w:rPr>
        <w:t xml:space="preserve"> הגדולים</w:t>
      </w:r>
      <w:r>
        <w:rPr>
          <w:rFonts w:cs="David" w:hint="cs"/>
          <w:sz w:val="28"/>
          <w:szCs w:val="28"/>
          <w:rtl/>
        </w:rPr>
        <w:t>, דוגמת 'פי</w:t>
      </w:r>
      <w:r w:rsidR="00720FCA">
        <w:rPr>
          <w:rFonts w:cs="David" w:hint="cs"/>
          <w:sz w:val="28"/>
          <w:szCs w:val="28"/>
          <w:rtl/>
        </w:rPr>
        <w:t>יסבוק'</w:t>
      </w:r>
      <w:r w:rsidR="002C764B">
        <w:rPr>
          <w:rFonts w:cs="David" w:hint="cs"/>
          <w:sz w:val="28"/>
          <w:szCs w:val="28"/>
          <w:rtl/>
        </w:rPr>
        <w:t>, 'גוגל', 'טוויטר'</w:t>
      </w:r>
      <w:r w:rsidR="009372DB">
        <w:rPr>
          <w:rFonts w:cs="David" w:hint="cs"/>
          <w:sz w:val="28"/>
          <w:szCs w:val="28"/>
          <w:rtl/>
        </w:rPr>
        <w:t xml:space="preserve"> </w:t>
      </w:r>
      <w:r w:rsidR="005F376F">
        <w:rPr>
          <w:rFonts w:cs="David" w:hint="cs"/>
          <w:sz w:val="28"/>
          <w:szCs w:val="28"/>
          <w:rtl/>
        </w:rPr>
        <w:t>ומבקש</w:t>
      </w:r>
      <w:r w:rsidR="00830370">
        <w:rPr>
          <w:rFonts w:cs="David" w:hint="cs"/>
          <w:sz w:val="28"/>
          <w:szCs w:val="28"/>
          <w:rtl/>
        </w:rPr>
        <w:t>ת</w:t>
      </w:r>
      <w:r w:rsidR="005F376F">
        <w:rPr>
          <w:rFonts w:cs="David" w:hint="cs"/>
          <w:sz w:val="28"/>
          <w:szCs w:val="28"/>
          <w:rtl/>
        </w:rPr>
        <w:t xml:space="preserve"> מהם להסיר תכנים שנוגדים את החוק בישראל וכן נוגדים את מדיניותם הם בדבר פרסומים פוגעניים</w:t>
      </w:r>
      <w:r w:rsidR="009372DB" w:rsidRPr="00830370">
        <w:rPr>
          <w:rFonts w:cs="David" w:hint="cs"/>
          <w:b/>
          <w:bCs/>
          <w:sz w:val="28"/>
          <w:szCs w:val="28"/>
          <w:rtl/>
        </w:rPr>
        <w:t>,</w:t>
      </w:r>
      <w:r w:rsidR="005F376F" w:rsidRPr="00830370">
        <w:rPr>
          <w:rFonts w:cs="David" w:hint="cs"/>
          <w:b/>
          <w:bCs/>
          <w:sz w:val="28"/>
          <w:szCs w:val="28"/>
          <w:rtl/>
        </w:rPr>
        <w:t xml:space="preserve"> ובכלל זה תכנים המסיתים לאלימות ולטרור. </w:t>
      </w:r>
    </w:p>
    <w:p w:rsidR="00653327" w:rsidRDefault="00720FCA" w:rsidP="003F702C">
      <w:pPr>
        <w:spacing w:line="360" w:lineRule="auto"/>
        <w:jc w:val="both"/>
        <w:rPr>
          <w:rFonts w:cs="David"/>
          <w:sz w:val="28"/>
          <w:szCs w:val="28"/>
          <w:rtl/>
        </w:rPr>
      </w:pPr>
      <w:r>
        <w:rPr>
          <w:rFonts w:cs="David" w:hint="cs"/>
          <w:sz w:val="28"/>
          <w:szCs w:val="28"/>
          <w:rtl/>
        </w:rPr>
        <w:t>לדברי חיים ויסמונסקי</w:t>
      </w:r>
      <w:r w:rsidR="002C764B">
        <w:rPr>
          <w:rStyle w:val="a5"/>
          <w:rFonts w:cs="David"/>
          <w:sz w:val="28"/>
          <w:szCs w:val="28"/>
          <w:rtl/>
        </w:rPr>
        <w:footnoteReference w:id="240"/>
      </w:r>
      <w:r w:rsidR="009F5F7A">
        <w:rPr>
          <w:rFonts w:cs="David" w:hint="cs"/>
          <w:sz w:val="28"/>
          <w:szCs w:val="28"/>
          <w:rtl/>
        </w:rPr>
        <w:t xml:space="preserve"> </w:t>
      </w:r>
      <w:r>
        <w:rPr>
          <w:rFonts w:cs="David" w:hint="cs"/>
          <w:sz w:val="28"/>
          <w:szCs w:val="28"/>
          <w:rtl/>
        </w:rPr>
        <w:t>מדובר בערוץ יחסית חדש, שהוקם בספטמבר שנת 2015</w:t>
      </w:r>
      <w:r w:rsidR="00987908">
        <w:rPr>
          <w:rFonts w:cs="David" w:hint="cs"/>
          <w:sz w:val="28"/>
          <w:szCs w:val="28"/>
          <w:rtl/>
        </w:rPr>
        <w:t>, ה</w:t>
      </w:r>
      <w:r>
        <w:rPr>
          <w:rFonts w:cs="David" w:hint="cs"/>
          <w:sz w:val="28"/>
          <w:szCs w:val="28"/>
          <w:rtl/>
        </w:rPr>
        <w:t xml:space="preserve">עוסק </w:t>
      </w:r>
      <w:r w:rsidR="00987908" w:rsidRPr="006702D5">
        <w:rPr>
          <w:rFonts w:cs="David" w:hint="cs"/>
          <w:b/>
          <w:bCs/>
          <w:sz w:val="28"/>
          <w:szCs w:val="28"/>
          <w:rtl/>
        </w:rPr>
        <w:t>ב</w:t>
      </w:r>
      <w:r w:rsidRPr="006702D5">
        <w:rPr>
          <w:rFonts w:cs="David" w:hint="cs"/>
          <w:b/>
          <w:bCs/>
          <w:sz w:val="28"/>
          <w:szCs w:val="28"/>
          <w:rtl/>
        </w:rPr>
        <w:t xml:space="preserve">'אכיפה אלטרנטיבית' בזירת עבירות </w:t>
      </w:r>
      <w:r w:rsidR="00987908" w:rsidRPr="006702D5">
        <w:rPr>
          <w:rFonts w:cs="David" w:hint="cs"/>
          <w:b/>
          <w:bCs/>
          <w:sz w:val="28"/>
          <w:szCs w:val="28"/>
          <w:rtl/>
        </w:rPr>
        <w:t>הסייבר</w:t>
      </w:r>
      <w:r w:rsidRPr="006702D5">
        <w:rPr>
          <w:rFonts w:cs="David" w:hint="cs"/>
          <w:b/>
          <w:bCs/>
          <w:sz w:val="28"/>
          <w:szCs w:val="28"/>
          <w:rtl/>
        </w:rPr>
        <w:t xml:space="preserve"> </w:t>
      </w:r>
      <w:r w:rsidRPr="00B655D2">
        <w:rPr>
          <w:rFonts w:cs="David" w:hint="cs"/>
          <w:sz w:val="28"/>
          <w:szCs w:val="28"/>
          <w:rtl/>
        </w:rPr>
        <w:t xml:space="preserve">(למשל, פדופיליה, הימורים, זנות וכד') </w:t>
      </w:r>
      <w:r w:rsidR="006702D5" w:rsidRPr="006702D5">
        <w:rPr>
          <w:rFonts w:cs="David" w:hint="cs"/>
          <w:b/>
          <w:bCs/>
          <w:sz w:val="28"/>
          <w:szCs w:val="28"/>
          <w:rtl/>
        </w:rPr>
        <w:t>ובין השאר בעבירות ההסתה ל</w:t>
      </w:r>
      <w:r w:rsidRPr="006702D5">
        <w:rPr>
          <w:rFonts w:cs="David" w:hint="cs"/>
          <w:b/>
          <w:bCs/>
          <w:sz w:val="28"/>
          <w:szCs w:val="28"/>
          <w:rtl/>
        </w:rPr>
        <w:t>אלימות ולטרור</w:t>
      </w:r>
      <w:r w:rsidR="006702D5" w:rsidRPr="006702D5">
        <w:rPr>
          <w:rFonts w:cs="David" w:hint="cs"/>
          <w:b/>
          <w:bCs/>
          <w:sz w:val="28"/>
          <w:szCs w:val="28"/>
          <w:rtl/>
        </w:rPr>
        <w:t xml:space="preserve"> הן מצד יהודים והן מצד ערבים</w:t>
      </w:r>
      <w:r w:rsidRPr="006702D5">
        <w:rPr>
          <w:rFonts w:cs="David" w:hint="cs"/>
          <w:b/>
          <w:bCs/>
          <w:sz w:val="28"/>
          <w:szCs w:val="28"/>
          <w:rtl/>
        </w:rPr>
        <w:t>.</w:t>
      </w:r>
      <w:r>
        <w:rPr>
          <w:rFonts w:cs="David" w:hint="cs"/>
          <w:sz w:val="28"/>
          <w:szCs w:val="28"/>
          <w:rtl/>
        </w:rPr>
        <w:t xml:space="preserve"> האכיפה היא הגנתית/סיכולית</w:t>
      </w:r>
      <w:r w:rsidR="00D659EC">
        <w:rPr>
          <w:rFonts w:cs="David" w:hint="cs"/>
          <w:sz w:val="28"/>
          <w:szCs w:val="28"/>
          <w:rtl/>
        </w:rPr>
        <w:t xml:space="preserve"> </w:t>
      </w:r>
      <w:r w:rsidR="005C7F69" w:rsidRPr="00753A49">
        <w:rPr>
          <w:rFonts w:cs="David" w:hint="cs"/>
          <w:b/>
          <w:bCs/>
          <w:sz w:val="28"/>
          <w:szCs w:val="28"/>
          <w:rtl/>
        </w:rPr>
        <w:t>ואינה משלימה</w:t>
      </w:r>
      <w:r w:rsidR="005C7F69">
        <w:rPr>
          <w:rFonts w:cs="David" w:hint="cs"/>
          <w:sz w:val="28"/>
          <w:szCs w:val="28"/>
          <w:rtl/>
        </w:rPr>
        <w:t xml:space="preserve"> את הטיפול הפלילי, </w:t>
      </w:r>
      <w:r w:rsidR="005C7F69" w:rsidRPr="00B655D2">
        <w:rPr>
          <w:rFonts w:cs="David" w:hint="cs"/>
          <w:b/>
          <w:bCs/>
          <w:sz w:val="28"/>
          <w:szCs w:val="28"/>
          <w:rtl/>
        </w:rPr>
        <w:t>אלא באה במקומו</w:t>
      </w:r>
      <w:r w:rsidR="00B655D2" w:rsidRPr="00B655D2">
        <w:rPr>
          <w:rFonts w:cs="David" w:hint="cs"/>
          <w:b/>
          <w:bCs/>
          <w:sz w:val="28"/>
          <w:szCs w:val="28"/>
          <w:rtl/>
        </w:rPr>
        <w:t xml:space="preserve"> היכן </w:t>
      </w:r>
      <w:r w:rsidR="00BA78D7" w:rsidRPr="00B655D2">
        <w:rPr>
          <w:rFonts w:cs="David" w:hint="cs"/>
          <w:b/>
          <w:bCs/>
          <w:sz w:val="28"/>
          <w:szCs w:val="28"/>
          <w:rtl/>
        </w:rPr>
        <w:t>שלא ניתן לממש את ה</w:t>
      </w:r>
      <w:r w:rsidR="00871557">
        <w:rPr>
          <w:rFonts w:cs="David" w:hint="cs"/>
          <w:b/>
          <w:bCs/>
          <w:sz w:val="28"/>
          <w:szCs w:val="28"/>
          <w:rtl/>
        </w:rPr>
        <w:t>אפיק</w:t>
      </w:r>
      <w:r w:rsidR="00BA78D7" w:rsidRPr="00B655D2">
        <w:rPr>
          <w:rFonts w:cs="David" w:hint="cs"/>
          <w:b/>
          <w:bCs/>
          <w:sz w:val="28"/>
          <w:szCs w:val="28"/>
          <w:rtl/>
        </w:rPr>
        <w:t xml:space="preserve"> הפלילי</w:t>
      </w:r>
      <w:r w:rsidR="00BA78D7">
        <w:rPr>
          <w:rFonts w:cs="David" w:hint="cs"/>
          <w:sz w:val="28"/>
          <w:szCs w:val="28"/>
          <w:rtl/>
        </w:rPr>
        <w:t xml:space="preserve">. </w:t>
      </w:r>
      <w:r w:rsidR="005C7F69">
        <w:rPr>
          <w:rFonts w:cs="David" w:hint="cs"/>
          <w:sz w:val="28"/>
          <w:szCs w:val="28"/>
          <w:rtl/>
        </w:rPr>
        <w:t xml:space="preserve">לכן, </w:t>
      </w:r>
      <w:r w:rsidR="009F5F7A">
        <w:rPr>
          <w:rFonts w:cs="David" w:hint="cs"/>
          <w:sz w:val="28"/>
          <w:szCs w:val="28"/>
          <w:rtl/>
        </w:rPr>
        <w:t xml:space="preserve">מתמקדת </w:t>
      </w:r>
      <w:r w:rsidR="001C3268">
        <w:rPr>
          <w:rFonts w:cs="David" w:hint="cs"/>
          <w:sz w:val="28"/>
          <w:szCs w:val="28"/>
          <w:rtl/>
        </w:rPr>
        <w:t>האכיפה</w:t>
      </w:r>
      <w:r w:rsidR="00D659EC">
        <w:rPr>
          <w:rFonts w:cs="David" w:hint="cs"/>
          <w:sz w:val="28"/>
          <w:szCs w:val="28"/>
          <w:rtl/>
        </w:rPr>
        <w:t xml:space="preserve"> </w:t>
      </w:r>
      <w:r w:rsidR="00D659EC" w:rsidRPr="00835154">
        <w:rPr>
          <w:rFonts w:cs="David" w:hint="cs"/>
          <w:b/>
          <w:bCs/>
          <w:sz w:val="28"/>
          <w:szCs w:val="28"/>
          <w:rtl/>
        </w:rPr>
        <w:t>בפרסום ולא במפרסם</w:t>
      </w:r>
      <w:r w:rsidR="00D659EC">
        <w:rPr>
          <w:rFonts w:cs="David" w:hint="cs"/>
          <w:sz w:val="28"/>
          <w:szCs w:val="28"/>
          <w:rtl/>
        </w:rPr>
        <w:t xml:space="preserve">, </w:t>
      </w:r>
      <w:r w:rsidR="009F5F7A">
        <w:rPr>
          <w:rFonts w:cs="David" w:hint="cs"/>
          <w:sz w:val="28"/>
          <w:szCs w:val="28"/>
          <w:rtl/>
        </w:rPr>
        <w:t xml:space="preserve">כאשר יש </w:t>
      </w:r>
      <w:r w:rsidR="00D659EC">
        <w:rPr>
          <w:rFonts w:cs="David" w:hint="cs"/>
          <w:sz w:val="28"/>
          <w:szCs w:val="28"/>
          <w:rtl/>
        </w:rPr>
        <w:t>יסוד של פרסום כחלק מיסודות העבירה</w:t>
      </w:r>
      <w:r w:rsidR="00763366">
        <w:rPr>
          <w:rFonts w:cs="David" w:hint="cs"/>
          <w:sz w:val="28"/>
          <w:szCs w:val="28"/>
          <w:rtl/>
        </w:rPr>
        <w:t xml:space="preserve">, </w:t>
      </w:r>
      <w:r w:rsidR="00763366" w:rsidRPr="00350630">
        <w:rPr>
          <w:rFonts w:cs="David" w:hint="cs"/>
          <w:b/>
          <w:bCs/>
          <w:sz w:val="28"/>
          <w:szCs w:val="28"/>
          <w:rtl/>
        </w:rPr>
        <w:t>כדוגמת עבירות ההסתה לגזענות ולאלימות</w:t>
      </w:r>
      <w:r w:rsidR="005C7F69" w:rsidRPr="00350630">
        <w:rPr>
          <w:rFonts w:cs="David" w:hint="cs"/>
          <w:b/>
          <w:bCs/>
          <w:sz w:val="28"/>
          <w:szCs w:val="28"/>
          <w:rtl/>
        </w:rPr>
        <w:t>.</w:t>
      </w:r>
      <w:r w:rsidR="005210F4">
        <w:rPr>
          <w:rFonts w:cs="David" w:hint="cs"/>
          <w:sz w:val="28"/>
          <w:szCs w:val="28"/>
          <w:rtl/>
        </w:rPr>
        <w:t xml:space="preserve"> מדובר במימוש תפיסה חדשנית של סיכול משפטי, </w:t>
      </w:r>
      <w:r w:rsidR="009F5F7A">
        <w:rPr>
          <w:rFonts w:cs="David" w:hint="cs"/>
          <w:sz w:val="28"/>
          <w:szCs w:val="28"/>
          <w:rtl/>
        </w:rPr>
        <w:t xml:space="preserve">המנוגדת </w:t>
      </w:r>
      <w:r w:rsidR="005210F4">
        <w:rPr>
          <w:rFonts w:cs="David" w:hint="cs"/>
          <w:sz w:val="28"/>
          <w:szCs w:val="28"/>
          <w:rtl/>
        </w:rPr>
        <w:t xml:space="preserve">לתפיסה הנוהגת במשפט הפלילי, הפועלת בסדר דברים הפוך </w:t>
      </w:r>
      <w:r w:rsidR="005210F4">
        <w:rPr>
          <w:rFonts w:cs="David"/>
          <w:sz w:val="28"/>
          <w:szCs w:val="28"/>
          <w:rtl/>
        </w:rPr>
        <w:t>–</w:t>
      </w:r>
      <w:r w:rsidR="005210F4">
        <w:rPr>
          <w:rFonts w:cs="David" w:hint="cs"/>
          <w:sz w:val="28"/>
          <w:szCs w:val="28"/>
          <w:rtl/>
        </w:rPr>
        <w:t xml:space="preserve"> </w:t>
      </w:r>
      <w:r w:rsidR="005F376F">
        <w:rPr>
          <w:rFonts w:cs="David" w:hint="cs"/>
          <w:sz w:val="28"/>
          <w:szCs w:val="28"/>
          <w:rtl/>
        </w:rPr>
        <w:t>ב</w:t>
      </w:r>
      <w:r w:rsidR="005210F4">
        <w:rPr>
          <w:rFonts w:cs="David" w:hint="cs"/>
          <w:sz w:val="28"/>
          <w:szCs w:val="28"/>
          <w:rtl/>
        </w:rPr>
        <w:t>יסוס ראיות, חקירה, הגשת כתבי אישום,</w:t>
      </w:r>
      <w:r w:rsidR="005F376F">
        <w:rPr>
          <w:rFonts w:cs="David" w:hint="cs"/>
          <w:sz w:val="28"/>
          <w:szCs w:val="28"/>
          <w:rtl/>
        </w:rPr>
        <w:t xml:space="preserve"> הרשעה ואז ענישה. </w:t>
      </w:r>
    </w:p>
    <w:p w:rsidR="005210F4" w:rsidRDefault="005F376F" w:rsidP="003F702C">
      <w:pPr>
        <w:spacing w:line="360" w:lineRule="auto"/>
        <w:jc w:val="both"/>
        <w:rPr>
          <w:rFonts w:cs="David"/>
          <w:sz w:val="28"/>
          <w:szCs w:val="28"/>
          <w:rtl/>
        </w:rPr>
      </w:pPr>
      <w:r>
        <w:rPr>
          <w:rFonts w:cs="David" w:hint="cs"/>
          <w:sz w:val="28"/>
          <w:szCs w:val="28"/>
          <w:rtl/>
        </w:rPr>
        <w:t xml:space="preserve">לדבריו, </w:t>
      </w:r>
      <w:r w:rsidR="00051086">
        <w:rPr>
          <w:rFonts w:cs="David" w:hint="cs"/>
          <w:sz w:val="28"/>
          <w:szCs w:val="28"/>
          <w:rtl/>
        </w:rPr>
        <w:t xml:space="preserve">הבינה </w:t>
      </w:r>
      <w:r>
        <w:rPr>
          <w:rFonts w:cs="David" w:hint="cs"/>
          <w:sz w:val="28"/>
          <w:szCs w:val="28"/>
          <w:rtl/>
        </w:rPr>
        <w:t>הפרקליטות</w:t>
      </w:r>
      <w:r w:rsidR="00051086">
        <w:rPr>
          <w:rFonts w:cs="David" w:hint="cs"/>
          <w:sz w:val="28"/>
          <w:szCs w:val="28"/>
          <w:rtl/>
        </w:rPr>
        <w:t>,</w:t>
      </w:r>
      <w:r>
        <w:rPr>
          <w:rFonts w:cs="David" w:hint="cs"/>
          <w:sz w:val="28"/>
          <w:szCs w:val="28"/>
          <w:rtl/>
        </w:rPr>
        <w:t xml:space="preserve"> כי בעבירות הסתה ברשת</w:t>
      </w:r>
      <w:r w:rsidR="00946951">
        <w:rPr>
          <w:rFonts w:cs="David" w:hint="cs"/>
          <w:sz w:val="28"/>
          <w:szCs w:val="28"/>
          <w:rtl/>
        </w:rPr>
        <w:t xml:space="preserve"> ישנו </w:t>
      </w:r>
      <w:r w:rsidR="00946951" w:rsidRPr="00E270FD">
        <w:rPr>
          <w:rFonts w:cs="David" w:hint="cs"/>
          <w:b/>
          <w:bCs/>
          <w:sz w:val="28"/>
          <w:szCs w:val="28"/>
          <w:rtl/>
        </w:rPr>
        <w:t xml:space="preserve">קושי ממשי באכיפה </w:t>
      </w:r>
      <w:r w:rsidR="00CF62CA" w:rsidRPr="00E270FD">
        <w:rPr>
          <w:rFonts w:cs="David" w:hint="cs"/>
          <w:b/>
          <w:bCs/>
          <w:sz w:val="28"/>
          <w:szCs w:val="28"/>
          <w:rtl/>
        </w:rPr>
        <w:t>אפקטיבי</w:t>
      </w:r>
      <w:r w:rsidR="00BA330D" w:rsidRPr="00E270FD">
        <w:rPr>
          <w:rFonts w:cs="David" w:hint="cs"/>
          <w:b/>
          <w:bCs/>
          <w:sz w:val="28"/>
          <w:szCs w:val="28"/>
          <w:rtl/>
        </w:rPr>
        <w:t>ת</w:t>
      </w:r>
      <w:r w:rsidR="00CF62CA" w:rsidRPr="00E270FD">
        <w:rPr>
          <w:rFonts w:cs="David" w:hint="cs"/>
          <w:b/>
          <w:bCs/>
          <w:sz w:val="28"/>
          <w:szCs w:val="28"/>
          <w:rtl/>
        </w:rPr>
        <w:t xml:space="preserve"> </w:t>
      </w:r>
      <w:r w:rsidR="00946951" w:rsidRPr="00E270FD">
        <w:rPr>
          <w:rFonts w:cs="David" w:hint="cs"/>
          <w:b/>
          <w:bCs/>
          <w:sz w:val="28"/>
          <w:szCs w:val="28"/>
          <w:rtl/>
        </w:rPr>
        <w:t xml:space="preserve">בזמן </w:t>
      </w:r>
      <w:r w:rsidR="00946951" w:rsidRPr="001039E6">
        <w:rPr>
          <w:rFonts w:cs="David" w:hint="cs"/>
          <w:b/>
          <w:bCs/>
          <w:sz w:val="28"/>
          <w:szCs w:val="28"/>
          <w:rtl/>
        </w:rPr>
        <w:t>אמת</w:t>
      </w:r>
      <w:r w:rsidR="001039E6" w:rsidRPr="001039E6">
        <w:rPr>
          <w:rFonts w:cs="David" w:hint="cs"/>
          <w:b/>
          <w:bCs/>
          <w:sz w:val="28"/>
          <w:szCs w:val="28"/>
          <w:rtl/>
        </w:rPr>
        <w:t xml:space="preserve"> מול המפרסמים</w:t>
      </w:r>
      <w:r w:rsidR="008E24F2">
        <w:rPr>
          <w:rFonts w:cs="David" w:hint="cs"/>
          <w:sz w:val="28"/>
          <w:szCs w:val="28"/>
          <w:rtl/>
        </w:rPr>
        <w:t xml:space="preserve"> - בשל האנונימיות, הקושי להשיג ראיות באופן מיטבי, </w:t>
      </w:r>
      <w:r w:rsidR="00B331B0">
        <w:rPr>
          <w:rFonts w:cs="David" w:hint="cs"/>
          <w:sz w:val="28"/>
          <w:szCs w:val="28"/>
          <w:rtl/>
        </w:rPr>
        <w:t>לע</w:t>
      </w:r>
      <w:r w:rsidR="008E24F2">
        <w:rPr>
          <w:rFonts w:cs="David" w:hint="cs"/>
          <w:sz w:val="28"/>
          <w:szCs w:val="28"/>
          <w:rtl/>
        </w:rPr>
        <w:t>יתים סיכון חיי האדם (בכניסה לתפיסת מחשבים) וה</w:t>
      </w:r>
      <w:r>
        <w:rPr>
          <w:rFonts w:cs="David" w:hint="cs"/>
          <w:sz w:val="28"/>
          <w:szCs w:val="28"/>
          <w:rtl/>
        </w:rPr>
        <w:t>צורך להסיר תכנים באופן מהיר</w:t>
      </w:r>
      <w:r w:rsidR="008E24F2">
        <w:rPr>
          <w:rFonts w:cs="David" w:hint="cs"/>
          <w:sz w:val="28"/>
          <w:szCs w:val="28"/>
          <w:rtl/>
        </w:rPr>
        <w:t xml:space="preserve"> בטרם ישפיעו על מספר רב של משתמשים ברשת</w:t>
      </w:r>
      <w:r w:rsidR="00051086">
        <w:rPr>
          <w:rFonts w:cs="David" w:hint="cs"/>
          <w:sz w:val="28"/>
          <w:szCs w:val="28"/>
          <w:rtl/>
        </w:rPr>
        <w:t>.</w:t>
      </w:r>
      <w:r w:rsidR="00051086">
        <w:rPr>
          <w:rFonts w:cs="David" w:hint="cs"/>
          <w:b/>
          <w:bCs/>
          <w:sz w:val="28"/>
          <w:szCs w:val="28"/>
          <w:rtl/>
        </w:rPr>
        <w:t xml:space="preserve"> זאת ועוד, </w:t>
      </w:r>
      <w:r w:rsidRPr="008E24F2">
        <w:rPr>
          <w:rFonts w:cs="David" w:hint="cs"/>
          <w:b/>
          <w:bCs/>
          <w:sz w:val="28"/>
          <w:szCs w:val="28"/>
          <w:rtl/>
        </w:rPr>
        <w:t xml:space="preserve"> ה</w:t>
      </w:r>
      <w:r w:rsidR="00871557" w:rsidRPr="008E24F2">
        <w:rPr>
          <w:rFonts w:cs="David" w:hint="cs"/>
          <w:b/>
          <w:bCs/>
          <w:sz w:val="28"/>
          <w:szCs w:val="28"/>
          <w:rtl/>
        </w:rPr>
        <w:t>אפיק</w:t>
      </w:r>
      <w:r w:rsidRPr="008E24F2">
        <w:rPr>
          <w:rFonts w:cs="David" w:hint="cs"/>
          <w:b/>
          <w:bCs/>
          <w:sz w:val="28"/>
          <w:szCs w:val="28"/>
          <w:rtl/>
        </w:rPr>
        <w:t xml:space="preserve"> הפלילי </w:t>
      </w:r>
      <w:r w:rsidR="00CF62CA" w:rsidRPr="008E24F2">
        <w:rPr>
          <w:rFonts w:cs="David" w:hint="cs"/>
          <w:b/>
          <w:bCs/>
          <w:sz w:val="28"/>
          <w:szCs w:val="28"/>
          <w:rtl/>
        </w:rPr>
        <w:t>'ה</w:t>
      </w:r>
      <w:r w:rsidR="00D54887">
        <w:rPr>
          <w:rFonts w:cs="David" w:hint="cs"/>
          <w:b/>
          <w:bCs/>
          <w:sz w:val="28"/>
          <w:szCs w:val="28"/>
          <w:rtl/>
        </w:rPr>
        <w:t>קלאסי</w:t>
      </w:r>
      <w:r w:rsidR="00CF62CA" w:rsidRPr="008E24F2">
        <w:rPr>
          <w:rFonts w:cs="David" w:hint="cs"/>
          <w:b/>
          <w:bCs/>
          <w:sz w:val="28"/>
          <w:szCs w:val="28"/>
          <w:rtl/>
        </w:rPr>
        <w:t xml:space="preserve">', בוודאי בעבירות ביטוי והסתה, </w:t>
      </w:r>
      <w:r w:rsidRPr="008E24F2">
        <w:rPr>
          <w:rFonts w:cs="David" w:hint="cs"/>
          <w:b/>
          <w:bCs/>
          <w:sz w:val="28"/>
          <w:szCs w:val="28"/>
          <w:rtl/>
        </w:rPr>
        <w:t xml:space="preserve">לא יכול לתת לכך מענה </w:t>
      </w:r>
      <w:r w:rsidRPr="008E24F2">
        <w:rPr>
          <w:rFonts w:cs="David" w:hint="cs"/>
          <w:b/>
          <w:bCs/>
          <w:sz w:val="28"/>
          <w:szCs w:val="28"/>
          <w:rtl/>
        </w:rPr>
        <w:lastRenderedPageBreak/>
        <w:t>בקצבי הזמן הרצוי</w:t>
      </w:r>
      <w:r w:rsidR="0025723E" w:rsidRPr="008E24F2">
        <w:rPr>
          <w:rFonts w:cs="David" w:hint="cs"/>
          <w:b/>
          <w:bCs/>
          <w:sz w:val="28"/>
          <w:szCs w:val="28"/>
          <w:rtl/>
        </w:rPr>
        <w:t>ים</w:t>
      </w:r>
      <w:r w:rsidR="0025723E">
        <w:rPr>
          <w:rFonts w:cs="David" w:hint="cs"/>
          <w:sz w:val="28"/>
          <w:szCs w:val="28"/>
          <w:rtl/>
        </w:rPr>
        <w:t xml:space="preserve">. מנגד, </w:t>
      </w:r>
      <w:r w:rsidR="0025723E" w:rsidRPr="00452D1A">
        <w:rPr>
          <w:rFonts w:cs="David" w:hint="cs"/>
          <w:b/>
          <w:bCs/>
          <w:sz w:val="28"/>
          <w:szCs w:val="28"/>
          <w:rtl/>
        </w:rPr>
        <w:t xml:space="preserve">לא הקלו ראש בזכות חופש הביטוי ומעמדה </w:t>
      </w:r>
      <w:r w:rsidR="002F73CF" w:rsidRPr="00452D1A">
        <w:rPr>
          <w:rFonts w:cs="David" w:hint="cs"/>
          <w:b/>
          <w:bCs/>
          <w:sz w:val="28"/>
          <w:szCs w:val="28"/>
          <w:rtl/>
        </w:rPr>
        <w:t>בישראל.</w:t>
      </w:r>
      <w:r w:rsidR="002F73CF">
        <w:rPr>
          <w:rFonts w:cs="David" w:hint="cs"/>
          <w:sz w:val="28"/>
          <w:szCs w:val="28"/>
          <w:rtl/>
        </w:rPr>
        <w:t xml:space="preserve"> </w:t>
      </w:r>
      <w:r w:rsidR="0025723E">
        <w:rPr>
          <w:rFonts w:cs="David" w:hint="cs"/>
          <w:sz w:val="28"/>
          <w:szCs w:val="28"/>
          <w:rtl/>
        </w:rPr>
        <w:t xml:space="preserve">לפיכך, נקבעו </w:t>
      </w:r>
      <w:r w:rsidR="003A0DD2">
        <w:rPr>
          <w:rFonts w:cs="David" w:hint="cs"/>
          <w:sz w:val="28"/>
          <w:szCs w:val="28"/>
          <w:rtl/>
        </w:rPr>
        <w:t>ה</w:t>
      </w:r>
      <w:r w:rsidR="0025723E">
        <w:rPr>
          <w:rFonts w:cs="David" w:hint="cs"/>
          <w:sz w:val="28"/>
          <w:szCs w:val="28"/>
          <w:rtl/>
        </w:rPr>
        <w:t>איזונים הרצויים ובין היתר נקבע כי בקשת הסרת התכנים תהא באישורו של מנהל מחלקת הסייבר</w:t>
      </w:r>
      <w:r w:rsidR="00051086">
        <w:rPr>
          <w:rFonts w:cs="David" w:hint="cs"/>
          <w:sz w:val="28"/>
          <w:szCs w:val="28"/>
          <w:rtl/>
        </w:rPr>
        <w:t>,</w:t>
      </w:r>
      <w:r w:rsidR="0025723E">
        <w:rPr>
          <w:rFonts w:cs="David" w:hint="cs"/>
          <w:sz w:val="28"/>
          <w:szCs w:val="28"/>
          <w:rtl/>
        </w:rPr>
        <w:t xml:space="preserve"> ו</w:t>
      </w:r>
      <w:r w:rsidR="00FC616D">
        <w:rPr>
          <w:rFonts w:cs="David" w:hint="cs"/>
          <w:sz w:val="28"/>
          <w:szCs w:val="28"/>
          <w:rtl/>
        </w:rPr>
        <w:t xml:space="preserve">כן </w:t>
      </w:r>
      <w:r w:rsidR="0025723E">
        <w:rPr>
          <w:rFonts w:cs="David" w:hint="cs"/>
          <w:sz w:val="28"/>
          <w:szCs w:val="28"/>
          <w:rtl/>
        </w:rPr>
        <w:t>נקבעו תבחינים שלא כאן המקום ל</w:t>
      </w:r>
      <w:r w:rsidR="00BA78D7">
        <w:rPr>
          <w:rFonts w:cs="David" w:hint="cs"/>
          <w:sz w:val="28"/>
          <w:szCs w:val="28"/>
          <w:rtl/>
        </w:rPr>
        <w:t>פרטם, בגין רגישותם.</w:t>
      </w:r>
    </w:p>
    <w:p w:rsidR="00BA330D" w:rsidRDefault="00A85D07" w:rsidP="003F702C">
      <w:pPr>
        <w:spacing w:line="360" w:lineRule="auto"/>
        <w:jc w:val="both"/>
        <w:rPr>
          <w:rFonts w:cs="David"/>
          <w:sz w:val="28"/>
          <w:szCs w:val="28"/>
          <w:rtl/>
        </w:rPr>
      </w:pPr>
      <w:r>
        <w:rPr>
          <w:rFonts w:cs="David" w:hint="cs"/>
          <w:sz w:val="28"/>
          <w:szCs w:val="28"/>
          <w:rtl/>
        </w:rPr>
        <w:t>ערוץ</w:t>
      </w:r>
      <w:r w:rsidR="0047056B">
        <w:rPr>
          <w:rFonts w:cs="David" w:hint="cs"/>
          <w:sz w:val="28"/>
          <w:szCs w:val="28"/>
          <w:rtl/>
        </w:rPr>
        <w:t xml:space="preserve"> ישיר </w:t>
      </w:r>
      <w:r>
        <w:rPr>
          <w:rFonts w:cs="David" w:hint="cs"/>
          <w:sz w:val="28"/>
          <w:szCs w:val="28"/>
          <w:rtl/>
        </w:rPr>
        <w:t xml:space="preserve">זה, </w:t>
      </w:r>
      <w:r w:rsidRPr="001745E1">
        <w:rPr>
          <w:rFonts w:cs="David" w:hint="cs"/>
          <w:b/>
          <w:bCs/>
          <w:sz w:val="28"/>
          <w:szCs w:val="28"/>
          <w:rtl/>
        </w:rPr>
        <w:t>הינו אפקטיבי</w:t>
      </w:r>
      <w:r>
        <w:rPr>
          <w:rFonts w:cs="David" w:hint="cs"/>
          <w:sz w:val="28"/>
          <w:szCs w:val="28"/>
          <w:rtl/>
        </w:rPr>
        <w:t>,</w:t>
      </w:r>
      <w:r w:rsidR="00046C26">
        <w:rPr>
          <w:rStyle w:val="a5"/>
          <w:rFonts w:cs="David"/>
          <w:sz w:val="28"/>
          <w:szCs w:val="28"/>
          <w:rtl/>
        </w:rPr>
        <w:footnoteReference w:id="241"/>
      </w:r>
      <w:r>
        <w:rPr>
          <w:rFonts w:cs="David" w:hint="cs"/>
          <w:sz w:val="28"/>
          <w:szCs w:val="28"/>
          <w:rtl/>
        </w:rPr>
        <w:t xml:space="preserve"> </w:t>
      </w:r>
      <w:r w:rsidR="00046C26">
        <w:rPr>
          <w:rFonts w:cs="David" w:hint="cs"/>
          <w:sz w:val="28"/>
          <w:szCs w:val="28"/>
          <w:rtl/>
        </w:rPr>
        <w:t>בין היתר מאחר ש</w:t>
      </w:r>
      <w:r w:rsidR="00BE1C13">
        <w:rPr>
          <w:rFonts w:cs="David" w:hint="cs"/>
          <w:sz w:val="28"/>
          <w:szCs w:val="28"/>
          <w:rtl/>
        </w:rPr>
        <w:t>ישנה חפיפה גדולה בין חוקי המדינה ו</w:t>
      </w:r>
      <w:r w:rsidR="006C76D8">
        <w:rPr>
          <w:rFonts w:cs="David" w:hint="cs"/>
          <w:sz w:val="28"/>
          <w:szCs w:val="28"/>
          <w:rtl/>
        </w:rPr>
        <w:t xml:space="preserve">בין </w:t>
      </w:r>
      <w:r w:rsidR="00BE1C13">
        <w:rPr>
          <w:rFonts w:cs="David" w:hint="cs"/>
          <w:sz w:val="28"/>
          <w:szCs w:val="28"/>
          <w:rtl/>
        </w:rPr>
        <w:t>מדיניות בעלי האתרים וספקיות המרשתת</w:t>
      </w:r>
      <w:r w:rsidR="00BD5998">
        <w:rPr>
          <w:rFonts w:cs="David" w:hint="cs"/>
          <w:sz w:val="28"/>
          <w:szCs w:val="28"/>
          <w:rtl/>
        </w:rPr>
        <w:t>.</w:t>
      </w:r>
      <w:r w:rsidR="00BE1C13">
        <w:rPr>
          <w:rFonts w:cs="David" w:hint="cs"/>
          <w:sz w:val="28"/>
          <w:szCs w:val="28"/>
          <w:rtl/>
        </w:rPr>
        <w:t xml:space="preserve"> גם בנקודות המחלוקת בהן </w:t>
      </w:r>
      <w:r w:rsidR="00BD5998">
        <w:rPr>
          <w:rFonts w:cs="David" w:hint="cs"/>
          <w:sz w:val="28"/>
          <w:szCs w:val="28"/>
          <w:rtl/>
        </w:rPr>
        <w:t xml:space="preserve">קובעת </w:t>
      </w:r>
      <w:r w:rsidR="00BE1C13">
        <w:rPr>
          <w:rFonts w:cs="David" w:hint="cs"/>
          <w:sz w:val="28"/>
          <w:szCs w:val="28"/>
          <w:rtl/>
        </w:rPr>
        <w:t>המדינה שמ</w:t>
      </w:r>
      <w:r w:rsidR="00BD5998">
        <w:rPr>
          <w:rFonts w:cs="David" w:hint="cs"/>
          <w:sz w:val="28"/>
          <w:szCs w:val="28"/>
          <w:rtl/>
        </w:rPr>
        <w:t>ת</w:t>
      </w:r>
      <w:r w:rsidR="00BE1C13">
        <w:rPr>
          <w:rFonts w:cs="David" w:hint="cs"/>
          <w:sz w:val="28"/>
          <w:szCs w:val="28"/>
          <w:rtl/>
        </w:rPr>
        <w:t>קיימת הסתה ו'פי</w:t>
      </w:r>
      <w:r w:rsidR="006C76D8">
        <w:rPr>
          <w:rFonts w:cs="David" w:hint="cs"/>
          <w:sz w:val="28"/>
          <w:szCs w:val="28"/>
          <w:rtl/>
        </w:rPr>
        <w:t>י</w:t>
      </w:r>
      <w:r w:rsidR="00BE1C13">
        <w:rPr>
          <w:rFonts w:cs="David" w:hint="cs"/>
          <w:sz w:val="28"/>
          <w:szCs w:val="28"/>
          <w:rtl/>
        </w:rPr>
        <w:t xml:space="preserve">סבוק', למשל, </w:t>
      </w:r>
      <w:r w:rsidR="00BD5998">
        <w:rPr>
          <w:rFonts w:cs="David" w:hint="cs"/>
          <w:sz w:val="28"/>
          <w:szCs w:val="28"/>
          <w:rtl/>
        </w:rPr>
        <w:t>חולקת עליה, עדיין קיימות ח</w:t>
      </w:r>
      <w:r w:rsidR="00BE1C13">
        <w:rPr>
          <w:rFonts w:cs="David" w:hint="cs"/>
          <w:sz w:val="28"/>
          <w:szCs w:val="28"/>
          <w:rtl/>
        </w:rPr>
        <w:t>לופות</w:t>
      </w:r>
      <w:r w:rsidR="006C76D8">
        <w:rPr>
          <w:rFonts w:cs="David" w:hint="cs"/>
          <w:sz w:val="28"/>
          <w:szCs w:val="28"/>
          <w:rtl/>
        </w:rPr>
        <w:t xml:space="preserve"> להסרה טוטאלית של התוכן - </w:t>
      </w:r>
      <w:r w:rsidR="00BE1C13">
        <w:rPr>
          <w:rFonts w:cs="David" w:hint="cs"/>
          <w:sz w:val="28"/>
          <w:szCs w:val="28"/>
          <w:rtl/>
        </w:rPr>
        <w:t xml:space="preserve">השהייה לפרק זמן של המפרסם, </w:t>
      </w:r>
      <w:r w:rsidR="006C76D8">
        <w:rPr>
          <w:rFonts w:cs="David" w:hint="cs"/>
          <w:sz w:val="28"/>
          <w:szCs w:val="28"/>
          <w:rtl/>
        </w:rPr>
        <w:t xml:space="preserve">חסימת גולשים ממקום מסוים, </w:t>
      </w:r>
      <w:r w:rsidR="00BE1C13">
        <w:rPr>
          <w:rFonts w:cs="David" w:hint="cs"/>
          <w:sz w:val="28"/>
          <w:szCs w:val="28"/>
          <w:rtl/>
        </w:rPr>
        <w:t>הסרת מנהל הדף</w:t>
      </w:r>
      <w:r w:rsidR="006C76D8">
        <w:rPr>
          <w:rFonts w:cs="David" w:hint="cs"/>
          <w:sz w:val="28"/>
          <w:szCs w:val="28"/>
          <w:rtl/>
        </w:rPr>
        <w:t xml:space="preserve"> </w:t>
      </w:r>
      <w:r w:rsidR="00BE1C13">
        <w:rPr>
          <w:rFonts w:cs="David" w:hint="cs"/>
          <w:sz w:val="28"/>
          <w:szCs w:val="28"/>
          <w:rtl/>
        </w:rPr>
        <w:t>ועוד.</w:t>
      </w:r>
      <w:r w:rsidR="00046C26">
        <w:rPr>
          <w:rFonts w:cs="David" w:hint="cs"/>
          <w:sz w:val="28"/>
          <w:szCs w:val="28"/>
          <w:rtl/>
        </w:rPr>
        <w:t xml:space="preserve"> </w:t>
      </w:r>
      <w:r w:rsidR="0058133F">
        <w:rPr>
          <w:rFonts w:cs="David" w:hint="cs"/>
          <w:sz w:val="28"/>
          <w:szCs w:val="28"/>
          <w:rtl/>
        </w:rPr>
        <w:t>עם זאת</w:t>
      </w:r>
      <w:r w:rsidR="00C9768F">
        <w:rPr>
          <w:rFonts w:cs="David" w:hint="cs"/>
          <w:sz w:val="28"/>
          <w:szCs w:val="28"/>
          <w:rtl/>
        </w:rPr>
        <w:t>,</w:t>
      </w:r>
      <w:r w:rsidR="0058133F">
        <w:rPr>
          <w:rFonts w:cs="David" w:hint="cs"/>
          <w:sz w:val="28"/>
          <w:szCs w:val="28"/>
          <w:rtl/>
        </w:rPr>
        <w:t xml:space="preserve"> </w:t>
      </w:r>
      <w:r w:rsidR="00046C26">
        <w:rPr>
          <w:rFonts w:cs="David" w:hint="cs"/>
          <w:sz w:val="28"/>
          <w:szCs w:val="28"/>
          <w:rtl/>
        </w:rPr>
        <w:t xml:space="preserve">יש לזכור כי </w:t>
      </w:r>
      <w:r>
        <w:rPr>
          <w:rFonts w:cs="David" w:hint="cs"/>
          <w:sz w:val="28"/>
          <w:szCs w:val="28"/>
          <w:rtl/>
        </w:rPr>
        <w:t>לחברות אלו יש אינטרסים משל</w:t>
      </w:r>
      <w:r w:rsidR="00C9768F">
        <w:rPr>
          <w:rFonts w:cs="David" w:hint="cs"/>
          <w:sz w:val="28"/>
          <w:szCs w:val="28"/>
          <w:rtl/>
        </w:rPr>
        <w:t>ה</w:t>
      </w:r>
      <w:r w:rsidR="001D1105">
        <w:rPr>
          <w:rFonts w:cs="David" w:hint="cs"/>
          <w:sz w:val="28"/>
          <w:szCs w:val="28"/>
          <w:rtl/>
        </w:rPr>
        <w:t>ן</w:t>
      </w:r>
      <w:r w:rsidR="00C9768F">
        <w:rPr>
          <w:rFonts w:cs="David" w:hint="cs"/>
          <w:sz w:val="28"/>
          <w:szCs w:val="28"/>
          <w:rtl/>
        </w:rPr>
        <w:t xml:space="preserve"> וכי </w:t>
      </w:r>
      <w:r w:rsidR="001D1105">
        <w:rPr>
          <w:rFonts w:cs="David" w:hint="cs"/>
          <w:sz w:val="28"/>
          <w:szCs w:val="28"/>
          <w:rtl/>
        </w:rPr>
        <w:t xml:space="preserve">הן </w:t>
      </w:r>
      <w:r w:rsidR="00C9768F">
        <w:rPr>
          <w:rFonts w:cs="David" w:hint="cs"/>
          <w:sz w:val="28"/>
          <w:szCs w:val="28"/>
          <w:rtl/>
        </w:rPr>
        <w:t>אינ</w:t>
      </w:r>
      <w:r w:rsidR="001D1105">
        <w:rPr>
          <w:rFonts w:cs="David" w:hint="cs"/>
          <w:sz w:val="28"/>
          <w:szCs w:val="28"/>
          <w:rtl/>
        </w:rPr>
        <w:t>ן</w:t>
      </w:r>
      <w:r w:rsidR="00C9768F">
        <w:rPr>
          <w:rFonts w:cs="David" w:hint="cs"/>
          <w:sz w:val="28"/>
          <w:szCs w:val="28"/>
          <w:rtl/>
        </w:rPr>
        <w:t xml:space="preserve"> כפופ</w:t>
      </w:r>
      <w:r w:rsidR="001D1105">
        <w:rPr>
          <w:rFonts w:cs="David" w:hint="cs"/>
          <w:sz w:val="28"/>
          <w:szCs w:val="28"/>
          <w:rtl/>
        </w:rPr>
        <w:t>ות</w:t>
      </w:r>
      <w:r w:rsidR="00C9768F">
        <w:rPr>
          <w:rFonts w:cs="David" w:hint="cs"/>
          <w:sz w:val="28"/>
          <w:szCs w:val="28"/>
          <w:rtl/>
        </w:rPr>
        <w:t xml:space="preserve"> לחוק הישראלי</w:t>
      </w:r>
      <w:r w:rsidR="007F7B13">
        <w:rPr>
          <w:rFonts w:cs="David" w:hint="cs"/>
          <w:sz w:val="28"/>
          <w:szCs w:val="28"/>
          <w:rtl/>
        </w:rPr>
        <w:t>,</w:t>
      </w:r>
      <w:r w:rsidR="00C9768F">
        <w:rPr>
          <w:rFonts w:cs="David" w:hint="cs"/>
          <w:sz w:val="28"/>
          <w:szCs w:val="28"/>
          <w:rtl/>
        </w:rPr>
        <w:t xml:space="preserve"> ולכן ייתכנו תכנים שלא יוסרו ולא י</w:t>
      </w:r>
      <w:r w:rsidR="001D1105">
        <w:rPr>
          <w:rFonts w:cs="David" w:hint="cs"/>
          <w:sz w:val="28"/>
          <w:szCs w:val="28"/>
          <w:rtl/>
        </w:rPr>
        <w:t>י</w:t>
      </w:r>
      <w:r w:rsidR="00C9768F">
        <w:rPr>
          <w:rFonts w:cs="David" w:hint="cs"/>
          <w:sz w:val="28"/>
          <w:szCs w:val="28"/>
          <w:rtl/>
        </w:rPr>
        <w:t>נקטו חלופות אחרות בעניינם.</w:t>
      </w:r>
    </w:p>
    <w:p w:rsidR="00BA330D" w:rsidRDefault="00D93640" w:rsidP="003F702C">
      <w:pPr>
        <w:spacing w:line="360" w:lineRule="auto"/>
        <w:jc w:val="both"/>
        <w:rPr>
          <w:rFonts w:cs="David"/>
          <w:sz w:val="28"/>
          <w:szCs w:val="28"/>
          <w:rtl/>
        </w:rPr>
      </w:pPr>
      <w:r w:rsidRPr="00D93640">
        <w:rPr>
          <w:rFonts w:cs="David" w:hint="cs"/>
          <w:b/>
          <w:bCs/>
          <w:sz w:val="28"/>
          <w:szCs w:val="28"/>
          <w:rtl/>
        </w:rPr>
        <w:t>ו</w:t>
      </w:r>
      <w:r w:rsidR="00BA330D" w:rsidRPr="000407DC">
        <w:rPr>
          <w:rFonts w:cs="David" w:hint="cs"/>
          <w:b/>
          <w:bCs/>
          <w:sz w:val="28"/>
          <w:szCs w:val="28"/>
          <w:rtl/>
        </w:rPr>
        <w:t>מה בדבר</w:t>
      </w:r>
      <w:r w:rsidR="003A0DD2" w:rsidRPr="000407DC">
        <w:rPr>
          <w:rFonts w:cs="David" w:hint="cs"/>
          <w:b/>
          <w:bCs/>
          <w:sz w:val="28"/>
          <w:szCs w:val="28"/>
          <w:rtl/>
        </w:rPr>
        <w:t xml:space="preserve"> הפעלת כלי 'האכיפה האלטרנטיבית' כנגד </w:t>
      </w:r>
      <w:r w:rsidR="005B6639">
        <w:rPr>
          <w:rFonts w:cs="David" w:hint="cs"/>
          <w:b/>
          <w:bCs/>
          <w:sz w:val="28"/>
          <w:szCs w:val="28"/>
          <w:rtl/>
        </w:rPr>
        <w:t xml:space="preserve">פרסומי </w:t>
      </w:r>
      <w:r w:rsidR="003A0DD2" w:rsidRPr="000407DC">
        <w:rPr>
          <w:rFonts w:cs="David" w:hint="cs"/>
          <w:b/>
          <w:bCs/>
          <w:sz w:val="28"/>
          <w:szCs w:val="28"/>
          <w:rtl/>
        </w:rPr>
        <w:t xml:space="preserve">ביטויים גזעניים </w:t>
      </w:r>
      <w:r w:rsidR="005B6639">
        <w:rPr>
          <w:rFonts w:cs="David" w:hint="cs"/>
          <w:b/>
          <w:bCs/>
          <w:sz w:val="28"/>
          <w:szCs w:val="28"/>
          <w:rtl/>
        </w:rPr>
        <w:t xml:space="preserve">ומסיתים </w:t>
      </w:r>
      <w:r w:rsidR="003A0DD2" w:rsidRPr="000407DC">
        <w:rPr>
          <w:rFonts w:cs="David" w:hint="cs"/>
          <w:b/>
          <w:bCs/>
          <w:sz w:val="28"/>
          <w:szCs w:val="28"/>
          <w:rtl/>
        </w:rPr>
        <w:t>של יהודים כנגד ערבים ברשתות החברתיות?</w:t>
      </w:r>
      <w:r w:rsidR="003A0DD2">
        <w:rPr>
          <w:rFonts w:cs="David" w:hint="cs"/>
          <w:sz w:val="28"/>
          <w:szCs w:val="28"/>
          <w:rtl/>
        </w:rPr>
        <w:t xml:space="preserve"> לדברי ויסמונסקי</w:t>
      </w:r>
      <w:r w:rsidR="00B90196">
        <w:rPr>
          <w:rFonts w:cs="David" w:hint="cs"/>
          <w:sz w:val="28"/>
          <w:szCs w:val="28"/>
          <w:rtl/>
        </w:rPr>
        <w:t xml:space="preserve">, </w:t>
      </w:r>
      <w:r w:rsidR="00B90196" w:rsidRPr="00F50252">
        <w:rPr>
          <w:rFonts w:cs="David" w:hint="cs"/>
          <w:b/>
          <w:bCs/>
          <w:sz w:val="28"/>
          <w:szCs w:val="28"/>
          <w:rtl/>
        </w:rPr>
        <w:t>גזענות לא הוגדרה כמשימה</w:t>
      </w:r>
      <w:r w:rsidR="00B90196">
        <w:rPr>
          <w:rFonts w:cs="David" w:hint="cs"/>
          <w:sz w:val="28"/>
          <w:szCs w:val="28"/>
          <w:rtl/>
        </w:rPr>
        <w:t xml:space="preserve"> למחלקת הסייבר, למרות שקיימת אפשרות לכך. כמו כן, מאחר שמדובר בכלי 'אכיפה אלטרנטיבית', </w:t>
      </w:r>
      <w:r w:rsidR="00753A49">
        <w:rPr>
          <w:rFonts w:cs="David" w:hint="cs"/>
          <w:sz w:val="28"/>
          <w:szCs w:val="28"/>
          <w:rtl/>
        </w:rPr>
        <w:t xml:space="preserve">כהגדרתו לעיל, </w:t>
      </w:r>
      <w:r w:rsidR="005B6639">
        <w:rPr>
          <w:rFonts w:cs="David" w:hint="cs"/>
          <w:sz w:val="28"/>
          <w:szCs w:val="28"/>
          <w:rtl/>
        </w:rPr>
        <w:t>ה</w:t>
      </w:r>
      <w:r w:rsidR="00B90196">
        <w:rPr>
          <w:rFonts w:cs="David" w:hint="cs"/>
          <w:sz w:val="28"/>
          <w:szCs w:val="28"/>
          <w:rtl/>
        </w:rPr>
        <w:t xml:space="preserve">בא לידי ביטוי </w:t>
      </w:r>
      <w:r w:rsidR="00F87FD8">
        <w:rPr>
          <w:rFonts w:cs="David" w:hint="cs"/>
          <w:sz w:val="28"/>
          <w:szCs w:val="28"/>
          <w:rtl/>
        </w:rPr>
        <w:t xml:space="preserve">רק </w:t>
      </w:r>
      <w:r w:rsidR="008444AA">
        <w:rPr>
          <w:rFonts w:cs="David" w:hint="cs"/>
          <w:sz w:val="28"/>
          <w:szCs w:val="28"/>
          <w:rtl/>
        </w:rPr>
        <w:t>כ</w:t>
      </w:r>
      <w:r w:rsidR="00B90196">
        <w:rPr>
          <w:rFonts w:cs="David" w:hint="cs"/>
          <w:sz w:val="28"/>
          <w:szCs w:val="28"/>
          <w:rtl/>
        </w:rPr>
        <w:t xml:space="preserve">שלא ניתן להפעיל את האפיק הפלילי 'הקלאסי', הרי שמול </w:t>
      </w:r>
      <w:r w:rsidR="00F87FD8">
        <w:rPr>
          <w:rFonts w:cs="David" w:hint="cs"/>
          <w:sz w:val="28"/>
          <w:szCs w:val="28"/>
          <w:rtl/>
        </w:rPr>
        <w:t xml:space="preserve">פרסומים המבוצעים על ידי </w:t>
      </w:r>
      <w:r w:rsidR="00B90196">
        <w:rPr>
          <w:rFonts w:cs="David" w:hint="cs"/>
          <w:sz w:val="28"/>
          <w:szCs w:val="28"/>
          <w:rtl/>
        </w:rPr>
        <w:t xml:space="preserve">יהודים </w:t>
      </w:r>
      <w:r w:rsidR="00F87FD8">
        <w:rPr>
          <w:rFonts w:cs="David" w:hint="cs"/>
          <w:sz w:val="28"/>
          <w:szCs w:val="28"/>
          <w:rtl/>
        </w:rPr>
        <w:t xml:space="preserve">הפעלת כלי זה </w:t>
      </w:r>
      <w:r w:rsidR="00B90196" w:rsidRPr="00F50252">
        <w:rPr>
          <w:rFonts w:cs="David" w:hint="cs"/>
          <w:b/>
          <w:bCs/>
          <w:sz w:val="28"/>
          <w:szCs w:val="28"/>
          <w:rtl/>
        </w:rPr>
        <w:t>כמעט ו</w:t>
      </w:r>
      <w:r w:rsidR="009D1BE0" w:rsidRPr="00F50252">
        <w:rPr>
          <w:rFonts w:cs="David" w:hint="cs"/>
          <w:b/>
          <w:bCs/>
          <w:sz w:val="28"/>
          <w:szCs w:val="28"/>
          <w:rtl/>
        </w:rPr>
        <w:t>לא מתאפשרת</w:t>
      </w:r>
      <w:r w:rsidR="009D1BE0">
        <w:rPr>
          <w:rFonts w:cs="David" w:hint="cs"/>
          <w:sz w:val="28"/>
          <w:szCs w:val="28"/>
          <w:rtl/>
        </w:rPr>
        <w:t>, אלא רק במקרים  של הסתה</w:t>
      </w:r>
      <w:r w:rsidR="00504941">
        <w:rPr>
          <w:rFonts w:cs="David" w:hint="cs"/>
          <w:sz w:val="28"/>
          <w:szCs w:val="28"/>
          <w:rtl/>
        </w:rPr>
        <w:t xml:space="preserve"> קיצונית</w:t>
      </w:r>
      <w:r w:rsidR="00F50252">
        <w:rPr>
          <w:rFonts w:cs="David" w:hint="cs"/>
          <w:sz w:val="28"/>
          <w:szCs w:val="28"/>
          <w:rtl/>
        </w:rPr>
        <w:t xml:space="preserve">. </w:t>
      </w:r>
      <w:r w:rsidR="00F50252" w:rsidRPr="00F50252">
        <w:rPr>
          <w:rFonts w:cs="David" w:hint="cs"/>
          <w:b/>
          <w:bCs/>
          <w:sz w:val="28"/>
          <w:szCs w:val="28"/>
          <w:rtl/>
        </w:rPr>
        <w:t>בכל הנו</w:t>
      </w:r>
      <w:r w:rsidR="008444AA">
        <w:rPr>
          <w:rFonts w:cs="David" w:hint="cs"/>
          <w:b/>
          <w:bCs/>
          <w:sz w:val="28"/>
          <w:szCs w:val="28"/>
          <w:rtl/>
        </w:rPr>
        <w:t>ג</w:t>
      </w:r>
      <w:r w:rsidR="00F50252" w:rsidRPr="00F50252">
        <w:rPr>
          <w:rFonts w:cs="David" w:hint="cs"/>
          <w:b/>
          <w:bCs/>
          <w:sz w:val="28"/>
          <w:szCs w:val="28"/>
          <w:rtl/>
        </w:rPr>
        <w:t>ע למגזר היהודי</w:t>
      </w:r>
      <w:r w:rsidR="008444AA">
        <w:rPr>
          <w:rFonts w:cs="David" w:hint="cs"/>
          <w:b/>
          <w:bCs/>
          <w:sz w:val="28"/>
          <w:szCs w:val="28"/>
          <w:rtl/>
        </w:rPr>
        <w:t>,</w:t>
      </w:r>
      <w:r w:rsidR="00F50252" w:rsidRPr="00F50252">
        <w:rPr>
          <w:rFonts w:cs="David" w:hint="cs"/>
          <w:b/>
          <w:bCs/>
          <w:sz w:val="28"/>
          <w:szCs w:val="28"/>
          <w:rtl/>
        </w:rPr>
        <w:t xml:space="preserve"> המסית לאלימות, </w:t>
      </w:r>
      <w:r w:rsidR="00D80F01">
        <w:rPr>
          <w:rFonts w:cs="David" w:hint="cs"/>
          <w:b/>
          <w:bCs/>
          <w:sz w:val="28"/>
          <w:szCs w:val="28"/>
          <w:rtl/>
        </w:rPr>
        <w:t xml:space="preserve">על פי </w:t>
      </w:r>
      <w:r w:rsidR="002676AD" w:rsidRPr="00F50252">
        <w:rPr>
          <w:rFonts w:cs="David" w:hint="cs"/>
          <w:b/>
          <w:bCs/>
          <w:sz w:val="28"/>
          <w:szCs w:val="28"/>
          <w:rtl/>
        </w:rPr>
        <w:t xml:space="preserve">רוב </w:t>
      </w:r>
      <w:r w:rsidR="00D80F01">
        <w:rPr>
          <w:rFonts w:cs="David" w:hint="cs"/>
          <w:b/>
          <w:bCs/>
          <w:sz w:val="28"/>
          <w:szCs w:val="28"/>
          <w:rtl/>
        </w:rPr>
        <w:t xml:space="preserve">יתבצע </w:t>
      </w:r>
      <w:r w:rsidR="002676AD" w:rsidRPr="00F50252">
        <w:rPr>
          <w:rFonts w:cs="David" w:hint="cs"/>
          <w:b/>
          <w:bCs/>
          <w:sz w:val="28"/>
          <w:szCs w:val="28"/>
          <w:rtl/>
        </w:rPr>
        <w:t xml:space="preserve">הטיפול </w:t>
      </w:r>
      <w:r w:rsidR="00F87FD8" w:rsidRPr="00F50252">
        <w:rPr>
          <w:rFonts w:cs="David" w:hint="cs"/>
          <w:b/>
          <w:bCs/>
          <w:sz w:val="28"/>
          <w:szCs w:val="28"/>
          <w:rtl/>
        </w:rPr>
        <w:t>מול המפרסמים</w:t>
      </w:r>
      <w:r w:rsidR="00C65A09" w:rsidRPr="00F50252">
        <w:rPr>
          <w:rFonts w:cs="David" w:hint="cs"/>
          <w:b/>
          <w:bCs/>
          <w:sz w:val="28"/>
          <w:szCs w:val="28"/>
          <w:rtl/>
        </w:rPr>
        <w:t xml:space="preserve"> עצמם</w:t>
      </w:r>
      <w:r w:rsidR="00F87FD8" w:rsidRPr="00F50252">
        <w:rPr>
          <w:rFonts w:cs="David" w:hint="cs"/>
          <w:b/>
          <w:bCs/>
          <w:sz w:val="28"/>
          <w:szCs w:val="28"/>
          <w:rtl/>
        </w:rPr>
        <w:t xml:space="preserve">, בהתאם למדיניות התביעה עליה </w:t>
      </w:r>
      <w:r w:rsidR="00C65A09" w:rsidRPr="00F50252">
        <w:rPr>
          <w:rFonts w:cs="David" w:hint="cs"/>
          <w:b/>
          <w:bCs/>
          <w:sz w:val="28"/>
          <w:szCs w:val="28"/>
          <w:rtl/>
        </w:rPr>
        <w:t>הורחב לעיל,</w:t>
      </w:r>
      <w:r w:rsidR="002676AD" w:rsidRPr="00F50252">
        <w:rPr>
          <w:rStyle w:val="a5"/>
          <w:rFonts w:cs="David"/>
          <w:b/>
          <w:bCs/>
          <w:sz w:val="28"/>
          <w:szCs w:val="28"/>
          <w:rtl/>
        </w:rPr>
        <w:footnoteReference w:id="242"/>
      </w:r>
      <w:r w:rsidR="009D1BE0" w:rsidRPr="00F50252">
        <w:rPr>
          <w:rFonts w:cs="David" w:hint="cs"/>
          <w:b/>
          <w:bCs/>
          <w:sz w:val="28"/>
          <w:szCs w:val="28"/>
          <w:rtl/>
        </w:rPr>
        <w:t xml:space="preserve"> </w:t>
      </w:r>
      <w:r w:rsidR="00C65A09" w:rsidRPr="00F50252">
        <w:rPr>
          <w:rFonts w:cs="David" w:hint="cs"/>
          <w:b/>
          <w:bCs/>
          <w:sz w:val="28"/>
          <w:szCs w:val="28"/>
          <w:rtl/>
        </w:rPr>
        <w:t>ולא מול פרסומיהם</w:t>
      </w:r>
      <w:r w:rsidR="00C65A09">
        <w:rPr>
          <w:rFonts w:cs="David" w:hint="cs"/>
          <w:sz w:val="28"/>
          <w:szCs w:val="28"/>
          <w:rtl/>
        </w:rPr>
        <w:t xml:space="preserve">. </w:t>
      </w:r>
      <w:r w:rsidR="009D1BE0">
        <w:rPr>
          <w:rFonts w:cs="David" w:hint="cs"/>
          <w:sz w:val="28"/>
          <w:szCs w:val="28"/>
          <w:rtl/>
        </w:rPr>
        <w:t>כמובן, שיכולה להתקבל גם החלטה אחרת</w:t>
      </w:r>
      <w:r w:rsidR="00D80F01">
        <w:rPr>
          <w:rFonts w:cs="David" w:hint="cs"/>
          <w:sz w:val="28"/>
          <w:szCs w:val="28"/>
          <w:rtl/>
        </w:rPr>
        <w:t>,</w:t>
      </w:r>
      <w:r w:rsidR="009D1BE0">
        <w:rPr>
          <w:rFonts w:cs="David" w:hint="cs"/>
          <w:sz w:val="28"/>
          <w:szCs w:val="28"/>
          <w:rtl/>
        </w:rPr>
        <w:t xml:space="preserve"> המאפשרת להפעיל את הכלי </w:t>
      </w:r>
      <w:r w:rsidR="00C65A09">
        <w:rPr>
          <w:rFonts w:cs="David" w:hint="cs"/>
          <w:sz w:val="28"/>
          <w:szCs w:val="28"/>
          <w:rtl/>
        </w:rPr>
        <w:t xml:space="preserve">גם </w:t>
      </w:r>
      <w:r w:rsidR="00AC21D5">
        <w:rPr>
          <w:rFonts w:cs="David" w:hint="cs"/>
          <w:sz w:val="28"/>
          <w:szCs w:val="28"/>
          <w:rtl/>
        </w:rPr>
        <w:t xml:space="preserve">כנגד פרסומים </w:t>
      </w:r>
      <w:r w:rsidR="009D1BE0">
        <w:rPr>
          <w:rFonts w:cs="David" w:hint="cs"/>
          <w:sz w:val="28"/>
          <w:szCs w:val="28"/>
          <w:rtl/>
        </w:rPr>
        <w:t>במקרים 'הרכים/האפורים'</w:t>
      </w:r>
      <w:r w:rsidR="00AC21D5">
        <w:rPr>
          <w:rFonts w:cs="David" w:hint="cs"/>
          <w:sz w:val="28"/>
          <w:szCs w:val="28"/>
          <w:rtl/>
        </w:rPr>
        <w:t xml:space="preserve"> של </w:t>
      </w:r>
      <w:r w:rsidR="00D80F01">
        <w:rPr>
          <w:rFonts w:cs="David" w:hint="cs"/>
          <w:sz w:val="28"/>
          <w:szCs w:val="28"/>
          <w:rtl/>
        </w:rPr>
        <w:t>ה</w:t>
      </w:r>
      <w:r w:rsidR="00AC21D5">
        <w:rPr>
          <w:rFonts w:cs="David" w:hint="cs"/>
          <w:sz w:val="28"/>
          <w:szCs w:val="28"/>
          <w:rtl/>
        </w:rPr>
        <w:t>שיח הגזעני ו</w:t>
      </w:r>
      <w:r w:rsidR="00D80F01">
        <w:rPr>
          <w:rFonts w:cs="David" w:hint="cs"/>
          <w:sz w:val="28"/>
          <w:szCs w:val="28"/>
          <w:rtl/>
        </w:rPr>
        <w:t>ה</w:t>
      </w:r>
      <w:r w:rsidR="00AC21D5">
        <w:rPr>
          <w:rFonts w:cs="David" w:hint="cs"/>
          <w:sz w:val="28"/>
          <w:szCs w:val="28"/>
          <w:rtl/>
        </w:rPr>
        <w:t>מסית לאלימות</w:t>
      </w:r>
      <w:r w:rsidR="00D80F01">
        <w:rPr>
          <w:rFonts w:cs="David" w:hint="cs"/>
          <w:sz w:val="28"/>
          <w:szCs w:val="28"/>
          <w:rtl/>
        </w:rPr>
        <w:t xml:space="preserve"> (</w:t>
      </w:r>
      <w:r w:rsidR="009D1BE0">
        <w:rPr>
          <w:rFonts w:cs="David" w:hint="cs"/>
          <w:sz w:val="28"/>
          <w:szCs w:val="28"/>
          <w:rtl/>
        </w:rPr>
        <w:t>לכך תתייחס העבודה בהמשך בפרק ההמלצות</w:t>
      </w:r>
      <w:r w:rsidR="00D80F01">
        <w:rPr>
          <w:rFonts w:cs="David" w:hint="cs"/>
          <w:sz w:val="28"/>
          <w:szCs w:val="28"/>
          <w:rtl/>
        </w:rPr>
        <w:t>)</w:t>
      </w:r>
      <w:r w:rsidR="009D1BE0">
        <w:rPr>
          <w:rFonts w:cs="David" w:hint="cs"/>
          <w:sz w:val="28"/>
          <w:szCs w:val="28"/>
          <w:rtl/>
        </w:rPr>
        <w:t>.</w:t>
      </w:r>
      <w:r w:rsidR="00B90196">
        <w:rPr>
          <w:rFonts w:cs="David" w:hint="cs"/>
          <w:sz w:val="28"/>
          <w:szCs w:val="28"/>
          <w:rtl/>
        </w:rPr>
        <w:t xml:space="preserve"> </w:t>
      </w:r>
    </w:p>
    <w:p w:rsidR="00B4188E" w:rsidRDefault="00EE6BCB" w:rsidP="003F702C">
      <w:pPr>
        <w:spacing w:line="360" w:lineRule="auto"/>
        <w:jc w:val="both"/>
        <w:rPr>
          <w:rFonts w:cs="David"/>
          <w:sz w:val="28"/>
          <w:szCs w:val="28"/>
          <w:rtl/>
        </w:rPr>
      </w:pPr>
      <w:r>
        <w:rPr>
          <w:rFonts w:cs="David" w:hint="cs"/>
          <w:sz w:val="28"/>
          <w:szCs w:val="28"/>
          <w:rtl/>
        </w:rPr>
        <w:t>לסיכום</w:t>
      </w:r>
      <w:r w:rsidR="002568E1">
        <w:rPr>
          <w:rFonts w:cs="David" w:hint="cs"/>
          <w:sz w:val="28"/>
          <w:szCs w:val="28"/>
          <w:rtl/>
        </w:rPr>
        <w:t>,</w:t>
      </w:r>
      <w:r>
        <w:rPr>
          <w:rFonts w:cs="David" w:hint="cs"/>
          <w:sz w:val="28"/>
          <w:szCs w:val="28"/>
          <w:rtl/>
        </w:rPr>
        <w:t xml:space="preserve"> ייאמר כי ה</w:t>
      </w:r>
      <w:r w:rsidR="00B4188E">
        <w:rPr>
          <w:rFonts w:cs="David" w:hint="cs"/>
          <w:sz w:val="28"/>
          <w:szCs w:val="28"/>
          <w:rtl/>
        </w:rPr>
        <w:t xml:space="preserve">ערוץ הישיר </w:t>
      </w:r>
      <w:r w:rsidR="00B4188E" w:rsidRPr="00387BE9">
        <w:rPr>
          <w:rFonts w:cs="David" w:hint="cs"/>
          <w:sz w:val="28"/>
          <w:szCs w:val="28"/>
          <w:rtl/>
        </w:rPr>
        <w:t xml:space="preserve">הינו </w:t>
      </w:r>
      <w:r>
        <w:rPr>
          <w:rFonts w:cs="David" w:hint="cs"/>
          <w:sz w:val="28"/>
          <w:szCs w:val="28"/>
          <w:rtl/>
        </w:rPr>
        <w:t xml:space="preserve">כלי </w:t>
      </w:r>
      <w:r w:rsidR="00B4188E" w:rsidRPr="00387BE9">
        <w:rPr>
          <w:rFonts w:cs="David" w:hint="cs"/>
          <w:sz w:val="28"/>
          <w:szCs w:val="28"/>
          <w:rtl/>
        </w:rPr>
        <w:t>אפקטיבי</w:t>
      </w:r>
      <w:r w:rsidR="00B4188E">
        <w:rPr>
          <w:rFonts w:cs="David" w:hint="cs"/>
          <w:sz w:val="28"/>
          <w:szCs w:val="28"/>
          <w:rtl/>
        </w:rPr>
        <w:t xml:space="preserve"> (במידה)</w:t>
      </w:r>
      <w:r w:rsidR="00B4188E" w:rsidRPr="00387BE9">
        <w:rPr>
          <w:rFonts w:cs="David" w:hint="cs"/>
          <w:sz w:val="28"/>
          <w:szCs w:val="28"/>
          <w:rtl/>
        </w:rPr>
        <w:t xml:space="preserve">, אך </w:t>
      </w:r>
      <w:r w:rsidR="00B4188E" w:rsidRPr="00F946C1">
        <w:rPr>
          <w:rFonts w:cs="David" w:hint="cs"/>
          <w:b/>
          <w:bCs/>
          <w:sz w:val="28"/>
          <w:szCs w:val="28"/>
          <w:rtl/>
        </w:rPr>
        <w:t>בשל המדיניות הקיימת</w:t>
      </w:r>
      <w:r>
        <w:rPr>
          <w:rFonts w:cs="David" w:hint="cs"/>
          <w:sz w:val="28"/>
          <w:szCs w:val="28"/>
          <w:rtl/>
        </w:rPr>
        <w:t xml:space="preserve"> </w:t>
      </w:r>
      <w:r w:rsidR="00B4188E" w:rsidRPr="00B84B86">
        <w:rPr>
          <w:rFonts w:cs="David" w:hint="cs"/>
          <w:b/>
          <w:bCs/>
          <w:sz w:val="28"/>
          <w:szCs w:val="28"/>
          <w:rtl/>
        </w:rPr>
        <w:t xml:space="preserve">ערוץ זה הינו רלוונטי בעיקר מול מקרי </w:t>
      </w:r>
      <w:r w:rsidR="002568E1">
        <w:rPr>
          <w:rFonts w:cs="David" w:hint="cs"/>
          <w:b/>
          <w:bCs/>
          <w:sz w:val="28"/>
          <w:szCs w:val="28"/>
          <w:rtl/>
        </w:rPr>
        <w:t>ה</w:t>
      </w:r>
      <w:r w:rsidR="00B4188E" w:rsidRPr="00B84B86">
        <w:rPr>
          <w:rFonts w:cs="David" w:hint="cs"/>
          <w:b/>
          <w:bCs/>
          <w:sz w:val="28"/>
          <w:szCs w:val="28"/>
          <w:rtl/>
        </w:rPr>
        <w:t>הסתה לאלימות ולטרור מהמגזר הערבי</w:t>
      </w:r>
      <w:r w:rsidR="00B4188E">
        <w:rPr>
          <w:rFonts w:cs="David" w:hint="cs"/>
          <w:b/>
          <w:bCs/>
          <w:sz w:val="28"/>
          <w:szCs w:val="28"/>
          <w:rtl/>
        </w:rPr>
        <w:t xml:space="preserve">, להבדיל </w:t>
      </w:r>
      <w:r w:rsidR="00B4188E" w:rsidRPr="00B84B86">
        <w:rPr>
          <w:rFonts w:cs="David" w:hint="cs"/>
          <w:b/>
          <w:bCs/>
          <w:sz w:val="28"/>
          <w:szCs w:val="28"/>
          <w:rtl/>
        </w:rPr>
        <w:t xml:space="preserve"> </w:t>
      </w:r>
      <w:r w:rsidR="00B4188E">
        <w:rPr>
          <w:rFonts w:cs="David" w:hint="cs"/>
          <w:b/>
          <w:bCs/>
          <w:sz w:val="28"/>
          <w:szCs w:val="28"/>
          <w:rtl/>
        </w:rPr>
        <w:t>מזה היהודי ו</w:t>
      </w:r>
      <w:r w:rsidR="006840AD">
        <w:rPr>
          <w:rFonts w:cs="David" w:hint="cs"/>
          <w:b/>
          <w:bCs/>
          <w:sz w:val="28"/>
          <w:szCs w:val="28"/>
          <w:rtl/>
        </w:rPr>
        <w:t xml:space="preserve">כמעט </w:t>
      </w:r>
      <w:r w:rsidR="00B4188E">
        <w:rPr>
          <w:rFonts w:cs="David" w:hint="cs"/>
          <w:b/>
          <w:bCs/>
          <w:sz w:val="28"/>
          <w:szCs w:val="28"/>
          <w:rtl/>
        </w:rPr>
        <w:t>אינו רלוונטי אל מול הסתה לגזענות של יהודים כנגד ערבים.</w:t>
      </w:r>
    </w:p>
    <w:p w:rsidR="00A85D07" w:rsidRDefault="00A85D07" w:rsidP="00755380">
      <w:pPr>
        <w:spacing w:line="360" w:lineRule="auto"/>
        <w:jc w:val="both"/>
        <w:rPr>
          <w:rFonts w:cs="David"/>
          <w:sz w:val="28"/>
          <w:szCs w:val="28"/>
          <w:rtl/>
        </w:rPr>
      </w:pPr>
      <w:r>
        <w:rPr>
          <w:rFonts w:cs="David" w:hint="cs"/>
          <w:sz w:val="28"/>
          <w:szCs w:val="28"/>
          <w:rtl/>
        </w:rPr>
        <w:lastRenderedPageBreak/>
        <w:t xml:space="preserve">הערוץ השני, הינו </w:t>
      </w:r>
      <w:r w:rsidRPr="00D27BE3">
        <w:rPr>
          <w:rFonts w:cs="David" w:hint="cs"/>
          <w:b/>
          <w:bCs/>
          <w:sz w:val="28"/>
          <w:szCs w:val="28"/>
          <w:rtl/>
        </w:rPr>
        <w:t>הערוץ החקיקתי</w:t>
      </w:r>
      <w:r w:rsidR="00C34E9F">
        <w:rPr>
          <w:rFonts w:cs="David" w:hint="cs"/>
          <w:sz w:val="28"/>
          <w:szCs w:val="28"/>
          <w:rtl/>
        </w:rPr>
        <w:t>.</w:t>
      </w:r>
      <w:r>
        <w:rPr>
          <w:rFonts w:cs="David" w:hint="cs"/>
          <w:sz w:val="28"/>
          <w:szCs w:val="28"/>
          <w:rtl/>
        </w:rPr>
        <w:t xml:space="preserve"> בימים אלו שוקדים במשרד המשפטים, במשרד לביטחון פנים ובמשטרה על ניסוח </w:t>
      </w:r>
      <w:r w:rsidRPr="0009039F">
        <w:rPr>
          <w:rFonts w:cs="David" w:hint="cs"/>
          <w:b/>
          <w:bCs/>
          <w:sz w:val="28"/>
          <w:szCs w:val="28"/>
          <w:rtl/>
        </w:rPr>
        <w:t>חוק הסרת תוכן המהווה עבירה מהמרשתת</w:t>
      </w:r>
      <w:r>
        <w:rPr>
          <w:rFonts w:cs="David" w:hint="cs"/>
          <w:sz w:val="28"/>
          <w:szCs w:val="28"/>
          <w:rtl/>
        </w:rPr>
        <w:t>. בטיוטת ההצעה נכתב כי:</w:t>
      </w:r>
      <w:r>
        <w:rPr>
          <w:rStyle w:val="a5"/>
          <w:rFonts w:cs="David"/>
          <w:sz w:val="28"/>
          <w:szCs w:val="28"/>
          <w:rtl/>
        </w:rPr>
        <w:footnoteReference w:id="243"/>
      </w:r>
    </w:p>
    <w:p w:rsidR="00A85D07" w:rsidRDefault="00A85D07" w:rsidP="00A85D07">
      <w:pPr>
        <w:spacing w:line="360" w:lineRule="auto"/>
        <w:ind w:left="720"/>
        <w:jc w:val="both"/>
        <w:rPr>
          <w:rFonts w:cs="David"/>
          <w:sz w:val="24"/>
          <w:szCs w:val="24"/>
          <w:rtl/>
        </w:rPr>
      </w:pPr>
      <w:r w:rsidRPr="00461F3C">
        <w:rPr>
          <w:rFonts w:cs="David" w:hint="cs"/>
          <w:sz w:val="24"/>
          <w:szCs w:val="24"/>
          <w:rtl/>
        </w:rPr>
        <w:t>מטרת החוק היא לייעל את ההתמודדות עם פרסום תכנים המהווים עבירה ושיש בהם סיכון ממשי לביטחונו של אדם, לביט</w:t>
      </w:r>
      <w:r w:rsidR="00F956D9">
        <w:rPr>
          <w:rFonts w:cs="David" w:hint="cs"/>
          <w:sz w:val="24"/>
          <w:szCs w:val="24"/>
          <w:rtl/>
        </w:rPr>
        <w:t>ח</w:t>
      </w:r>
      <w:r w:rsidRPr="00461F3C">
        <w:rPr>
          <w:rFonts w:cs="David" w:hint="cs"/>
          <w:sz w:val="24"/>
          <w:szCs w:val="24"/>
          <w:rtl/>
        </w:rPr>
        <w:t>ון הציבור או לביטחון המדינה, באמצעות המשך פרסומ</w:t>
      </w:r>
      <w:r>
        <w:rPr>
          <w:rFonts w:cs="David" w:hint="cs"/>
          <w:sz w:val="24"/>
          <w:szCs w:val="24"/>
          <w:rtl/>
        </w:rPr>
        <w:t>ת</w:t>
      </w:r>
      <w:r w:rsidRPr="00461F3C">
        <w:rPr>
          <w:rFonts w:cs="David" w:hint="cs"/>
          <w:sz w:val="24"/>
          <w:szCs w:val="24"/>
          <w:rtl/>
        </w:rPr>
        <w:t xml:space="preserve"> של תכנים אלה או צמצום מרבי של החשיפה אליהם. במסגרת הצעת החוק מוצע להסמיך את בית המשפט לעניינים מנהליים ליתן צו להסרת תוכן מהמרשתת בהתקיים שני תנאים מצטברים. האחד, שפרסום התוכן מהווה מעשה שהוא עבירה פלילית; השני, שהמשך הפרסום מהווה סיכון ממשי לביטחונו של אדם, לביטחון הציבור או לביטחון המדינה.</w:t>
      </w:r>
    </w:p>
    <w:p w:rsidR="00A85D07" w:rsidRDefault="00A85D07" w:rsidP="00735D13">
      <w:pPr>
        <w:spacing w:line="360" w:lineRule="auto"/>
        <w:jc w:val="both"/>
        <w:rPr>
          <w:rFonts w:cs="David"/>
          <w:sz w:val="28"/>
          <w:szCs w:val="28"/>
        </w:rPr>
      </w:pPr>
      <w:r>
        <w:rPr>
          <w:rFonts w:cs="David" w:hint="cs"/>
          <w:sz w:val="28"/>
          <w:szCs w:val="28"/>
          <w:rtl/>
        </w:rPr>
        <w:t>ביקורת על הדרך</w:t>
      </w:r>
      <w:r w:rsidR="00735D13">
        <w:rPr>
          <w:rFonts w:cs="David" w:hint="cs"/>
          <w:sz w:val="28"/>
          <w:szCs w:val="28"/>
          <w:rtl/>
        </w:rPr>
        <w:t>,</w:t>
      </w:r>
      <w:r>
        <w:rPr>
          <w:rFonts w:cs="David" w:hint="cs"/>
          <w:sz w:val="28"/>
          <w:szCs w:val="28"/>
          <w:rtl/>
        </w:rPr>
        <w:t xml:space="preserve"> המשתקפת מנוסח החוק המתגבש, ניתן למצוא במכתב, שהפנתה תהילה שוורץ-אלטשולר לשרת המשפטים, לשר לביטחון פנים ולוועדת השרים לחקיקה בדצמבר 2016.</w:t>
      </w:r>
      <w:r>
        <w:rPr>
          <w:rStyle w:val="a5"/>
          <w:rFonts w:cs="David"/>
          <w:sz w:val="28"/>
          <w:szCs w:val="28"/>
          <w:rtl/>
        </w:rPr>
        <w:footnoteReference w:id="244"/>
      </w:r>
      <w:r>
        <w:rPr>
          <w:rFonts w:cs="David" w:hint="cs"/>
          <w:sz w:val="28"/>
          <w:szCs w:val="28"/>
          <w:rtl/>
        </w:rPr>
        <w:t xml:space="preserve"> שוורץ-אלטשולר כותבת כי אף שתכלית תזכיר החוק הינה ראויה</w:t>
      </w:r>
      <w:r w:rsidR="00735D13">
        <w:rPr>
          <w:rFonts w:cs="David" w:hint="cs"/>
          <w:sz w:val="28"/>
          <w:szCs w:val="28"/>
          <w:rtl/>
        </w:rPr>
        <w:t xml:space="preserve"> </w:t>
      </w:r>
      <w:r>
        <w:rPr>
          <w:rFonts w:cs="David" w:hint="cs"/>
          <w:sz w:val="28"/>
          <w:szCs w:val="28"/>
          <w:rtl/>
        </w:rPr>
        <w:t>והצורך להתמודד עם תוכן פוגעני ברשתות החברתיות</w:t>
      </w:r>
      <w:r w:rsidR="00735D13">
        <w:rPr>
          <w:rFonts w:cs="David" w:hint="cs"/>
          <w:sz w:val="28"/>
          <w:szCs w:val="28"/>
          <w:rtl/>
        </w:rPr>
        <w:t>,</w:t>
      </w:r>
      <w:r>
        <w:rPr>
          <w:rFonts w:cs="David" w:hint="cs"/>
          <w:sz w:val="28"/>
          <w:szCs w:val="28"/>
          <w:rtl/>
        </w:rPr>
        <w:t xml:space="preserve"> בשל מאפייני</w:t>
      </w:r>
      <w:r w:rsidR="00735D13">
        <w:rPr>
          <w:rFonts w:cs="David" w:hint="cs"/>
          <w:sz w:val="28"/>
          <w:szCs w:val="28"/>
          <w:rtl/>
        </w:rPr>
        <w:t>הן</w:t>
      </w:r>
      <w:r>
        <w:rPr>
          <w:rFonts w:cs="David" w:hint="cs"/>
          <w:sz w:val="28"/>
          <w:szCs w:val="28"/>
          <w:rtl/>
        </w:rPr>
        <w:t xml:space="preserve"> הייחודיים </w:t>
      </w:r>
      <w:r w:rsidR="0009039F">
        <w:rPr>
          <w:rFonts w:cs="David" w:hint="cs"/>
          <w:sz w:val="28"/>
          <w:szCs w:val="28"/>
          <w:rtl/>
        </w:rPr>
        <w:t>-</w:t>
      </w:r>
      <w:r>
        <w:rPr>
          <w:rFonts w:cs="David" w:hint="cs"/>
          <w:sz w:val="28"/>
          <w:szCs w:val="28"/>
          <w:rtl/>
        </w:rPr>
        <w:t xml:space="preserve"> הוא צורך אמיתי, הרי שישנם מספר טעמים לביקורתה זו וכך היא מפרטת:</w:t>
      </w:r>
    </w:p>
    <w:p w:rsidR="00A85D07" w:rsidRPr="00E409C9" w:rsidRDefault="00A85D07" w:rsidP="00A85D07">
      <w:pPr>
        <w:pStyle w:val="a6"/>
        <w:numPr>
          <w:ilvl w:val="0"/>
          <w:numId w:val="15"/>
        </w:numPr>
        <w:spacing w:line="360" w:lineRule="auto"/>
        <w:jc w:val="both"/>
        <w:rPr>
          <w:rFonts w:cs="David"/>
          <w:sz w:val="24"/>
          <w:szCs w:val="24"/>
        </w:rPr>
      </w:pPr>
      <w:r w:rsidRPr="00E409C9">
        <w:rPr>
          <w:rFonts w:cs="David" w:hint="cs"/>
          <w:sz w:val="24"/>
          <w:szCs w:val="24"/>
          <w:rtl/>
        </w:rPr>
        <w:t>תזכיר החוק פוגע פגיעה קשה ובלתי מידתית בזכות לחופש הביטוי במרחב המקוון, הן בהיבט המהותי והן בהיבט הפרוצדוראלי.</w:t>
      </w:r>
    </w:p>
    <w:p w:rsidR="00A85D07" w:rsidRPr="00E409C9" w:rsidRDefault="00A85D07" w:rsidP="00A85D07">
      <w:pPr>
        <w:pStyle w:val="a6"/>
        <w:numPr>
          <w:ilvl w:val="0"/>
          <w:numId w:val="15"/>
        </w:numPr>
        <w:spacing w:line="360" w:lineRule="auto"/>
        <w:jc w:val="both"/>
        <w:rPr>
          <w:rFonts w:cs="David"/>
          <w:sz w:val="24"/>
          <w:szCs w:val="24"/>
        </w:rPr>
      </w:pPr>
      <w:r w:rsidRPr="00E409C9">
        <w:rPr>
          <w:rFonts w:cs="David" w:hint="cs"/>
          <w:sz w:val="24"/>
          <w:szCs w:val="24"/>
          <w:rtl/>
        </w:rPr>
        <w:t>ההסדר המוצע בתזכיר יטפל במקרים ספורים של הסתה לטרור אבל יחשוף את אזרחי ישראל לסכנת צנזורה מטעם המדינה במקרים של "סתם" התנגדות למעשים שלטוניים כאלה ואחרים.</w:t>
      </w:r>
    </w:p>
    <w:p w:rsidR="00A85D07" w:rsidRPr="00E409C9" w:rsidRDefault="00A85D07" w:rsidP="00A85D07">
      <w:pPr>
        <w:pStyle w:val="a6"/>
        <w:numPr>
          <w:ilvl w:val="0"/>
          <w:numId w:val="15"/>
        </w:numPr>
        <w:spacing w:line="360" w:lineRule="auto"/>
        <w:jc w:val="both"/>
        <w:rPr>
          <w:rFonts w:cs="David"/>
          <w:sz w:val="24"/>
          <w:szCs w:val="24"/>
        </w:rPr>
      </w:pPr>
      <w:r w:rsidRPr="00E409C9">
        <w:rPr>
          <w:rFonts w:cs="David" w:hint="cs"/>
          <w:sz w:val="24"/>
          <w:szCs w:val="24"/>
          <w:rtl/>
        </w:rPr>
        <w:t>התזכיר מציע הסדרים ישימים שנזקם יעלה על תועלתם.</w:t>
      </w:r>
    </w:p>
    <w:p w:rsidR="00A85D07" w:rsidRPr="00E409C9" w:rsidRDefault="00A85D07" w:rsidP="00A85D07">
      <w:pPr>
        <w:pStyle w:val="a6"/>
        <w:numPr>
          <w:ilvl w:val="0"/>
          <w:numId w:val="15"/>
        </w:numPr>
        <w:spacing w:line="360" w:lineRule="auto"/>
        <w:jc w:val="both"/>
        <w:rPr>
          <w:rFonts w:cs="David"/>
          <w:sz w:val="24"/>
          <w:szCs w:val="24"/>
        </w:rPr>
      </w:pPr>
      <w:r w:rsidRPr="00E409C9">
        <w:rPr>
          <w:rFonts w:cs="David" w:hint="cs"/>
          <w:sz w:val="24"/>
          <w:szCs w:val="24"/>
          <w:rtl/>
        </w:rPr>
        <w:t>תזכיר החוק יוצר בעיית סמכות שיפוטית שתעמיד את מדינת ישראל במצב בעייתי מול ידידותיה.</w:t>
      </w:r>
    </w:p>
    <w:p w:rsidR="00F50252" w:rsidRPr="00C34E9F" w:rsidRDefault="00A85D07" w:rsidP="003571DD">
      <w:pPr>
        <w:spacing w:line="360" w:lineRule="auto"/>
        <w:jc w:val="both"/>
        <w:rPr>
          <w:rFonts w:cs="David"/>
          <w:b/>
          <w:bCs/>
          <w:color w:val="FF0000"/>
          <w:sz w:val="32"/>
          <w:szCs w:val="32"/>
          <w:rtl/>
        </w:rPr>
      </w:pPr>
      <w:r w:rsidRPr="00387BE9">
        <w:rPr>
          <w:rFonts w:cs="David" w:hint="cs"/>
          <w:sz w:val="28"/>
          <w:szCs w:val="28"/>
          <w:rtl/>
        </w:rPr>
        <w:t xml:space="preserve">כך או כך, נראה שיש הסכמה בין הנוגעים בדבר כי </w:t>
      </w:r>
      <w:r w:rsidRPr="00387BE9">
        <w:rPr>
          <w:rFonts w:cs="David" w:hint="cs"/>
          <w:b/>
          <w:bCs/>
          <w:sz w:val="28"/>
          <w:szCs w:val="28"/>
          <w:rtl/>
        </w:rPr>
        <w:t>בעולם דיגיטלי וטכנולוגי קשה מאד להסיר תכנים מהרשת</w:t>
      </w:r>
      <w:r w:rsidR="006D7AD9" w:rsidRPr="00387BE9">
        <w:rPr>
          <w:rFonts w:cs="David" w:hint="cs"/>
          <w:sz w:val="28"/>
          <w:szCs w:val="28"/>
          <w:rtl/>
        </w:rPr>
        <w:t xml:space="preserve">. </w:t>
      </w:r>
      <w:r w:rsidRPr="00387BE9">
        <w:rPr>
          <w:rFonts w:cs="David" w:hint="cs"/>
          <w:sz w:val="28"/>
          <w:szCs w:val="28"/>
          <w:rtl/>
        </w:rPr>
        <w:t xml:space="preserve">הטכנולוגיה המוגבלת, המשאבים המוגבלים והמאפיינים הייחודיים, ובעיקר אלו הגלובליים, </w:t>
      </w:r>
      <w:r w:rsidRPr="00943831">
        <w:rPr>
          <w:rFonts w:cs="David" w:hint="cs"/>
          <w:b/>
          <w:bCs/>
          <w:sz w:val="28"/>
          <w:szCs w:val="28"/>
          <w:rtl/>
        </w:rPr>
        <w:t>מהווים אתגר משמעותי להתמודדות עם תכנים פוגעניים</w:t>
      </w:r>
      <w:r w:rsidR="003571DD">
        <w:rPr>
          <w:rFonts w:cs="David" w:hint="cs"/>
          <w:b/>
          <w:bCs/>
          <w:sz w:val="28"/>
          <w:szCs w:val="28"/>
          <w:rtl/>
        </w:rPr>
        <w:t>,</w:t>
      </w:r>
      <w:r w:rsidRPr="00943831">
        <w:rPr>
          <w:rFonts w:cs="David" w:hint="cs"/>
          <w:b/>
          <w:bCs/>
          <w:sz w:val="28"/>
          <w:szCs w:val="28"/>
          <w:rtl/>
        </w:rPr>
        <w:t xml:space="preserve"> שמפורסמים במרשתת וברשתות החברתיות</w:t>
      </w:r>
      <w:r w:rsidRPr="00387BE9">
        <w:rPr>
          <w:rFonts w:cs="David" w:hint="cs"/>
          <w:sz w:val="28"/>
          <w:szCs w:val="28"/>
          <w:rtl/>
        </w:rPr>
        <w:t xml:space="preserve">. </w:t>
      </w:r>
      <w:r w:rsidR="00F50252" w:rsidRPr="00E67DE8">
        <w:rPr>
          <w:rFonts w:cs="David" w:hint="cs"/>
          <w:sz w:val="28"/>
          <w:szCs w:val="28"/>
          <w:rtl/>
        </w:rPr>
        <w:t xml:space="preserve">יש </w:t>
      </w:r>
      <w:r w:rsidR="00F50252" w:rsidRPr="00F50252">
        <w:rPr>
          <w:rFonts w:cs="David" w:hint="cs"/>
          <w:sz w:val="28"/>
          <w:szCs w:val="28"/>
          <w:rtl/>
        </w:rPr>
        <w:lastRenderedPageBreak/>
        <w:t xml:space="preserve">לזכור כי </w:t>
      </w:r>
      <w:r w:rsidR="0011248B">
        <w:rPr>
          <w:rFonts w:cs="David" w:hint="cs"/>
          <w:sz w:val="28"/>
          <w:szCs w:val="28"/>
          <w:rtl/>
        </w:rPr>
        <w:t xml:space="preserve">בסופו של יום, </w:t>
      </w:r>
      <w:r w:rsidR="00F50252" w:rsidRPr="00F50252">
        <w:rPr>
          <w:rFonts w:cs="David" w:hint="cs"/>
          <w:sz w:val="28"/>
          <w:szCs w:val="28"/>
          <w:rtl/>
        </w:rPr>
        <w:t>מה שהוסר ימצא עצמו בחזרה בעולם המקוון</w:t>
      </w:r>
      <w:r w:rsidR="00F50252" w:rsidRPr="00C34E9F">
        <w:rPr>
          <w:rFonts w:cs="David" w:hint="cs"/>
          <w:b/>
          <w:bCs/>
          <w:sz w:val="28"/>
          <w:szCs w:val="28"/>
          <w:rtl/>
        </w:rPr>
        <w:t>, אם רק ירצה בכך המפרסם.</w:t>
      </w:r>
    </w:p>
    <w:p w:rsidR="003F6A67" w:rsidRDefault="0011248B" w:rsidP="003571DD">
      <w:pPr>
        <w:spacing w:line="360" w:lineRule="auto"/>
        <w:jc w:val="both"/>
        <w:rPr>
          <w:rFonts w:cs="David"/>
          <w:b/>
          <w:bCs/>
          <w:sz w:val="28"/>
          <w:szCs w:val="28"/>
          <w:rtl/>
        </w:rPr>
      </w:pPr>
      <w:r>
        <w:rPr>
          <w:rFonts w:cs="David" w:hint="cs"/>
          <w:sz w:val="28"/>
          <w:szCs w:val="28"/>
          <w:rtl/>
        </w:rPr>
        <w:t xml:space="preserve">אכן, </w:t>
      </w:r>
      <w:r w:rsidR="00F50252" w:rsidRPr="004B351F">
        <w:rPr>
          <w:rFonts w:cs="David" w:hint="cs"/>
          <w:sz w:val="28"/>
          <w:szCs w:val="28"/>
          <w:rtl/>
        </w:rPr>
        <w:t xml:space="preserve">תופעת הגזענות וההסתה </w:t>
      </w:r>
      <w:r w:rsidR="00F50252">
        <w:rPr>
          <w:rFonts w:cs="David" w:hint="cs"/>
          <w:sz w:val="28"/>
          <w:szCs w:val="28"/>
          <w:rtl/>
        </w:rPr>
        <w:t xml:space="preserve">לאלימות </w:t>
      </w:r>
      <w:r w:rsidR="00F50252" w:rsidRPr="004B351F">
        <w:rPr>
          <w:rFonts w:cs="David" w:hint="cs"/>
          <w:sz w:val="28"/>
          <w:szCs w:val="28"/>
          <w:rtl/>
        </w:rPr>
        <w:t xml:space="preserve">במרשתת וברשתות החברתיות </w:t>
      </w:r>
      <w:r w:rsidR="00F50252" w:rsidRPr="000D6399">
        <w:rPr>
          <w:rFonts w:cs="David" w:hint="cs"/>
          <w:b/>
          <w:bCs/>
          <w:sz w:val="28"/>
          <w:szCs w:val="28"/>
          <w:rtl/>
        </w:rPr>
        <w:t xml:space="preserve">מאתגרת עד מאד </w:t>
      </w:r>
      <w:r w:rsidR="00F50252">
        <w:rPr>
          <w:rFonts w:cs="David" w:hint="cs"/>
          <w:b/>
          <w:bCs/>
          <w:sz w:val="28"/>
          <w:szCs w:val="28"/>
          <w:rtl/>
        </w:rPr>
        <w:t xml:space="preserve">גם </w:t>
      </w:r>
      <w:r w:rsidR="00F50252" w:rsidRPr="000D6399">
        <w:rPr>
          <w:rFonts w:cs="David" w:hint="cs"/>
          <w:b/>
          <w:bCs/>
          <w:sz w:val="28"/>
          <w:szCs w:val="28"/>
          <w:rtl/>
        </w:rPr>
        <w:t xml:space="preserve">את נושא האכיפה </w:t>
      </w:r>
      <w:r w:rsidR="00F50252">
        <w:rPr>
          <w:rFonts w:cs="David" w:hint="cs"/>
          <w:b/>
          <w:bCs/>
          <w:sz w:val="28"/>
          <w:szCs w:val="28"/>
          <w:rtl/>
        </w:rPr>
        <w:t>היעילה - באפיק הפלילי 'הקלאסי' ובאפיק האלטרנטיבי מול בעלי האתרים וספקיות המרשתת.</w:t>
      </w: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AA3716" w:rsidRDefault="00AA3716" w:rsidP="003571DD">
      <w:pPr>
        <w:spacing w:line="360" w:lineRule="auto"/>
        <w:jc w:val="both"/>
        <w:rPr>
          <w:rFonts w:cs="David"/>
          <w:b/>
          <w:bCs/>
          <w:sz w:val="28"/>
          <w:szCs w:val="28"/>
          <w:rtl/>
        </w:rPr>
      </w:pPr>
    </w:p>
    <w:p w:rsidR="003F6A67" w:rsidRDefault="003F6A67" w:rsidP="006C1572">
      <w:pPr>
        <w:rPr>
          <w:rFonts w:cs="David"/>
          <w:sz w:val="28"/>
          <w:szCs w:val="28"/>
          <w:rtl/>
        </w:rPr>
      </w:pPr>
      <w:r>
        <w:rPr>
          <w:rFonts w:cs="David" w:hint="cs"/>
          <w:b/>
          <w:bCs/>
          <w:sz w:val="36"/>
          <w:szCs w:val="36"/>
          <w:rtl/>
        </w:rPr>
        <w:lastRenderedPageBreak/>
        <w:t xml:space="preserve">פרק חמישי: סיכום </w:t>
      </w:r>
      <w:r w:rsidRPr="00694421">
        <w:rPr>
          <w:rFonts w:cs="David" w:hint="cs"/>
          <w:b/>
          <w:bCs/>
          <w:sz w:val="36"/>
          <w:szCs w:val="36"/>
          <w:rtl/>
        </w:rPr>
        <w:t>והמלצות</w:t>
      </w:r>
    </w:p>
    <w:p w:rsidR="003F6A67" w:rsidRDefault="003F6A67" w:rsidP="00ED14AF">
      <w:pPr>
        <w:spacing w:line="360" w:lineRule="auto"/>
        <w:jc w:val="both"/>
        <w:rPr>
          <w:rFonts w:cs="David"/>
          <w:sz w:val="28"/>
          <w:szCs w:val="28"/>
          <w:rtl/>
        </w:rPr>
      </w:pPr>
      <w:r>
        <w:rPr>
          <w:rFonts w:cs="David" w:hint="cs"/>
          <w:sz w:val="28"/>
          <w:szCs w:val="28"/>
          <w:rtl/>
        </w:rPr>
        <w:t>יחסי המדינה והרוב היהודי עם החברה הערבית-פלסטינית בישראל נוגעים ישירות לביטחון הלאומי, במובנו הרחב והעמוק של המושג.</w:t>
      </w:r>
      <w:r>
        <w:rPr>
          <w:rStyle w:val="a5"/>
          <w:rFonts w:cs="David"/>
          <w:sz w:val="28"/>
          <w:szCs w:val="28"/>
          <w:rtl/>
        </w:rPr>
        <w:footnoteReference w:id="245"/>
      </w:r>
      <w:r>
        <w:rPr>
          <w:rFonts w:cs="David" w:hint="cs"/>
          <w:sz w:val="28"/>
          <w:szCs w:val="28"/>
          <w:rtl/>
        </w:rPr>
        <w:t xml:space="preserve"> ביחסים בין יהודים לערבים חלה ה</w:t>
      </w:r>
      <w:r w:rsidR="00ED14AF">
        <w:rPr>
          <w:rFonts w:cs="David" w:hint="cs"/>
          <w:sz w:val="28"/>
          <w:szCs w:val="28"/>
          <w:rtl/>
        </w:rPr>
        <w:t>י</w:t>
      </w:r>
      <w:r>
        <w:rPr>
          <w:rFonts w:cs="David" w:hint="cs"/>
          <w:sz w:val="28"/>
          <w:szCs w:val="28"/>
          <w:rtl/>
        </w:rPr>
        <w:t xml:space="preserve">דרדרות ובשנים האחרונות התחזקו בקרב שתי החברות זרמים לאומניים ודתיים קיצוניים, הפועלים להעמקת השסע ביניהן. קיץ 2014 סימן נקודת מפנה ושפל בציבוריות הישראלית. רמות השנאה, הגזענות והפילוג שנחשפו בקרב אזרחי ישראל היהודים כלפי ערבים - הקריאות לנקמה בערבים לאחר חטיפת שלושת הנערים בגוש עציון ובמהלך 'צוק איתן' ורצח הנער מחמד אבו ח'דיר </w:t>
      </w:r>
      <w:r w:rsidR="00ED14AF">
        <w:rPr>
          <w:rFonts w:cs="David"/>
          <w:sz w:val="28"/>
          <w:szCs w:val="28"/>
          <w:rtl/>
        </w:rPr>
        <w:t>–</w:t>
      </w:r>
      <w:r>
        <w:rPr>
          <w:rFonts w:cs="David" w:hint="cs"/>
          <w:sz w:val="28"/>
          <w:szCs w:val="28"/>
          <w:rtl/>
        </w:rPr>
        <w:t xml:space="preserve"> </w:t>
      </w:r>
      <w:r w:rsidR="00ED14AF">
        <w:rPr>
          <w:rFonts w:cs="David" w:hint="cs"/>
          <w:sz w:val="28"/>
          <w:szCs w:val="28"/>
          <w:rtl/>
        </w:rPr>
        <w:t>סימנו את ראשיתו</w:t>
      </w:r>
      <w:r>
        <w:rPr>
          <w:rFonts w:cs="David" w:hint="cs"/>
          <w:sz w:val="28"/>
          <w:szCs w:val="28"/>
          <w:rtl/>
        </w:rPr>
        <w:t xml:space="preserve"> של תהליך הקצנה, בהיקף ובחומרה שלא הוכרו קודם לכן ושניתן היה לחוש ב</w:t>
      </w:r>
      <w:r w:rsidR="00ED14AF">
        <w:rPr>
          <w:rFonts w:cs="David" w:hint="cs"/>
          <w:sz w:val="28"/>
          <w:szCs w:val="28"/>
          <w:rtl/>
        </w:rPr>
        <w:t xml:space="preserve">הם </w:t>
      </w:r>
      <w:r>
        <w:rPr>
          <w:rFonts w:cs="David" w:hint="cs"/>
          <w:sz w:val="28"/>
          <w:szCs w:val="28"/>
          <w:rtl/>
        </w:rPr>
        <w:t>במרשתת וברשתות החברתיות.</w:t>
      </w:r>
    </w:p>
    <w:p w:rsidR="003F6A67" w:rsidRDefault="003F6A67" w:rsidP="00BA4458">
      <w:pPr>
        <w:spacing w:line="360" w:lineRule="auto"/>
        <w:jc w:val="both"/>
        <w:rPr>
          <w:rFonts w:cs="David"/>
          <w:sz w:val="28"/>
          <w:szCs w:val="28"/>
          <w:rtl/>
        </w:rPr>
      </w:pPr>
      <w:r>
        <w:rPr>
          <w:rFonts w:cs="David" w:hint="cs"/>
          <w:sz w:val="28"/>
          <w:szCs w:val="28"/>
          <w:rtl/>
        </w:rPr>
        <w:t>בחינה אמפירית של השיח ברשתות החברתיות מאששת את התחושה</w:t>
      </w:r>
      <w:r w:rsidRPr="00D060E2">
        <w:rPr>
          <w:rFonts w:cs="David" w:hint="cs"/>
          <w:sz w:val="28"/>
          <w:szCs w:val="28"/>
          <w:rtl/>
        </w:rPr>
        <w:t xml:space="preserve">. במחקר של חברת </w:t>
      </w:r>
      <w:r w:rsidRPr="00CD227A">
        <w:rPr>
          <w:rFonts w:asciiTheme="majorBidi" w:hAnsiTheme="majorBidi" w:cstheme="majorBidi"/>
          <w:sz w:val="28"/>
          <w:szCs w:val="28"/>
        </w:rPr>
        <w:t>Vigo</w:t>
      </w:r>
      <w:r w:rsidR="00BA4458" w:rsidRPr="00D060E2">
        <w:rPr>
          <w:rFonts w:cs="David" w:hint="cs"/>
          <w:sz w:val="28"/>
          <w:szCs w:val="28"/>
          <w:rtl/>
        </w:rPr>
        <w:t xml:space="preserve">, </w:t>
      </w:r>
      <w:r w:rsidRPr="00D060E2">
        <w:rPr>
          <w:rFonts w:cs="David" w:hint="cs"/>
          <w:sz w:val="28"/>
          <w:szCs w:val="28"/>
          <w:rtl/>
        </w:rPr>
        <w:t>שבוצע בשנת 2016</w:t>
      </w:r>
      <w:r w:rsidR="00BA4458" w:rsidRPr="00D060E2">
        <w:rPr>
          <w:rFonts w:cs="David" w:hint="cs"/>
          <w:sz w:val="28"/>
          <w:szCs w:val="28"/>
          <w:rtl/>
        </w:rPr>
        <w:t>,</w:t>
      </w:r>
      <w:r w:rsidRPr="00D060E2">
        <w:rPr>
          <w:rFonts w:cs="David" w:hint="cs"/>
          <w:sz w:val="28"/>
          <w:szCs w:val="28"/>
          <w:rtl/>
        </w:rPr>
        <w:t xml:space="preserve"> </w:t>
      </w:r>
      <w:r w:rsidRPr="00BB6053">
        <w:rPr>
          <w:rFonts w:cs="David" w:hint="cs"/>
          <w:b/>
          <w:bCs/>
          <w:sz w:val="28"/>
          <w:szCs w:val="28"/>
          <w:rtl/>
        </w:rPr>
        <w:t>עולה כי 50% מהשיח הפוגעני ומהקריאות לאלימות ב</w:t>
      </w:r>
      <w:r>
        <w:rPr>
          <w:rFonts w:cs="David" w:hint="cs"/>
          <w:b/>
          <w:bCs/>
          <w:sz w:val="28"/>
          <w:szCs w:val="28"/>
          <w:rtl/>
        </w:rPr>
        <w:t>מ</w:t>
      </w:r>
      <w:r w:rsidRPr="00BB6053">
        <w:rPr>
          <w:rFonts w:cs="David" w:hint="cs"/>
          <w:b/>
          <w:bCs/>
          <w:sz w:val="28"/>
          <w:szCs w:val="28"/>
          <w:rtl/>
        </w:rPr>
        <w:t>רשת</w:t>
      </w:r>
      <w:r>
        <w:rPr>
          <w:rFonts w:cs="David" w:hint="cs"/>
          <w:b/>
          <w:bCs/>
          <w:sz w:val="28"/>
          <w:szCs w:val="28"/>
          <w:rtl/>
        </w:rPr>
        <w:t>ת</w:t>
      </w:r>
      <w:r w:rsidRPr="00BB6053">
        <w:rPr>
          <w:rFonts w:cs="David" w:hint="cs"/>
          <w:b/>
          <w:bCs/>
          <w:sz w:val="28"/>
          <w:szCs w:val="28"/>
          <w:rtl/>
        </w:rPr>
        <w:t xml:space="preserve"> </w:t>
      </w:r>
      <w:r>
        <w:rPr>
          <w:rFonts w:cs="David" w:hint="cs"/>
          <w:b/>
          <w:bCs/>
          <w:sz w:val="28"/>
          <w:szCs w:val="28"/>
          <w:rtl/>
        </w:rPr>
        <w:t xml:space="preserve">וברשתות החברתיות </w:t>
      </w:r>
      <w:r w:rsidRPr="00BB6053">
        <w:rPr>
          <w:rFonts w:cs="David" w:hint="cs"/>
          <w:b/>
          <w:bCs/>
          <w:sz w:val="28"/>
          <w:szCs w:val="28"/>
          <w:rtl/>
        </w:rPr>
        <w:t>הוא נגד המגזר הערבי.</w:t>
      </w:r>
      <w:r>
        <w:rPr>
          <w:rFonts w:cs="David" w:hint="cs"/>
          <w:sz w:val="28"/>
          <w:szCs w:val="28"/>
          <w:rtl/>
        </w:rPr>
        <w:t xml:space="preserve"> </w:t>
      </w:r>
      <w:r w:rsidR="00BA4458">
        <w:rPr>
          <w:rFonts w:cs="David" w:hint="cs"/>
          <w:sz w:val="28"/>
          <w:szCs w:val="28"/>
          <w:rtl/>
        </w:rPr>
        <w:t xml:space="preserve">זאת אף </w:t>
      </w:r>
      <w:r>
        <w:rPr>
          <w:rFonts w:cs="David" w:hint="cs"/>
          <w:sz w:val="28"/>
          <w:szCs w:val="28"/>
          <w:rtl/>
        </w:rPr>
        <w:t xml:space="preserve">זאת, הנתונים </w:t>
      </w:r>
      <w:r w:rsidRPr="00F90F48">
        <w:rPr>
          <w:rFonts w:cs="David" w:hint="cs"/>
          <w:b/>
          <w:bCs/>
          <w:sz w:val="28"/>
          <w:szCs w:val="28"/>
          <w:rtl/>
        </w:rPr>
        <w:t xml:space="preserve">משקפים </w:t>
      </w:r>
      <w:r>
        <w:rPr>
          <w:rFonts w:cs="David" w:hint="cs"/>
          <w:b/>
          <w:bCs/>
          <w:sz w:val="28"/>
          <w:szCs w:val="28"/>
          <w:rtl/>
        </w:rPr>
        <w:t xml:space="preserve">מגמת </w:t>
      </w:r>
      <w:r w:rsidRPr="00F90F48">
        <w:rPr>
          <w:rFonts w:cs="David" w:hint="cs"/>
          <w:b/>
          <w:bCs/>
          <w:sz w:val="28"/>
          <w:szCs w:val="28"/>
          <w:rtl/>
        </w:rPr>
        <w:t xml:space="preserve">עליה </w:t>
      </w:r>
      <w:r w:rsidR="00401DB2">
        <w:rPr>
          <w:rFonts w:cs="David" w:hint="cs"/>
          <w:b/>
          <w:bCs/>
          <w:sz w:val="28"/>
          <w:szCs w:val="28"/>
          <w:rtl/>
        </w:rPr>
        <w:t xml:space="preserve">חדה </w:t>
      </w:r>
      <w:r>
        <w:rPr>
          <w:rFonts w:cs="David" w:hint="cs"/>
          <w:b/>
          <w:bCs/>
          <w:sz w:val="28"/>
          <w:szCs w:val="28"/>
          <w:rtl/>
        </w:rPr>
        <w:t>משנה לשנה</w:t>
      </w:r>
      <w:r w:rsidRPr="00F90F48">
        <w:rPr>
          <w:rFonts w:cs="David" w:hint="cs"/>
          <w:b/>
          <w:bCs/>
          <w:sz w:val="28"/>
          <w:szCs w:val="28"/>
          <w:rtl/>
        </w:rPr>
        <w:t xml:space="preserve">, בשיח הגזעני ובקריאות </w:t>
      </w:r>
      <w:r>
        <w:rPr>
          <w:rFonts w:cs="David" w:hint="cs"/>
          <w:b/>
          <w:bCs/>
          <w:sz w:val="28"/>
          <w:szCs w:val="28"/>
          <w:rtl/>
        </w:rPr>
        <w:t xml:space="preserve">המסיתות </w:t>
      </w:r>
      <w:r w:rsidRPr="00F90F48">
        <w:rPr>
          <w:rFonts w:cs="David" w:hint="cs"/>
          <w:b/>
          <w:bCs/>
          <w:sz w:val="28"/>
          <w:szCs w:val="28"/>
          <w:rtl/>
        </w:rPr>
        <w:t>לאלימות</w:t>
      </w:r>
      <w:r>
        <w:rPr>
          <w:rFonts w:cs="David" w:hint="cs"/>
          <w:b/>
          <w:bCs/>
          <w:sz w:val="28"/>
          <w:szCs w:val="28"/>
          <w:rtl/>
        </w:rPr>
        <w:t>.</w:t>
      </w:r>
      <w:r>
        <w:rPr>
          <w:rFonts w:cs="David" w:hint="cs"/>
          <w:sz w:val="28"/>
          <w:szCs w:val="28"/>
          <w:rtl/>
        </w:rPr>
        <w:t xml:space="preserve"> השיח הגזעני והאלים אמנם תנודתי ומושפע ברובו מאירועים ביטחוניים או פוליטיים, אך </w:t>
      </w:r>
      <w:r>
        <w:rPr>
          <w:rFonts w:cs="David" w:hint="cs"/>
          <w:b/>
          <w:bCs/>
          <w:sz w:val="28"/>
          <w:szCs w:val="28"/>
          <w:rtl/>
        </w:rPr>
        <w:t>ה</w:t>
      </w:r>
      <w:r w:rsidRPr="00F90F48">
        <w:rPr>
          <w:rFonts w:cs="David" w:hint="cs"/>
          <w:b/>
          <w:bCs/>
          <w:sz w:val="28"/>
          <w:szCs w:val="28"/>
          <w:rtl/>
        </w:rPr>
        <w:t xml:space="preserve">מגמה </w:t>
      </w:r>
      <w:r w:rsidR="00BA4458">
        <w:rPr>
          <w:rFonts w:cs="David" w:hint="cs"/>
          <w:b/>
          <w:bCs/>
          <w:sz w:val="28"/>
          <w:szCs w:val="28"/>
          <w:rtl/>
        </w:rPr>
        <w:t>ברורה:</w:t>
      </w:r>
      <w:r w:rsidRPr="00491FA5">
        <w:rPr>
          <w:rFonts w:cs="David" w:hint="cs"/>
          <w:b/>
          <w:bCs/>
          <w:sz w:val="28"/>
          <w:szCs w:val="28"/>
          <w:rtl/>
        </w:rPr>
        <w:t xml:space="preserve"> מדובר בתופעה.</w:t>
      </w:r>
    </w:p>
    <w:p w:rsidR="003F6A67" w:rsidRDefault="003F6A67" w:rsidP="00E35432">
      <w:pPr>
        <w:spacing w:line="360" w:lineRule="auto"/>
        <w:jc w:val="both"/>
        <w:rPr>
          <w:rFonts w:cs="David"/>
          <w:sz w:val="28"/>
          <w:szCs w:val="28"/>
          <w:rtl/>
        </w:rPr>
      </w:pPr>
      <w:r w:rsidRPr="000523A8">
        <w:rPr>
          <w:rFonts w:cs="David" w:hint="cs"/>
          <w:b/>
          <w:bCs/>
          <w:sz w:val="28"/>
          <w:szCs w:val="28"/>
          <w:rtl/>
        </w:rPr>
        <w:t>טענת העבודה</w:t>
      </w:r>
      <w:r w:rsidRPr="00482909">
        <w:rPr>
          <w:rFonts w:cs="David" w:hint="cs"/>
          <w:sz w:val="28"/>
          <w:szCs w:val="28"/>
          <w:rtl/>
        </w:rPr>
        <w:t xml:space="preserve"> היא שמאפייני המרשתת והתפתחותן של הרשתות החברתיות מאפשרים שיח גזעני ומסית לאלימות, </w:t>
      </w:r>
      <w:r w:rsidR="00E35432">
        <w:rPr>
          <w:rFonts w:cs="David" w:hint="cs"/>
          <w:sz w:val="28"/>
          <w:szCs w:val="28"/>
          <w:rtl/>
        </w:rPr>
        <w:t xml:space="preserve">שהוא </w:t>
      </w:r>
      <w:r w:rsidRPr="00482909">
        <w:rPr>
          <w:rFonts w:cs="David" w:hint="cs"/>
          <w:sz w:val="28"/>
          <w:szCs w:val="28"/>
          <w:rtl/>
        </w:rPr>
        <w:t>פרוץ, בוטה וחסר גבולות מצד היהודים בישראל כנגד המיעוט הערבי. בשל פער רלוונטיות ('היסט') בעיצוב תפיסת המדיניות המשפטית, האכיפה והריסון אל מול המציאות המשתנה, מועצמ</w:t>
      </w:r>
      <w:r w:rsidR="00E35432">
        <w:rPr>
          <w:rFonts w:cs="David" w:hint="cs"/>
          <w:sz w:val="28"/>
          <w:szCs w:val="28"/>
          <w:rtl/>
        </w:rPr>
        <w:t>ים</w:t>
      </w:r>
      <w:r w:rsidRPr="00482909">
        <w:rPr>
          <w:rFonts w:cs="David" w:hint="cs"/>
          <w:sz w:val="28"/>
          <w:szCs w:val="28"/>
          <w:rtl/>
        </w:rPr>
        <w:t xml:space="preserve"> התופעה והיקפיה  באופן משמעותי. התפשטות שיח זה מהווה סכנה מהותית, שפוגעת ותמשיך לפגוע ביסוד הדמוקרטיה, בערכיה ובשתי החברות: היהודית והערבית בישראל.</w:t>
      </w:r>
    </w:p>
    <w:p w:rsidR="003F6A67" w:rsidRDefault="003F6A67" w:rsidP="00063168">
      <w:pPr>
        <w:spacing w:line="360" w:lineRule="auto"/>
        <w:jc w:val="both"/>
        <w:rPr>
          <w:rFonts w:cs="David"/>
          <w:sz w:val="28"/>
          <w:szCs w:val="28"/>
          <w:rtl/>
        </w:rPr>
      </w:pPr>
      <w:r>
        <w:rPr>
          <w:rFonts w:cs="David" w:hint="cs"/>
          <w:sz w:val="28"/>
          <w:szCs w:val="28"/>
          <w:rtl/>
        </w:rPr>
        <w:t>על מנת ל</w:t>
      </w:r>
      <w:r w:rsidR="006474EC">
        <w:rPr>
          <w:rFonts w:cs="David" w:hint="cs"/>
          <w:sz w:val="28"/>
          <w:szCs w:val="28"/>
          <w:rtl/>
        </w:rPr>
        <w:t>אמת</w:t>
      </w:r>
      <w:r>
        <w:rPr>
          <w:rFonts w:cs="David" w:hint="cs"/>
          <w:sz w:val="28"/>
          <w:szCs w:val="28"/>
          <w:rtl/>
        </w:rPr>
        <w:t xml:space="preserve"> או להזים את הטענה בחנה העבודה את המציאות הקיימת ברשת בהיבטי השיח הגזעני והמסית</w:t>
      </w:r>
      <w:r w:rsidR="000E5047">
        <w:rPr>
          <w:rFonts w:cs="David" w:hint="cs"/>
          <w:sz w:val="28"/>
          <w:szCs w:val="28"/>
          <w:rtl/>
        </w:rPr>
        <w:t xml:space="preserve"> מצד יהודים כלפי ערבים</w:t>
      </w:r>
      <w:r w:rsidR="00063168">
        <w:rPr>
          <w:rFonts w:cs="David" w:hint="cs"/>
          <w:sz w:val="28"/>
          <w:szCs w:val="28"/>
          <w:rtl/>
        </w:rPr>
        <w:t>:</w:t>
      </w:r>
      <w:r>
        <w:rPr>
          <w:rFonts w:cs="David" w:hint="cs"/>
          <w:sz w:val="28"/>
          <w:szCs w:val="28"/>
          <w:rtl/>
        </w:rPr>
        <w:t xml:space="preserve"> מהם הגורמים שהשפיעו על היווצרותה</w:t>
      </w:r>
      <w:r w:rsidR="00063168">
        <w:rPr>
          <w:rFonts w:cs="David" w:hint="cs"/>
          <w:sz w:val="28"/>
          <w:szCs w:val="28"/>
          <w:rtl/>
        </w:rPr>
        <w:t>?</w:t>
      </w:r>
      <w:r>
        <w:rPr>
          <w:rFonts w:cs="David" w:hint="cs"/>
          <w:sz w:val="28"/>
          <w:szCs w:val="28"/>
          <w:rtl/>
        </w:rPr>
        <w:t xml:space="preserve"> מהי מידת השפעתם על מציאות זו וכיצד גורמים אלו באים לידי ביטוי בעיצוב מדיניות האכיפה ומימושה אל מול השיח הגזעני והמסית, של יהודים כלפי ערבים,</w:t>
      </w:r>
      <w:r w:rsidR="00063168">
        <w:rPr>
          <w:rFonts w:cs="David" w:hint="cs"/>
          <w:sz w:val="28"/>
          <w:szCs w:val="28"/>
          <w:rtl/>
        </w:rPr>
        <w:t xml:space="preserve"> במרשתת וברשתות החברתיות בישראל?</w:t>
      </w:r>
    </w:p>
    <w:p w:rsidR="003F6A67" w:rsidRDefault="003F6A67" w:rsidP="003F6A67">
      <w:pPr>
        <w:spacing w:line="360" w:lineRule="auto"/>
        <w:jc w:val="both"/>
        <w:rPr>
          <w:rFonts w:cs="David"/>
          <w:sz w:val="28"/>
          <w:szCs w:val="28"/>
          <w:rtl/>
        </w:rPr>
      </w:pPr>
    </w:p>
    <w:p w:rsidR="003F6A67" w:rsidRPr="00F738C2" w:rsidRDefault="003F6A67" w:rsidP="00364A64">
      <w:pPr>
        <w:spacing w:line="360" w:lineRule="auto"/>
        <w:jc w:val="both"/>
        <w:rPr>
          <w:rFonts w:cs="David"/>
          <w:sz w:val="28"/>
          <w:szCs w:val="28"/>
          <w:rtl/>
        </w:rPr>
      </w:pPr>
      <w:r>
        <w:rPr>
          <w:rFonts w:cs="David" w:hint="cs"/>
          <w:sz w:val="28"/>
          <w:szCs w:val="28"/>
          <w:rtl/>
        </w:rPr>
        <w:lastRenderedPageBreak/>
        <w:t>אך טבעי היה ל</w:t>
      </w:r>
      <w:r w:rsidR="00364A64">
        <w:rPr>
          <w:rFonts w:cs="David" w:hint="cs"/>
          <w:sz w:val="28"/>
          <w:szCs w:val="28"/>
          <w:rtl/>
        </w:rPr>
        <w:t>פתוח</w:t>
      </w:r>
      <w:r>
        <w:rPr>
          <w:rFonts w:cs="David" w:hint="cs"/>
          <w:sz w:val="28"/>
          <w:szCs w:val="28"/>
          <w:rtl/>
        </w:rPr>
        <w:t xml:space="preserve"> בבחינת התפתחות המרשתת והרשתות החברתיות. בחינה זו העלתה כי המרשתת המאפשרת אינטראקציה מקוונת בין משתמשים, נמצאת בגידול חסר תקדים בהיקפה בהשוואה לאמצעי </w:t>
      </w:r>
      <w:r w:rsidRPr="00F738C2">
        <w:rPr>
          <w:rFonts w:cs="David" w:hint="cs"/>
          <w:sz w:val="28"/>
          <w:szCs w:val="28"/>
          <w:rtl/>
        </w:rPr>
        <w:t>תקשורת אחרים מאז הפכה זמינה למשתמש הביתי בראשית שנות התשעים. על פי הסקרים, מספר הגולשים במרשתת בישראל ממשיך לגדול מדי שנה ועומד, נכון לסוף שנת 2016, על 6.4 מיליון גולשים. בדיקה פרטנית מעלה כי כ-90% מהמגזר היהודי ואחרים בישראל, ללא המגזר הערבי, גולשים ברשת.</w:t>
      </w:r>
    </w:p>
    <w:p w:rsidR="003F6A67" w:rsidRDefault="003F6A67" w:rsidP="00364A64">
      <w:pPr>
        <w:spacing w:line="360" w:lineRule="auto"/>
        <w:jc w:val="both"/>
        <w:rPr>
          <w:rFonts w:cs="David"/>
          <w:sz w:val="28"/>
          <w:szCs w:val="28"/>
          <w:rtl/>
        </w:rPr>
      </w:pPr>
      <w:r>
        <w:rPr>
          <w:rFonts w:cs="David" w:hint="cs"/>
          <w:sz w:val="28"/>
          <w:szCs w:val="28"/>
          <w:rtl/>
        </w:rPr>
        <w:t>ההתפתחות הטכנולוגית</w:t>
      </w:r>
      <w:r w:rsidR="00364A64">
        <w:rPr>
          <w:rFonts w:cs="David" w:hint="cs"/>
          <w:sz w:val="28"/>
          <w:szCs w:val="28"/>
          <w:rtl/>
        </w:rPr>
        <w:t>,</w:t>
      </w:r>
      <w:r>
        <w:rPr>
          <w:rFonts w:cs="David" w:hint="cs"/>
          <w:sz w:val="28"/>
          <w:szCs w:val="28"/>
          <w:rtl/>
        </w:rPr>
        <w:t xml:space="preserve"> שאפשרה את קיומה ו</w:t>
      </w:r>
      <w:r w:rsidR="00364A64">
        <w:rPr>
          <w:rFonts w:cs="David" w:hint="cs"/>
          <w:sz w:val="28"/>
          <w:szCs w:val="28"/>
          <w:rtl/>
        </w:rPr>
        <w:t xml:space="preserve">את </w:t>
      </w:r>
      <w:r>
        <w:rPr>
          <w:rFonts w:cs="David" w:hint="cs"/>
          <w:sz w:val="28"/>
          <w:szCs w:val="28"/>
          <w:rtl/>
        </w:rPr>
        <w:t>שגשוגה של המרשתת ו</w:t>
      </w:r>
      <w:r w:rsidR="00364A64">
        <w:rPr>
          <w:rFonts w:cs="David" w:hint="cs"/>
          <w:sz w:val="28"/>
          <w:szCs w:val="28"/>
          <w:rtl/>
        </w:rPr>
        <w:t xml:space="preserve">את </w:t>
      </w:r>
      <w:r>
        <w:rPr>
          <w:rFonts w:cs="David" w:hint="cs"/>
          <w:sz w:val="28"/>
          <w:szCs w:val="28"/>
          <w:rtl/>
        </w:rPr>
        <w:t xml:space="preserve">הגידול הפנומנאלי במספר המשתמשים והצרכנים </w:t>
      </w:r>
      <w:r w:rsidR="00364A64" w:rsidRPr="00F738C2">
        <w:rPr>
          <w:rFonts w:cs="David" w:hint="cs"/>
          <w:sz w:val="28"/>
          <w:szCs w:val="28"/>
          <w:rtl/>
        </w:rPr>
        <w:t>הביאה עימה</w:t>
      </w:r>
      <w:r w:rsidRPr="00F738C2">
        <w:rPr>
          <w:rFonts w:cs="David" w:hint="cs"/>
          <w:sz w:val="28"/>
          <w:szCs w:val="28"/>
          <w:rtl/>
        </w:rPr>
        <w:t xml:space="preserve"> שינויים דרמטיים בחיי הפרט והחברה, בייחוד מ</w:t>
      </w:r>
      <w:r w:rsidR="00364A64" w:rsidRPr="00F738C2">
        <w:rPr>
          <w:rFonts w:cs="David" w:hint="cs"/>
          <w:sz w:val="28"/>
          <w:szCs w:val="28"/>
          <w:rtl/>
        </w:rPr>
        <w:t xml:space="preserve">עת </w:t>
      </w:r>
      <w:r w:rsidRPr="00F738C2">
        <w:rPr>
          <w:rFonts w:cs="David" w:hint="cs"/>
          <w:sz w:val="28"/>
          <w:szCs w:val="28"/>
          <w:rtl/>
        </w:rPr>
        <w:t>כניסת</w:t>
      </w:r>
      <w:r w:rsidR="00364A64" w:rsidRPr="00F738C2">
        <w:rPr>
          <w:rFonts w:cs="David" w:hint="cs"/>
          <w:sz w:val="28"/>
          <w:szCs w:val="28"/>
          <w:rtl/>
        </w:rPr>
        <w:t>ן</w:t>
      </w:r>
      <w:r w:rsidRPr="00F738C2">
        <w:rPr>
          <w:rFonts w:cs="David" w:hint="cs"/>
          <w:sz w:val="28"/>
          <w:szCs w:val="28"/>
          <w:rtl/>
        </w:rPr>
        <w:t xml:space="preserve"> של הרשתות החברתיות</w:t>
      </w:r>
      <w:r>
        <w:rPr>
          <w:rFonts w:cs="David" w:hint="cs"/>
          <w:sz w:val="28"/>
          <w:szCs w:val="28"/>
          <w:rtl/>
        </w:rPr>
        <w:t xml:space="preserve"> בראשית שנות האלפיים, ו</w:t>
      </w:r>
      <w:r w:rsidR="00364A64">
        <w:rPr>
          <w:rFonts w:cs="David" w:hint="cs"/>
          <w:sz w:val="28"/>
          <w:szCs w:val="28"/>
          <w:rtl/>
        </w:rPr>
        <w:t>אף יותר מכך</w:t>
      </w:r>
      <w:r>
        <w:rPr>
          <w:rFonts w:cs="David" w:hint="cs"/>
          <w:sz w:val="28"/>
          <w:szCs w:val="28"/>
          <w:rtl/>
        </w:rPr>
        <w:t>, מ</w:t>
      </w:r>
      <w:r w:rsidR="00364A64">
        <w:rPr>
          <w:rFonts w:cs="David" w:hint="cs"/>
          <w:sz w:val="28"/>
          <w:szCs w:val="28"/>
          <w:rtl/>
        </w:rPr>
        <w:t>עת</w:t>
      </w:r>
      <w:r>
        <w:rPr>
          <w:rFonts w:cs="David" w:hint="cs"/>
          <w:sz w:val="28"/>
          <w:szCs w:val="28"/>
          <w:rtl/>
        </w:rPr>
        <w:t xml:space="preserve"> כניסתה של חברת 'פייסבוק', בפברואר 2004.</w:t>
      </w:r>
    </w:p>
    <w:p w:rsidR="00BB5E19" w:rsidRDefault="003F6A67" w:rsidP="00FB358B">
      <w:pPr>
        <w:spacing w:line="360" w:lineRule="auto"/>
        <w:jc w:val="both"/>
        <w:rPr>
          <w:rFonts w:cs="David"/>
          <w:sz w:val="28"/>
          <w:szCs w:val="28"/>
          <w:rtl/>
        </w:rPr>
      </w:pPr>
      <w:r w:rsidRPr="004A2F83">
        <w:rPr>
          <w:rFonts w:cs="David" w:hint="cs"/>
          <w:b/>
          <w:bCs/>
          <w:sz w:val="28"/>
          <w:szCs w:val="28"/>
          <w:rtl/>
        </w:rPr>
        <w:t xml:space="preserve">'פייסבוק' </w:t>
      </w:r>
      <w:r w:rsidR="00BD7384" w:rsidRPr="004A2F83">
        <w:rPr>
          <w:rFonts w:cs="David" w:hint="cs"/>
          <w:b/>
          <w:bCs/>
          <w:sz w:val="28"/>
          <w:szCs w:val="28"/>
          <w:rtl/>
        </w:rPr>
        <w:t xml:space="preserve">היא </w:t>
      </w:r>
      <w:r w:rsidRPr="004A2F83">
        <w:rPr>
          <w:rFonts w:cs="David" w:hint="cs"/>
          <w:b/>
          <w:bCs/>
          <w:sz w:val="28"/>
          <w:szCs w:val="28"/>
          <w:rtl/>
        </w:rPr>
        <w:t xml:space="preserve">הרשת החברתית המקוונת </w:t>
      </w:r>
      <w:r w:rsidRPr="00814294">
        <w:rPr>
          <w:rFonts w:cs="David" w:hint="cs"/>
          <w:b/>
          <w:bCs/>
          <w:sz w:val="28"/>
          <w:szCs w:val="28"/>
          <w:rtl/>
        </w:rPr>
        <w:t xml:space="preserve">המשמעותית ביותר בישראל, </w:t>
      </w:r>
      <w:r w:rsidR="00BD7384" w:rsidRPr="004A2F83">
        <w:rPr>
          <w:rFonts w:cs="David" w:hint="cs"/>
          <w:sz w:val="28"/>
          <w:szCs w:val="28"/>
          <w:rtl/>
        </w:rPr>
        <w:t xml:space="preserve">כאשר </w:t>
      </w:r>
      <w:r w:rsidRPr="004A2F83">
        <w:rPr>
          <w:rFonts w:cs="David" w:hint="cs"/>
          <w:sz w:val="28"/>
          <w:szCs w:val="28"/>
          <w:rtl/>
        </w:rPr>
        <w:t xml:space="preserve">4.9 מיליון ישראלים מחוברים </w:t>
      </w:r>
      <w:r w:rsidR="00BD7384" w:rsidRPr="004A2F83">
        <w:rPr>
          <w:rFonts w:cs="David" w:hint="cs"/>
          <w:sz w:val="28"/>
          <w:szCs w:val="28"/>
          <w:rtl/>
        </w:rPr>
        <w:t xml:space="preserve">אליה </w:t>
      </w:r>
      <w:r w:rsidRPr="004A2F83">
        <w:rPr>
          <w:rFonts w:cs="David" w:hint="cs"/>
          <w:sz w:val="28"/>
          <w:szCs w:val="28"/>
          <w:rtl/>
        </w:rPr>
        <w:t>בסוף שנת 2016</w:t>
      </w:r>
      <w:r w:rsidR="00FB358B" w:rsidRPr="004A2F83">
        <w:rPr>
          <w:rFonts w:cs="David" w:hint="cs"/>
          <w:sz w:val="28"/>
          <w:szCs w:val="28"/>
          <w:rtl/>
        </w:rPr>
        <w:t>.</w:t>
      </w:r>
      <w:r>
        <w:rPr>
          <w:rFonts w:cs="David" w:hint="cs"/>
          <w:sz w:val="28"/>
          <w:szCs w:val="28"/>
          <w:rtl/>
        </w:rPr>
        <w:t xml:space="preserve"> </w:t>
      </w:r>
      <w:r w:rsidR="00631AB6" w:rsidRPr="00447B4B">
        <w:rPr>
          <w:rFonts w:cs="David" w:hint="cs"/>
          <w:b/>
          <w:bCs/>
          <w:sz w:val="28"/>
          <w:szCs w:val="28"/>
          <w:rtl/>
        </w:rPr>
        <w:t>אין זה פלא, אם כך, כי</w:t>
      </w:r>
      <w:r w:rsidR="00631AB6">
        <w:rPr>
          <w:rFonts w:cs="David" w:hint="cs"/>
          <w:sz w:val="28"/>
          <w:szCs w:val="28"/>
          <w:rtl/>
        </w:rPr>
        <w:t xml:space="preserve"> </w:t>
      </w:r>
      <w:r w:rsidR="00900ABB">
        <w:rPr>
          <w:rFonts w:cs="David" w:hint="cs"/>
          <w:b/>
          <w:bCs/>
          <w:sz w:val="28"/>
          <w:szCs w:val="28"/>
          <w:rtl/>
        </w:rPr>
        <w:t>87% מהשיח הגזעני והאלים בישראל נגד החברה הערבית מתנהל ב'פייסבוק'.</w:t>
      </w:r>
      <w:r w:rsidR="00900ABB">
        <w:rPr>
          <w:rStyle w:val="a5"/>
          <w:rFonts w:cs="David"/>
          <w:b/>
          <w:bCs/>
          <w:sz w:val="28"/>
          <w:szCs w:val="28"/>
          <w:rtl/>
        </w:rPr>
        <w:footnoteReference w:id="246"/>
      </w:r>
    </w:p>
    <w:p w:rsidR="003267FC" w:rsidRPr="00447B4B" w:rsidRDefault="003267FC" w:rsidP="003267FC">
      <w:pPr>
        <w:spacing w:line="360" w:lineRule="auto"/>
        <w:jc w:val="both"/>
        <w:rPr>
          <w:rFonts w:cs="David"/>
          <w:b/>
          <w:bCs/>
          <w:sz w:val="28"/>
          <w:szCs w:val="28"/>
          <w:rtl/>
        </w:rPr>
      </w:pPr>
      <w:r w:rsidRPr="001015C6">
        <w:rPr>
          <w:rFonts w:cs="David" w:hint="cs"/>
          <w:sz w:val="28"/>
          <w:szCs w:val="28"/>
          <w:rtl/>
        </w:rPr>
        <w:t>האחוז הגבוה של המשתמשים, שצומח משנה לשנה לצד הזמינות הגבוהה לגלישה</w:t>
      </w:r>
      <w:r>
        <w:rPr>
          <w:rFonts w:cs="David" w:hint="cs"/>
          <w:sz w:val="28"/>
          <w:szCs w:val="28"/>
          <w:rtl/>
        </w:rPr>
        <w:t xml:space="preserve"> באמצעות הסמארטפונים והטאבלטים הניידים</w:t>
      </w:r>
      <w:r w:rsidRPr="001015C6">
        <w:rPr>
          <w:rFonts w:cs="David" w:hint="cs"/>
          <w:sz w:val="28"/>
          <w:szCs w:val="28"/>
          <w:rtl/>
        </w:rPr>
        <w:t xml:space="preserve">, </w:t>
      </w:r>
      <w:r w:rsidRPr="001015C6">
        <w:rPr>
          <w:rFonts w:cs="David" w:hint="cs"/>
          <w:b/>
          <w:bCs/>
          <w:sz w:val="28"/>
          <w:szCs w:val="28"/>
          <w:rtl/>
        </w:rPr>
        <w:t>הופכת את הרשתות החברתיות</w:t>
      </w:r>
      <w:r>
        <w:rPr>
          <w:rFonts w:cs="David" w:hint="cs"/>
          <w:b/>
          <w:bCs/>
          <w:sz w:val="28"/>
          <w:szCs w:val="28"/>
          <w:rtl/>
        </w:rPr>
        <w:t xml:space="preserve"> בישראל ובדגש את 'פייסבוק',</w:t>
      </w:r>
      <w:r w:rsidRPr="001015C6">
        <w:rPr>
          <w:rFonts w:cs="David" w:hint="cs"/>
          <w:b/>
          <w:bCs/>
          <w:sz w:val="28"/>
          <w:szCs w:val="28"/>
          <w:rtl/>
        </w:rPr>
        <w:t xml:space="preserve"> לקרקע המאפשרת תפוצה גבוהה של דעות ועמדות, כולל </w:t>
      </w:r>
      <w:r>
        <w:rPr>
          <w:rFonts w:cs="David" w:hint="cs"/>
          <w:b/>
          <w:bCs/>
          <w:sz w:val="28"/>
          <w:szCs w:val="28"/>
          <w:rtl/>
        </w:rPr>
        <w:t xml:space="preserve">כאלו </w:t>
      </w:r>
      <w:r w:rsidRPr="001015C6">
        <w:rPr>
          <w:rFonts w:cs="David" w:hint="cs"/>
          <w:b/>
          <w:bCs/>
          <w:sz w:val="28"/>
          <w:szCs w:val="28"/>
          <w:rtl/>
        </w:rPr>
        <w:t xml:space="preserve">קיצוניות וגזעניות. </w:t>
      </w:r>
      <w:r w:rsidRPr="003267FC">
        <w:rPr>
          <w:rFonts w:cs="David" w:hint="cs"/>
          <w:sz w:val="28"/>
          <w:szCs w:val="28"/>
          <w:rtl/>
        </w:rPr>
        <w:t>כל אחד, בכל עת, יכול להגיב ולפרסם את אשר על ליבו.</w:t>
      </w:r>
    </w:p>
    <w:p w:rsidR="003F6A67" w:rsidRDefault="003267FC" w:rsidP="003267FC">
      <w:pPr>
        <w:spacing w:line="360" w:lineRule="auto"/>
        <w:jc w:val="both"/>
        <w:rPr>
          <w:rFonts w:cs="David"/>
          <w:sz w:val="28"/>
          <w:szCs w:val="28"/>
          <w:rtl/>
        </w:rPr>
      </w:pPr>
      <w:r>
        <w:rPr>
          <w:rFonts w:cs="David" w:hint="cs"/>
          <w:sz w:val="28"/>
          <w:szCs w:val="28"/>
          <w:rtl/>
        </w:rPr>
        <w:t>בהמשך</w:t>
      </w:r>
      <w:r w:rsidR="003F6A67">
        <w:rPr>
          <w:rFonts w:cs="David" w:hint="cs"/>
          <w:sz w:val="28"/>
          <w:szCs w:val="28"/>
          <w:rtl/>
        </w:rPr>
        <w:t xml:space="preserve">, פנתה העבודה לבחון את מאפייני המרשתת והרשתות החברתיות ומצאה כי </w:t>
      </w:r>
      <w:r w:rsidR="003F6A67" w:rsidRPr="00DD5B53">
        <w:rPr>
          <w:rFonts w:cs="David" w:hint="cs"/>
          <w:b/>
          <w:bCs/>
          <w:sz w:val="28"/>
          <w:szCs w:val="28"/>
          <w:rtl/>
        </w:rPr>
        <w:t>למרשתת ולרשתות החברתיות מגוון מאפיינים, המייחדים אותן מכל אמצעי התקשורת האחרים</w:t>
      </w:r>
      <w:r w:rsidR="003F6A67">
        <w:rPr>
          <w:rFonts w:cs="David" w:hint="cs"/>
          <w:sz w:val="28"/>
          <w:szCs w:val="28"/>
          <w:rtl/>
        </w:rPr>
        <w:t xml:space="preserve"> ובכללם: העוצמה החזקתית של מספר הקשרים ברשת (חוק מטקלף); ירידה דרסטית בעלות השיתוף בין המשתמשים</w:t>
      </w:r>
      <w:r w:rsidR="003F6A67">
        <w:rPr>
          <w:rFonts w:cs="David"/>
          <w:sz w:val="28"/>
          <w:szCs w:val="28"/>
        </w:rPr>
        <w:t xml:space="preserve"> </w:t>
      </w:r>
      <w:r w:rsidR="003F6A67">
        <w:rPr>
          <w:rFonts w:cs="David" w:hint="cs"/>
          <w:sz w:val="28"/>
          <w:szCs w:val="28"/>
          <w:rtl/>
        </w:rPr>
        <w:t>ובעלויות העסקה, כך שתשתיות השידור של המרשתת והרשתות החברתיות זמינות לכל אדם שחפץ בכך (חוק שריקי); תקשורת "רבים-לרבים" המגדילה את האמון בין המשתמשים (חוק אקסלרוד); ביזור הרשת המאפשר תקשורת ישירה ובלתי אמצעית בין המשתמשים</w:t>
      </w:r>
      <w:r w:rsidR="003F6A67">
        <w:rPr>
          <w:rFonts w:cs="David" w:hint="cs"/>
          <w:sz w:val="28"/>
          <w:szCs w:val="28"/>
        </w:rPr>
        <w:t xml:space="preserve"> </w:t>
      </w:r>
      <w:r w:rsidR="003F6A67">
        <w:rPr>
          <w:rFonts w:cs="David" w:hint="cs"/>
          <w:sz w:val="28"/>
          <w:szCs w:val="28"/>
          <w:rtl/>
        </w:rPr>
        <w:t>והמעניק לפרט עוצמה חסרת תקדים להעברת מסריו (חוק מקלוהן); חולשת הפיקוח החברתי והעצמי על ושל המשתמש; 'המלחמה' האגרסיבית על תשומת הלב של המשתמשים ברשת</w:t>
      </w:r>
      <w:r>
        <w:rPr>
          <w:rFonts w:cs="David" w:hint="cs"/>
          <w:sz w:val="28"/>
          <w:szCs w:val="28"/>
          <w:rtl/>
        </w:rPr>
        <w:t xml:space="preserve"> </w:t>
      </w:r>
      <w:r w:rsidR="003F6A67">
        <w:rPr>
          <w:rFonts w:cs="David" w:hint="cs"/>
          <w:sz w:val="28"/>
          <w:szCs w:val="28"/>
          <w:rtl/>
        </w:rPr>
        <w:t xml:space="preserve">ובנוסף, שיקולים מסחריים של בעלי האתרים וספקיות המרשתת, אשר פיתחו כלים טכנולוגיים המשפיעים על חווית הגלישה השונה בין המשתמש האחד למשנהו. </w:t>
      </w:r>
    </w:p>
    <w:p w:rsidR="003F6A67" w:rsidRPr="000706CB" w:rsidRDefault="003F6A67" w:rsidP="003F6A67">
      <w:pPr>
        <w:spacing w:line="360" w:lineRule="auto"/>
        <w:jc w:val="both"/>
        <w:rPr>
          <w:rFonts w:cs="David"/>
          <w:b/>
          <w:bCs/>
          <w:sz w:val="28"/>
          <w:szCs w:val="28"/>
          <w:rtl/>
        </w:rPr>
      </w:pPr>
      <w:r>
        <w:rPr>
          <w:rFonts w:cs="David" w:hint="cs"/>
          <w:sz w:val="28"/>
          <w:szCs w:val="28"/>
          <w:rtl/>
        </w:rPr>
        <w:lastRenderedPageBreak/>
        <w:t xml:space="preserve">עוד בחנה העבודה, מזווית מסוימת, את האינטרסים המסחריים והכלכליים של בעלי האתרים והספקים, תוך התמקדות באפקט 'בועת הפילטר' והשפעתו על המשתמש והמסקנה שעלתה הינה כי אינטרסים אלו, שהינם בהחלט טבעיים, </w:t>
      </w:r>
      <w:r w:rsidRPr="000D092A">
        <w:rPr>
          <w:rFonts w:cs="David" w:hint="cs"/>
          <w:b/>
          <w:bCs/>
          <w:sz w:val="28"/>
          <w:szCs w:val="28"/>
          <w:rtl/>
        </w:rPr>
        <w:t xml:space="preserve">משפיעים </w:t>
      </w:r>
      <w:r>
        <w:rPr>
          <w:rFonts w:cs="David" w:hint="cs"/>
          <w:b/>
          <w:bCs/>
          <w:sz w:val="28"/>
          <w:szCs w:val="28"/>
          <w:rtl/>
        </w:rPr>
        <w:t xml:space="preserve">דרמטית </w:t>
      </w:r>
      <w:r w:rsidRPr="000D092A">
        <w:rPr>
          <w:rFonts w:cs="David" w:hint="cs"/>
          <w:b/>
          <w:bCs/>
          <w:sz w:val="28"/>
          <w:szCs w:val="28"/>
          <w:rtl/>
        </w:rPr>
        <w:t xml:space="preserve">על האופן בו חווים </w:t>
      </w:r>
      <w:r>
        <w:rPr>
          <w:rFonts w:cs="David" w:hint="cs"/>
          <w:b/>
          <w:bCs/>
          <w:sz w:val="28"/>
          <w:szCs w:val="28"/>
          <w:rtl/>
        </w:rPr>
        <w:t xml:space="preserve">המשתמשים </w:t>
      </w:r>
      <w:r w:rsidRPr="000D092A">
        <w:rPr>
          <w:rFonts w:cs="David" w:hint="cs"/>
          <w:b/>
          <w:bCs/>
          <w:sz w:val="28"/>
          <w:szCs w:val="28"/>
          <w:rtl/>
        </w:rPr>
        <w:t>את המציאות דרך המרשתת והרשתות החברתיות</w:t>
      </w:r>
      <w:r>
        <w:rPr>
          <w:rFonts w:cs="David" w:hint="cs"/>
          <w:sz w:val="28"/>
          <w:szCs w:val="28"/>
          <w:rtl/>
        </w:rPr>
        <w:t xml:space="preserve"> </w:t>
      </w:r>
      <w:r w:rsidRPr="000706CB">
        <w:rPr>
          <w:rFonts w:cs="David" w:hint="cs"/>
          <w:b/>
          <w:bCs/>
          <w:sz w:val="28"/>
          <w:szCs w:val="28"/>
          <w:rtl/>
        </w:rPr>
        <w:t>ועל המידע והדעות אליהם נחשפים המשתמשים.</w:t>
      </w:r>
      <w:r>
        <w:rPr>
          <w:rFonts w:cs="David" w:hint="cs"/>
          <w:b/>
          <w:bCs/>
          <w:sz w:val="28"/>
          <w:szCs w:val="28"/>
          <w:rtl/>
        </w:rPr>
        <w:t xml:space="preserve"> </w:t>
      </w:r>
    </w:p>
    <w:p w:rsidR="00B45CE3" w:rsidRPr="00B63D0B" w:rsidRDefault="003F6A67" w:rsidP="00B45CE3">
      <w:pPr>
        <w:spacing w:line="360" w:lineRule="auto"/>
        <w:jc w:val="both"/>
        <w:rPr>
          <w:rFonts w:cs="David"/>
          <w:b/>
          <w:bCs/>
          <w:sz w:val="28"/>
          <w:szCs w:val="28"/>
          <w:rtl/>
        </w:rPr>
      </w:pPr>
      <w:r>
        <w:rPr>
          <w:rFonts w:cs="David" w:hint="cs"/>
          <w:sz w:val="28"/>
          <w:szCs w:val="28"/>
          <w:rtl/>
        </w:rPr>
        <w:t xml:space="preserve">מידת השפעתם של </w:t>
      </w:r>
      <w:r w:rsidR="00696193">
        <w:rPr>
          <w:rFonts w:cs="David" w:hint="cs"/>
          <w:sz w:val="28"/>
          <w:szCs w:val="28"/>
          <w:rtl/>
        </w:rPr>
        <w:t>ה</w:t>
      </w:r>
      <w:r>
        <w:rPr>
          <w:rFonts w:cs="David" w:hint="cs"/>
          <w:sz w:val="28"/>
          <w:szCs w:val="28"/>
          <w:rtl/>
        </w:rPr>
        <w:t xml:space="preserve">מאפיינים </w:t>
      </w:r>
      <w:r w:rsidR="00696193">
        <w:rPr>
          <w:rFonts w:cs="David" w:hint="cs"/>
          <w:sz w:val="28"/>
          <w:szCs w:val="28"/>
          <w:rtl/>
        </w:rPr>
        <w:t>ה</w:t>
      </w:r>
      <w:r>
        <w:rPr>
          <w:rFonts w:cs="David" w:hint="cs"/>
          <w:sz w:val="28"/>
          <w:szCs w:val="28"/>
          <w:rtl/>
        </w:rPr>
        <w:t xml:space="preserve">ייחודיים </w:t>
      </w:r>
      <w:r w:rsidR="00696193">
        <w:rPr>
          <w:rFonts w:cs="David" w:hint="cs"/>
          <w:sz w:val="28"/>
          <w:szCs w:val="28"/>
          <w:rtl/>
        </w:rPr>
        <w:t>והאינטרסים הכלכליים הללו</w:t>
      </w:r>
      <w:r>
        <w:rPr>
          <w:rFonts w:cs="David" w:hint="cs"/>
          <w:sz w:val="28"/>
          <w:szCs w:val="28"/>
          <w:rtl/>
        </w:rPr>
        <w:t xml:space="preserve"> הינה ברורה: </w:t>
      </w:r>
      <w:r w:rsidRPr="00B63D0B">
        <w:rPr>
          <w:rFonts w:cs="David" w:hint="cs"/>
          <w:sz w:val="28"/>
          <w:szCs w:val="28"/>
          <w:rtl/>
        </w:rPr>
        <w:t xml:space="preserve">הם </w:t>
      </w:r>
      <w:r w:rsidRPr="003438EF">
        <w:rPr>
          <w:rFonts w:cs="David" w:hint="cs"/>
          <w:b/>
          <w:bCs/>
          <w:sz w:val="28"/>
          <w:szCs w:val="28"/>
          <w:rtl/>
        </w:rPr>
        <w:t>מרחיבים את חופש הביטוי של הפרט בצורה אולטימטיבית,</w:t>
      </w:r>
      <w:r w:rsidRPr="00B63D0B">
        <w:rPr>
          <w:rFonts w:cs="David" w:hint="cs"/>
          <w:sz w:val="28"/>
          <w:szCs w:val="28"/>
          <w:rtl/>
        </w:rPr>
        <w:t xml:space="preserve"> כך שכל אחד יכול להיות דובר, עורך, מפיק ומפיץ,</w:t>
      </w:r>
      <w:r w:rsidRPr="00081DC7">
        <w:rPr>
          <w:rFonts w:cs="David" w:hint="cs"/>
          <w:b/>
          <w:bCs/>
          <w:sz w:val="28"/>
          <w:szCs w:val="28"/>
          <w:rtl/>
        </w:rPr>
        <w:t xml:space="preserve"> אך בה בעת גם מאפשרים את </w:t>
      </w:r>
      <w:r w:rsidR="00B45CE3">
        <w:rPr>
          <w:rFonts w:cs="David" w:hint="cs"/>
          <w:b/>
          <w:bCs/>
          <w:sz w:val="28"/>
          <w:szCs w:val="28"/>
          <w:rtl/>
        </w:rPr>
        <w:t>המצע ל</w:t>
      </w:r>
      <w:r w:rsidRPr="00081DC7">
        <w:rPr>
          <w:rFonts w:cs="David" w:hint="cs"/>
          <w:b/>
          <w:bCs/>
          <w:sz w:val="28"/>
          <w:szCs w:val="28"/>
          <w:rtl/>
        </w:rPr>
        <w:t>שיח הגזעני והמסית</w:t>
      </w:r>
      <w:r>
        <w:rPr>
          <w:rFonts w:cs="David" w:hint="cs"/>
          <w:sz w:val="28"/>
          <w:szCs w:val="28"/>
          <w:rtl/>
        </w:rPr>
        <w:t xml:space="preserve"> </w:t>
      </w:r>
      <w:r w:rsidRPr="00D022B7">
        <w:rPr>
          <w:rFonts w:cs="David" w:hint="cs"/>
          <w:b/>
          <w:bCs/>
          <w:sz w:val="28"/>
          <w:szCs w:val="28"/>
          <w:rtl/>
        </w:rPr>
        <w:t>הפוגע ביחידים או קבוצות שאותו שיח מופנה כלפיהם</w:t>
      </w:r>
      <w:r>
        <w:rPr>
          <w:rFonts w:cs="David" w:hint="cs"/>
          <w:sz w:val="28"/>
          <w:szCs w:val="28"/>
          <w:rtl/>
        </w:rPr>
        <w:t xml:space="preserve"> ו</w:t>
      </w:r>
      <w:r>
        <w:rPr>
          <w:rFonts w:cs="David" w:hint="cs"/>
          <w:b/>
          <w:bCs/>
          <w:sz w:val="28"/>
          <w:szCs w:val="28"/>
          <w:rtl/>
        </w:rPr>
        <w:t>ה</w:t>
      </w:r>
      <w:r w:rsidRPr="00655CE2">
        <w:rPr>
          <w:rFonts w:cs="David" w:hint="cs"/>
          <w:b/>
          <w:bCs/>
          <w:sz w:val="28"/>
          <w:szCs w:val="28"/>
          <w:rtl/>
        </w:rPr>
        <w:t>מנציח סטראוטיפים ודעות קדומות</w:t>
      </w:r>
      <w:r w:rsidRPr="00EF4B4B">
        <w:rPr>
          <w:rFonts w:cs="David" w:hint="cs"/>
          <w:sz w:val="28"/>
          <w:szCs w:val="28"/>
          <w:rtl/>
        </w:rPr>
        <w:t xml:space="preserve">, </w:t>
      </w:r>
      <w:r w:rsidRPr="00B45CE3">
        <w:rPr>
          <w:rFonts w:cs="David" w:hint="cs"/>
          <w:b/>
          <w:bCs/>
          <w:sz w:val="28"/>
          <w:szCs w:val="28"/>
          <w:rtl/>
        </w:rPr>
        <w:t xml:space="preserve">פוגע בשלום הציבור ובזכותם של אותם יחידים </w:t>
      </w:r>
      <w:r w:rsidRPr="00655CE2">
        <w:rPr>
          <w:rFonts w:cs="David" w:hint="cs"/>
          <w:b/>
          <w:bCs/>
          <w:sz w:val="28"/>
          <w:szCs w:val="28"/>
          <w:rtl/>
        </w:rPr>
        <w:t>לכבוד, לשוויון ולביטחון</w:t>
      </w:r>
      <w:r w:rsidRPr="00EF4B4B">
        <w:rPr>
          <w:rFonts w:cs="David" w:hint="cs"/>
          <w:sz w:val="28"/>
          <w:szCs w:val="28"/>
          <w:rtl/>
        </w:rPr>
        <w:t>.</w:t>
      </w:r>
      <w:r>
        <w:rPr>
          <w:rStyle w:val="a5"/>
          <w:rFonts w:cs="David"/>
          <w:sz w:val="28"/>
          <w:szCs w:val="28"/>
          <w:rtl/>
        </w:rPr>
        <w:footnoteReference w:id="247"/>
      </w:r>
      <w:r>
        <w:rPr>
          <w:rFonts w:cs="David" w:hint="cs"/>
          <w:sz w:val="28"/>
          <w:szCs w:val="28"/>
          <w:rtl/>
        </w:rPr>
        <w:t xml:space="preserve"> </w:t>
      </w:r>
      <w:r w:rsidR="00B45CE3">
        <w:rPr>
          <w:rFonts w:cs="David" w:hint="cs"/>
          <w:b/>
          <w:bCs/>
          <w:sz w:val="28"/>
          <w:szCs w:val="28"/>
          <w:rtl/>
        </w:rPr>
        <w:t>לא רק זאת, הם גם מגדילים את היקפו של שיח זה.</w:t>
      </w:r>
    </w:p>
    <w:p w:rsidR="003F6A67" w:rsidRDefault="003F6A67" w:rsidP="00B45CE3">
      <w:pPr>
        <w:spacing w:line="360" w:lineRule="auto"/>
        <w:jc w:val="both"/>
        <w:rPr>
          <w:rFonts w:cs="David"/>
          <w:sz w:val="28"/>
          <w:szCs w:val="28"/>
          <w:rtl/>
        </w:rPr>
      </w:pPr>
      <w:r>
        <w:rPr>
          <w:rFonts w:cs="David" w:hint="cs"/>
          <w:sz w:val="28"/>
          <w:szCs w:val="28"/>
          <w:rtl/>
        </w:rPr>
        <w:t xml:space="preserve">אם כך, </w:t>
      </w:r>
      <w:r w:rsidR="00B45CE3">
        <w:rPr>
          <w:rFonts w:cs="David" w:hint="cs"/>
          <w:sz w:val="28"/>
          <w:szCs w:val="28"/>
          <w:rtl/>
        </w:rPr>
        <w:t xml:space="preserve">נראה </w:t>
      </w:r>
      <w:r>
        <w:rPr>
          <w:rFonts w:cs="David" w:hint="cs"/>
          <w:sz w:val="28"/>
          <w:szCs w:val="28"/>
          <w:rtl/>
        </w:rPr>
        <w:t xml:space="preserve">כי </w:t>
      </w:r>
      <w:r w:rsidRPr="00777C91">
        <w:rPr>
          <w:rFonts w:cs="David" w:hint="cs"/>
          <w:b/>
          <w:bCs/>
          <w:sz w:val="28"/>
          <w:szCs w:val="28"/>
          <w:rtl/>
        </w:rPr>
        <w:t>המרשתת והרשתות החברתיות</w:t>
      </w:r>
      <w:r>
        <w:rPr>
          <w:rFonts w:cs="David" w:hint="cs"/>
          <w:b/>
          <w:bCs/>
          <w:sz w:val="28"/>
          <w:szCs w:val="28"/>
          <w:rtl/>
        </w:rPr>
        <w:t xml:space="preserve"> - על מאפייניהן והאינטרסים המסחריים הקשורים בהן -</w:t>
      </w:r>
      <w:r w:rsidRPr="00777C91">
        <w:rPr>
          <w:rFonts w:cs="David" w:hint="cs"/>
          <w:b/>
          <w:bCs/>
          <w:sz w:val="28"/>
          <w:szCs w:val="28"/>
          <w:rtl/>
        </w:rPr>
        <w:t xml:space="preserve"> הביאו עדנה לשיח הגזעני, הקיצוני, האגרסיבי והמתלהם כנגד </w:t>
      </w:r>
      <w:r w:rsidRPr="00A36BF1">
        <w:rPr>
          <w:rFonts w:cs="David" w:hint="cs"/>
          <w:b/>
          <w:bCs/>
          <w:sz w:val="28"/>
          <w:szCs w:val="28"/>
          <w:rtl/>
        </w:rPr>
        <w:t>'האחר' והחלש</w:t>
      </w:r>
      <w:r>
        <w:rPr>
          <w:rFonts w:cs="David" w:hint="cs"/>
          <w:sz w:val="28"/>
          <w:szCs w:val="28"/>
          <w:rtl/>
        </w:rPr>
        <w:t xml:space="preserve"> - ובישראל כנגד המיעוט הערבי. </w:t>
      </w:r>
    </w:p>
    <w:p w:rsidR="003F6A67" w:rsidRPr="00FC72F8" w:rsidRDefault="002935C6" w:rsidP="002935C6">
      <w:pPr>
        <w:spacing w:line="360" w:lineRule="auto"/>
        <w:jc w:val="both"/>
        <w:rPr>
          <w:rFonts w:cs="David"/>
          <w:color w:val="FF0000"/>
          <w:sz w:val="28"/>
          <w:szCs w:val="28"/>
          <w:rtl/>
        </w:rPr>
      </w:pPr>
      <w:r>
        <w:rPr>
          <w:rFonts w:cs="David" w:hint="cs"/>
          <w:sz w:val="28"/>
          <w:szCs w:val="28"/>
          <w:rtl/>
        </w:rPr>
        <w:t xml:space="preserve">בהמשך עסקה </w:t>
      </w:r>
      <w:r w:rsidR="003F6A67" w:rsidRPr="00DC187C">
        <w:rPr>
          <w:rFonts w:cs="David" w:hint="cs"/>
          <w:sz w:val="28"/>
          <w:szCs w:val="28"/>
          <w:rtl/>
        </w:rPr>
        <w:t xml:space="preserve">העבודה </w:t>
      </w:r>
      <w:r>
        <w:rPr>
          <w:rFonts w:cs="David" w:hint="cs"/>
          <w:sz w:val="28"/>
          <w:szCs w:val="28"/>
          <w:rtl/>
        </w:rPr>
        <w:t xml:space="preserve">בבחינת </w:t>
      </w:r>
      <w:r w:rsidR="003F6A67">
        <w:rPr>
          <w:rFonts w:cs="David" w:hint="cs"/>
          <w:sz w:val="28"/>
          <w:szCs w:val="28"/>
          <w:rtl/>
        </w:rPr>
        <w:t xml:space="preserve">התפיסה המשפטית, כפי שבאה לידי ביטוי בחוק ובמשפט בישראל, והשפעתה על עיצוב השיח הציבורי הכללי בישראל לאורך השנים ובתוך כך, על מעמד חופש הביטוי של הפרט בחברה הישראלית ובמיוחד בעת ההתנגשות בינו ובין האינטרסים והערכים המוגנים באיסורים הפליליים שבעבירות ההסתה לגזענות ולאלימות, העומדות בליבת העבודה. </w:t>
      </w:r>
    </w:p>
    <w:p w:rsidR="003F6A67" w:rsidRDefault="003F6A67" w:rsidP="004A2F83">
      <w:pPr>
        <w:spacing w:line="360" w:lineRule="auto"/>
        <w:jc w:val="both"/>
        <w:rPr>
          <w:rFonts w:cs="David"/>
          <w:sz w:val="28"/>
          <w:szCs w:val="28"/>
          <w:rtl/>
        </w:rPr>
      </w:pPr>
      <w:r>
        <w:rPr>
          <w:rFonts w:cs="David" w:hint="cs"/>
          <w:sz w:val="28"/>
          <w:szCs w:val="28"/>
          <w:rtl/>
        </w:rPr>
        <w:t>תחילה נחקרה ההתפתחות ההיסטורית בפסיקת בית המשפט העליון מאז קום המדינה ועד ימינו, בכל הנוגע לחופש הביטוי באופן כללי וכן ספציפית בעת התנגשותו עם האינטרסים והערכים המוגנים בעבירות ההסתה לגזענות ולאלימות</w:t>
      </w:r>
      <w:r w:rsidR="004A2F83">
        <w:rPr>
          <w:rFonts w:cs="David" w:hint="cs"/>
          <w:sz w:val="28"/>
          <w:szCs w:val="28"/>
          <w:rtl/>
        </w:rPr>
        <w:t xml:space="preserve">. </w:t>
      </w:r>
      <w:r>
        <w:rPr>
          <w:rFonts w:cs="David" w:hint="cs"/>
          <w:sz w:val="28"/>
          <w:szCs w:val="28"/>
          <w:rtl/>
        </w:rPr>
        <w:t>זאת</w:t>
      </w:r>
      <w:r w:rsidR="004A2F83">
        <w:rPr>
          <w:rFonts w:cs="David" w:hint="cs"/>
          <w:sz w:val="28"/>
          <w:szCs w:val="28"/>
          <w:rtl/>
        </w:rPr>
        <w:t>,</w:t>
      </w:r>
      <w:r>
        <w:rPr>
          <w:rFonts w:cs="David" w:hint="cs"/>
          <w:sz w:val="28"/>
          <w:szCs w:val="28"/>
          <w:rtl/>
        </w:rPr>
        <w:t xml:space="preserve"> תוך דיון רחב בהתפתחות החקיקה בעבירות אלו ובאופן השפעתה על דרישות הפסיקה בכל הנוגע ליסודות הנדרשים - העובדתיים והנפשיים -  לשם גיבוש כל אחת מהעבירות בהן עסקינן.</w:t>
      </w:r>
    </w:p>
    <w:p w:rsidR="003F6A67" w:rsidRDefault="003F6A67" w:rsidP="003F6A67">
      <w:pPr>
        <w:spacing w:line="360" w:lineRule="auto"/>
        <w:jc w:val="both"/>
        <w:rPr>
          <w:rFonts w:cs="David"/>
          <w:sz w:val="28"/>
          <w:szCs w:val="28"/>
          <w:rtl/>
        </w:rPr>
      </w:pPr>
      <w:r>
        <w:rPr>
          <w:rFonts w:cs="David" w:hint="cs"/>
          <w:sz w:val="28"/>
          <w:szCs w:val="28"/>
          <w:rtl/>
        </w:rPr>
        <w:t xml:space="preserve">מהחקירה </w:t>
      </w:r>
      <w:r w:rsidRPr="002F1ABA">
        <w:rPr>
          <w:rFonts w:cs="David" w:hint="cs"/>
          <w:sz w:val="28"/>
          <w:szCs w:val="28"/>
          <w:rtl/>
        </w:rPr>
        <w:t>עולה כי בשל מעמדו האיתן של חופש הביטוי, אשר הוכר בפסיקה כבעל מעמד חוקתי על-חוקי,</w:t>
      </w:r>
      <w:r w:rsidRPr="007C6E61">
        <w:rPr>
          <w:rFonts w:cs="David" w:hint="cs"/>
          <w:b/>
          <w:bCs/>
          <w:sz w:val="28"/>
          <w:szCs w:val="28"/>
          <w:rtl/>
        </w:rPr>
        <w:t xml:space="preserve"> החקיקה בנושאי ההסתה לגזענות ולאלימות הינה מצמצמת.</w:t>
      </w:r>
      <w:r>
        <w:rPr>
          <w:rFonts w:cs="David" w:hint="cs"/>
          <w:sz w:val="28"/>
          <w:szCs w:val="28"/>
          <w:rtl/>
        </w:rPr>
        <w:t xml:space="preserve"> בנוסף, </w:t>
      </w:r>
      <w:r w:rsidRPr="002F1ABA">
        <w:rPr>
          <w:rFonts w:cs="David" w:hint="cs"/>
          <w:sz w:val="28"/>
          <w:szCs w:val="28"/>
          <w:rtl/>
        </w:rPr>
        <w:t>הפרשנות המשפטית</w:t>
      </w:r>
      <w:r w:rsidR="002F1ABA" w:rsidRPr="002F1ABA">
        <w:rPr>
          <w:rFonts w:cs="David" w:hint="cs"/>
          <w:sz w:val="28"/>
          <w:szCs w:val="28"/>
          <w:rtl/>
        </w:rPr>
        <w:t>,</w:t>
      </w:r>
      <w:r w:rsidRPr="002F1ABA">
        <w:rPr>
          <w:rFonts w:cs="David" w:hint="cs"/>
          <w:sz w:val="28"/>
          <w:szCs w:val="28"/>
          <w:rtl/>
        </w:rPr>
        <w:t xml:space="preserve"> שניתנה ליסודות עבירת ההסתה לגזענות</w:t>
      </w:r>
      <w:r w:rsidR="002F1ABA" w:rsidRPr="002F1ABA">
        <w:rPr>
          <w:rFonts w:cs="David" w:hint="cs"/>
          <w:sz w:val="28"/>
          <w:szCs w:val="28"/>
          <w:rtl/>
        </w:rPr>
        <w:t>,</w:t>
      </w:r>
      <w:r w:rsidRPr="007C6E61">
        <w:rPr>
          <w:rFonts w:cs="David" w:hint="cs"/>
          <w:b/>
          <w:bCs/>
          <w:sz w:val="28"/>
          <w:szCs w:val="28"/>
          <w:rtl/>
        </w:rPr>
        <w:t xml:space="preserve"> אינה בהירה די צורכה ופוגעת בדרישה כי כל חוק פלילי, ובוודאי כזה הנוגע לעבירות ביטוי, יהיה </w:t>
      </w:r>
      <w:r w:rsidRPr="007C6E61">
        <w:rPr>
          <w:rFonts w:cs="David" w:hint="cs"/>
          <w:b/>
          <w:bCs/>
          <w:sz w:val="28"/>
          <w:szCs w:val="28"/>
          <w:rtl/>
        </w:rPr>
        <w:lastRenderedPageBreak/>
        <w:t>ברור וחד-</w:t>
      </w:r>
      <w:r w:rsidRPr="00081D49">
        <w:rPr>
          <w:rFonts w:cs="David" w:hint="cs"/>
          <w:b/>
          <w:bCs/>
          <w:sz w:val="28"/>
          <w:szCs w:val="28"/>
          <w:rtl/>
        </w:rPr>
        <w:t>משמעי ובכך מקשה על הציבור לכלכל את צעדיו בהתאם לנורמות המשפטיות הרצויות</w:t>
      </w:r>
      <w:r>
        <w:rPr>
          <w:rFonts w:cs="David" w:hint="cs"/>
          <w:sz w:val="28"/>
          <w:szCs w:val="28"/>
          <w:rtl/>
        </w:rPr>
        <w:t xml:space="preserve">. </w:t>
      </w:r>
    </w:p>
    <w:p w:rsidR="003F6A67" w:rsidRPr="007C6E61" w:rsidRDefault="003F6A67" w:rsidP="00504DDF">
      <w:pPr>
        <w:spacing w:line="360" w:lineRule="auto"/>
        <w:jc w:val="both"/>
        <w:rPr>
          <w:rFonts w:cs="David"/>
          <w:b/>
          <w:bCs/>
          <w:sz w:val="28"/>
          <w:szCs w:val="28"/>
          <w:rtl/>
        </w:rPr>
      </w:pPr>
      <w:r>
        <w:rPr>
          <w:rFonts w:cs="David" w:hint="cs"/>
          <w:sz w:val="28"/>
          <w:szCs w:val="28"/>
          <w:rtl/>
        </w:rPr>
        <w:t xml:space="preserve">לצד זה, והגם שהמצב המשפטי הנוגע לעבירת ההסתה לאלימות הינו ברור יותר, </w:t>
      </w:r>
      <w:r w:rsidRPr="007C6E61">
        <w:rPr>
          <w:rFonts w:cs="David" w:hint="cs"/>
          <w:b/>
          <w:bCs/>
          <w:sz w:val="28"/>
          <w:szCs w:val="28"/>
          <w:rtl/>
        </w:rPr>
        <w:t>ניתן להצביע על רף גבוה הנדרש לשם גיבוש העבירה הפלילית ועמידה במבחנים שקבעה הפסיקה.</w:t>
      </w:r>
    </w:p>
    <w:p w:rsidR="00F34F45" w:rsidRPr="007C6E61" w:rsidRDefault="003F6A67" w:rsidP="00504DDF">
      <w:pPr>
        <w:spacing w:line="360" w:lineRule="auto"/>
        <w:jc w:val="both"/>
        <w:rPr>
          <w:rFonts w:cs="David"/>
          <w:b/>
          <w:bCs/>
          <w:sz w:val="28"/>
          <w:szCs w:val="28"/>
          <w:rtl/>
        </w:rPr>
      </w:pPr>
      <w:r>
        <w:rPr>
          <w:rFonts w:cs="David" w:hint="cs"/>
          <w:sz w:val="28"/>
          <w:szCs w:val="28"/>
          <w:rtl/>
        </w:rPr>
        <w:t xml:space="preserve">לפיכך, המסקנה העולה בסיכומו של פרק זה הינה כי </w:t>
      </w:r>
      <w:r w:rsidRPr="007C6E61">
        <w:rPr>
          <w:rFonts w:cs="David" w:hint="cs"/>
          <w:b/>
          <w:bCs/>
          <w:sz w:val="28"/>
          <w:szCs w:val="28"/>
          <w:rtl/>
        </w:rPr>
        <w:t xml:space="preserve">החקיקה </w:t>
      </w:r>
      <w:r w:rsidR="0028560C">
        <w:rPr>
          <w:rFonts w:cs="David" w:hint="cs"/>
          <w:b/>
          <w:bCs/>
          <w:sz w:val="28"/>
          <w:szCs w:val="28"/>
          <w:rtl/>
        </w:rPr>
        <w:t xml:space="preserve">הישנה, שחוקקה עוד לפני פריצתן של הרשתות החברתיות לחיינו, הינה </w:t>
      </w:r>
      <w:r w:rsidRPr="007C6E61">
        <w:rPr>
          <w:rFonts w:cs="David" w:hint="cs"/>
          <w:b/>
          <w:bCs/>
          <w:sz w:val="28"/>
          <w:szCs w:val="28"/>
          <w:rtl/>
        </w:rPr>
        <w:t>מצמצמת</w:t>
      </w:r>
      <w:r w:rsidR="0028560C">
        <w:rPr>
          <w:rFonts w:cs="David" w:hint="cs"/>
          <w:b/>
          <w:bCs/>
          <w:sz w:val="28"/>
          <w:szCs w:val="28"/>
          <w:rtl/>
        </w:rPr>
        <w:t xml:space="preserve">. זאת, </w:t>
      </w:r>
      <w:r w:rsidRPr="007C6E61">
        <w:rPr>
          <w:rFonts w:cs="David" w:hint="cs"/>
          <w:b/>
          <w:bCs/>
          <w:sz w:val="28"/>
          <w:szCs w:val="28"/>
          <w:rtl/>
        </w:rPr>
        <w:t xml:space="preserve">לצד הפרשנות המשפטית שאינה בהירה </w:t>
      </w:r>
      <w:r>
        <w:rPr>
          <w:rFonts w:cs="David" w:hint="cs"/>
          <w:b/>
          <w:bCs/>
          <w:sz w:val="28"/>
          <w:szCs w:val="28"/>
          <w:rtl/>
        </w:rPr>
        <w:t xml:space="preserve">דיה </w:t>
      </w:r>
      <w:r w:rsidRPr="007C6E61">
        <w:rPr>
          <w:rFonts w:cs="David" w:hint="cs"/>
          <w:b/>
          <w:bCs/>
          <w:sz w:val="28"/>
          <w:szCs w:val="28"/>
          <w:rtl/>
        </w:rPr>
        <w:t>וכן זהירה מאד באשר למעמדו של חופש הביטוי</w:t>
      </w:r>
      <w:r w:rsidR="00504DDF">
        <w:rPr>
          <w:rFonts w:cs="David" w:hint="cs"/>
          <w:b/>
          <w:bCs/>
          <w:sz w:val="28"/>
          <w:szCs w:val="28"/>
          <w:rtl/>
        </w:rPr>
        <w:t xml:space="preserve">. בשל כל אלו </w:t>
      </w:r>
      <w:r w:rsidR="0028560C">
        <w:rPr>
          <w:rFonts w:cs="David" w:hint="cs"/>
          <w:b/>
          <w:bCs/>
          <w:sz w:val="28"/>
          <w:szCs w:val="28"/>
          <w:rtl/>
        </w:rPr>
        <w:t xml:space="preserve">נוצר </w:t>
      </w:r>
      <w:r w:rsidRPr="007C6E61">
        <w:rPr>
          <w:rFonts w:cs="David" w:hint="cs"/>
          <w:b/>
          <w:bCs/>
          <w:sz w:val="28"/>
          <w:szCs w:val="28"/>
          <w:rtl/>
        </w:rPr>
        <w:t xml:space="preserve">מצב בו קשה </w:t>
      </w:r>
      <w:r>
        <w:rPr>
          <w:rFonts w:cs="David" w:hint="cs"/>
          <w:b/>
          <w:bCs/>
          <w:sz w:val="28"/>
          <w:szCs w:val="28"/>
          <w:rtl/>
        </w:rPr>
        <w:t xml:space="preserve">ומורכב </w:t>
      </w:r>
      <w:r w:rsidRPr="007C6E61">
        <w:rPr>
          <w:rFonts w:cs="David" w:hint="cs"/>
          <w:b/>
          <w:bCs/>
          <w:sz w:val="28"/>
          <w:szCs w:val="28"/>
          <w:rtl/>
        </w:rPr>
        <w:t xml:space="preserve">להחיל את החוק הקיים על התבטאויות הנחזות </w:t>
      </w:r>
      <w:r>
        <w:rPr>
          <w:rFonts w:cs="David" w:hint="cs"/>
          <w:b/>
          <w:bCs/>
          <w:sz w:val="28"/>
          <w:szCs w:val="28"/>
          <w:rtl/>
        </w:rPr>
        <w:t>כ</w:t>
      </w:r>
      <w:r w:rsidRPr="007C6E61">
        <w:rPr>
          <w:rFonts w:cs="David" w:hint="cs"/>
          <w:b/>
          <w:bCs/>
          <w:sz w:val="28"/>
          <w:szCs w:val="28"/>
          <w:rtl/>
        </w:rPr>
        <w:t>מסיתות לגזענות ולאלימות.</w:t>
      </w:r>
      <w:r w:rsidR="00F34F45">
        <w:rPr>
          <w:rFonts w:cs="David" w:hint="cs"/>
          <w:b/>
          <w:bCs/>
          <w:sz w:val="28"/>
          <w:szCs w:val="28"/>
          <w:rtl/>
        </w:rPr>
        <w:t xml:space="preserve"> </w:t>
      </w:r>
      <w:r w:rsidR="00F34F45" w:rsidRPr="00504DDF">
        <w:rPr>
          <w:rFonts w:cs="David" w:hint="cs"/>
          <w:sz w:val="28"/>
          <w:szCs w:val="28"/>
          <w:rtl/>
        </w:rPr>
        <w:t>לא זאת בלבד,</w:t>
      </w:r>
      <w:r w:rsidR="00F34F45">
        <w:rPr>
          <w:rFonts w:cs="David" w:hint="cs"/>
          <w:b/>
          <w:bCs/>
          <w:sz w:val="28"/>
          <w:szCs w:val="28"/>
          <w:rtl/>
        </w:rPr>
        <w:t xml:space="preserve"> </w:t>
      </w:r>
      <w:r w:rsidR="00F34F45">
        <w:rPr>
          <w:rFonts w:cs="David" w:hint="cs"/>
          <w:sz w:val="28"/>
          <w:szCs w:val="28"/>
          <w:rtl/>
        </w:rPr>
        <w:t>כל עוד המחוקק לא אמר את דברו מפורשות</w:t>
      </w:r>
      <w:r w:rsidR="00B81EFA">
        <w:rPr>
          <w:rFonts w:cs="David" w:hint="cs"/>
          <w:sz w:val="28"/>
          <w:szCs w:val="28"/>
          <w:rtl/>
        </w:rPr>
        <w:t xml:space="preserve"> </w:t>
      </w:r>
      <w:r w:rsidR="00B81EFA" w:rsidRPr="00504DDF">
        <w:rPr>
          <w:rFonts w:cs="David" w:hint="cs"/>
          <w:sz w:val="28"/>
          <w:szCs w:val="28"/>
          <w:rtl/>
        </w:rPr>
        <w:t>(איסור כזה קיים רק בחוק איסור אלימות בספורט</w:t>
      </w:r>
      <w:r w:rsidR="00B81EFA" w:rsidRPr="00504DDF">
        <w:rPr>
          <w:rStyle w:val="a5"/>
          <w:rFonts w:cs="David"/>
          <w:sz w:val="28"/>
          <w:szCs w:val="28"/>
          <w:rtl/>
        </w:rPr>
        <w:footnoteReference w:id="248"/>
      </w:r>
      <w:r w:rsidR="00B81EFA" w:rsidRPr="00504DDF">
        <w:rPr>
          <w:rFonts w:cs="David" w:hint="cs"/>
          <w:sz w:val="28"/>
          <w:szCs w:val="28"/>
          <w:rtl/>
        </w:rPr>
        <w:t>)</w:t>
      </w:r>
      <w:r w:rsidR="00F34F45">
        <w:rPr>
          <w:rFonts w:cs="David" w:hint="cs"/>
          <w:sz w:val="28"/>
          <w:szCs w:val="28"/>
          <w:rtl/>
        </w:rPr>
        <w:t>,</w:t>
      </w:r>
      <w:r w:rsidR="00F34F45" w:rsidRPr="00D626A9">
        <w:rPr>
          <w:rFonts w:cs="David" w:hint="cs"/>
          <w:sz w:val="28"/>
          <w:szCs w:val="28"/>
          <w:rtl/>
        </w:rPr>
        <w:t xml:space="preserve"> </w:t>
      </w:r>
      <w:r w:rsidR="00F34F45" w:rsidRPr="000632C6">
        <w:rPr>
          <w:rFonts w:cs="David" w:hint="cs"/>
          <w:b/>
          <w:bCs/>
          <w:sz w:val="28"/>
          <w:szCs w:val="28"/>
          <w:rtl/>
        </w:rPr>
        <w:t>התבט</w:t>
      </w:r>
      <w:r w:rsidR="00504DDF">
        <w:rPr>
          <w:rFonts w:cs="David" w:hint="cs"/>
          <w:b/>
          <w:bCs/>
          <w:sz w:val="28"/>
          <w:szCs w:val="28"/>
          <w:rtl/>
        </w:rPr>
        <w:t xml:space="preserve">אויות והתגרויות גזעניות, גם </w:t>
      </w:r>
      <w:r w:rsidR="00F34F45">
        <w:rPr>
          <w:rFonts w:cs="David" w:hint="cs"/>
          <w:b/>
          <w:bCs/>
          <w:sz w:val="28"/>
          <w:szCs w:val="28"/>
          <w:rtl/>
        </w:rPr>
        <w:t xml:space="preserve">אם </w:t>
      </w:r>
      <w:r w:rsidR="00504DDF">
        <w:rPr>
          <w:rFonts w:cs="David" w:hint="cs"/>
          <w:b/>
          <w:bCs/>
          <w:sz w:val="28"/>
          <w:szCs w:val="28"/>
          <w:rtl/>
        </w:rPr>
        <w:t xml:space="preserve">הן </w:t>
      </w:r>
      <w:r w:rsidR="00F34F45">
        <w:rPr>
          <w:rFonts w:cs="David" w:hint="cs"/>
          <w:b/>
          <w:bCs/>
          <w:sz w:val="28"/>
          <w:szCs w:val="28"/>
          <w:rtl/>
        </w:rPr>
        <w:t>מדברות בעד עצמן, חוסות</w:t>
      </w:r>
      <w:r w:rsidR="00B81EFA">
        <w:rPr>
          <w:rFonts w:cs="David" w:hint="cs"/>
          <w:b/>
          <w:bCs/>
          <w:sz w:val="28"/>
          <w:szCs w:val="28"/>
          <w:rtl/>
        </w:rPr>
        <w:t xml:space="preserve"> תחת כנפי חופש הביטוי ויזכו להגנה במישור הפלילי.</w:t>
      </w:r>
    </w:p>
    <w:p w:rsidR="003F6A67" w:rsidRDefault="003F6A67" w:rsidP="004129E2">
      <w:pPr>
        <w:spacing w:line="360" w:lineRule="auto"/>
        <w:jc w:val="both"/>
        <w:rPr>
          <w:rFonts w:cs="David"/>
          <w:sz w:val="28"/>
          <w:szCs w:val="28"/>
          <w:rtl/>
        </w:rPr>
      </w:pPr>
      <w:r>
        <w:rPr>
          <w:rFonts w:cs="David" w:hint="cs"/>
          <w:sz w:val="28"/>
          <w:szCs w:val="28"/>
          <w:rtl/>
        </w:rPr>
        <w:t xml:space="preserve">בשלב הבא, בחנה העבודה את עיצוב המדיניות המשפטית הקיימת וזו הרצויה, בכל הנוגע לעבירות המבוצעות </w:t>
      </w:r>
      <w:r w:rsidRPr="006660AB">
        <w:rPr>
          <w:rFonts w:cs="David" w:hint="cs"/>
          <w:b/>
          <w:bCs/>
          <w:sz w:val="28"/>
          <w:szCs w:val="28"/>
          <w:rtl/>
        </w:rPr>
        <w:t>ספציפית במרשתת</w:t>
      </w:r>
      <w:r>
        <w:rPr>
          <w:rFonts w:cs="David" w:hint="cs"/>
          <w:sz w:val="28"/>
          <w:szCs w:val="28"/>
          <w:rtl/>
        </w:rPr>
        <w:t xml:space="preserve"> ובדגש על עבירות ביטוי כדוגמת עבירות ההסתה לגזענות ולאלימות. ההסדרים המשפטיים</w:t>
      </w:r>
      <w:r w:rsidR="004129E2">
        <w:rPr>
          <w:rFonts w:cs="David" w:hint="cs"/>
          <w:sz w:val="28"/>
          <w:szCs w:val="28"/>
          <w:rtl/>
        </w:rPr>
        <w:t>,</w:t>
      </w:r>
      <w:r>
        <w:rPr>
          <w:rFonts w:cs="David" w:hint="cs"/>
          <w:sz w:val="28"/>
          <w:szCs w:val="28"/>
          <w:rtl/>
        </w:rPr>
        <w:t xml:space="preserve"> הנוגעים לחופש הביטוי</w:t>
      </w:r>
      <w:r w:rsidR="004129E2">
        <w:rPr>
          <w:rFonts w:cs="David" w:hint="cs"/>
          <w:sz w:val="28"/>
          <w:szCs w:val="28"/>
          <w:rtl/>
        </w:rPr>
        <w:t>,</w:t>
      </w:r>
      <w:r>
        <w:rPr>
          <w:rFonts w:cs="David" w:hint="cs"/>
          <w:sz w:val="28"/>
          <w:szCs w:val="28"/>
          <w:rtl/>
        </w:rPr>
        <w:t xml:space="preserve"> התפתחו במצב עניינים שבו </w:t>
      </w:r>
      <w:r w:rsidR="004129E2">
        <w:rPr>
          <w:rFonts w:cs="David" w:hint="cs"/>
          <w:sz w:val="28"/>
          <w:szCs w:val="28"/>
          <w:rtl/>
        </w:rPr>
        <w:t xml:space="preserve">התנהל </w:t>
      </w:r>
      <w:r>
        <w:rPr>
          <w:rFonts w:cs="David" w:hint="cs"/>
          <w:sz w:val="28"/>
          <w:szCs w:val="28"/>
          <w:rtl/>
        </w:rPr>
        <w:t xml:space="preserve">השיח בתיווכה של המדינה או בתיווכם של גורמים מסחריים. במציאות החדשה שנוצרה, הסכנות לחופש הביטוי במרשתת והמאפיינים המייחדים סביבה זו, כפי שאלו הוצגו לעיל, </w:t>
      </w:r>
      <w:r w:rsidRPr="000D77F7">
        <w:rPr>
          <w:rFonts w:cs="David" w:hint="cs"/>
          <w:b/>
          <w:bCs/>
          <w:sz w:val="28"/>
          <w:szCs w:val="28"/>
          <w:rtl/>
        </w:rPr>
        <w:t>מחייבים ה</w:t>
      </w:r>
      <w:r w:rsidR="004129E2">
        <w:rPr>
          <w:rFonts w:cs="David" w:hint="cs"/>
          <w:b/>
          <w:bCs/>
          <w:sz w:val="28"/>
          <w:szCs w:val="28"/>
          <w:rtl/>
        </w:rPr>
        <w:t>י</w:t>
      </w:r>
      <w:r w:rsidRPr="000D77F7">
        <w:rPr>
          <w:rFonts w:cs="David" w:hint="cs"/>
          <w:b/>
          <w:bCs/>
          <w:sz w:val="28"/>
          <w:szCs w:val="28"/>
          <w:rtl/>
        </w:rPr>
        <w:t>ערכות משפטית שונה מזו המסורתית</w:t>
      </w:r>
      <w:r>
        <w:rPr>
          <w:rFonts w:cs="David" w:hint="cs"/>
          <w:sz w:val="28"/>
          <w:szCs w:val="28"/>
          <w:rtl/>
        </w:rPr>
        <w:t>.</w:t>
      </w:r>
      <w:r>
        <w:rPr>
          <w:rStyle w:val="a5"/>
          <w:rFonts w:cs="David"/>
          <w:sz w:val="28"/>
          <w:szCs w:val="28"/>
        </w:rPr>
        <w:footnoteReference w:id="249"/>
      </w:r>
      <w:r>
        <w:rPr>
          <w:rFonts w:cs="David" w:hint="cs"/>
          <w:sz w:val="28"/>
          <w:szCs w:val="28"/>
          <w:rtl/>
        </w:rPr>
        <w:t xml:space="preserve"> </w:t>
      </w:r>
    </w:p>
    <w:p w:rsidR="003F6A67" w:rsidRPr="00082F03" w:rsidRDefault="003F6A67" w:rsidP="00C34ADD">
      <w:pPr>
        <w:spacing w:line="360" w:lineRule="auto"/>
        <w:jc w:val="both"/>
        <w:rPr>
          <w:rFonts w:cs="David"/>
          <w:sz w:val="28"/>
          <w:szCs w:val="28"/>
          <w:rtl/>
        </w:rPr>
      </w:pPr>
      <w:r>
        <w:rPr>
          <w:rFonts w:cs="David" w:hint="cs"/>
          <w:sz w:val="28"/>
          <w:szCs w:val="28"/>
          <w:rtl/>
        </w:rPr>
        <w:t>ב</w:t>
      </w:r>
      <w:r w:rsidRPr="00082F03">
        <w:rPr>
          <w:rFonts w:cs="David" w:hint="cs"/>
          <w:sz w:val="28"/>
          <w:szCs w:val="28"/>
          <w:rtl/>
        </w:rPr>
        <w:t xml:space="preserve">חינה מדוקדקת של השיח הציבורי במרשתת וברשתות החברתיות מגלה כי התמונה מורכבת יותר ממה שנדמה ממבט ראשון. אי אפשר לדבר על </w:t>
      </w:r>
      <w:r>
        <w:rPr>
          <w:rFonts w:cs="David" w:hint="cs"/>
          <w:sz w:val="28"/>
          <w:szCs w:val="28"/>
          <w:rtl/>
        </w:rPr>
        <w:t xml:space="preserve">חופש ביטוי ועיצוב מדיניות משפטית </w:t>
      </w:r>
      <w:r w:rsidRPr="005D36A1">
        <w:rPr>
          <w:rFonts w:cs="David" w:hint="cs"/>
          <w:b/>
          <w:bCs/>
          <w:sz w:val="28"/>
          <w:szCs w:val="28"/>
          <w:rtl/>
        </w:rPr>
        <w:t>במרשתת</w:t>
      </w:r>
      <w:r w:rsidRPr="00082F03">
        <w:rPr>
          <w:rFonts w:cs="David" w:hint="cs"/>
          <w:sz w:val="28"/>
          <w:szCs w:val="28"/>
          <w:rtl/>
        </w:rPr>
        <w:t xml:space="preserve"> כעל 'אותה גברת בשינוי האדרת', שכן מדובר </w:t>
      </w:r>
      <w:r w:rsidRPr="00764AE3">
        <w:rPr>
          <w:rFonts w:cs="David" w:hint="cs"/>
          <w:b/>
          <w:bCs/>
          <w:sz w:val="28"/>
          <w:szCs w:val="28"/>
          <w:rtl/>
        </w:rPr>
        <w:t>בהוויה חדשה המשנה סדרי עולם</w:t>
      </w:r>
      <w:r w:rsidRPr="00082F03">
        <w:rPr>
          <w:rFonts w:cs="David" w:hint="cs"/>
          <w:sz w:val="28"/>
          <w:szCs w:val="28"/>
          <w:rtl/>
        </w:rPr>
        <w:t xml:space="preserve">. כך כתב </w:t>
      </w:r>
      <w:r w:rsidR="0077264A">
        <w:rPr>
          <w:rFonts w:cs="David" w:hint="cs"/>
          <w:sz w:val="28"/>
          <w:szCs w:val="28"/>
          <w:rtl/>
        </w:rPr>
        <w:t>כבוד השופט</w:t>
      </w:r>
      <w:r w:rsidRPr="00082F03">
        <w:rPr>
          <w:rFonts w:cs="David" w:hint="cs"/>
          <w:sz w:val="28"/>
          <w:szCs w:val="28"/>
          <w:rtl/>
        </w:rPr>
        <w:t xml:space="preserve"> חשין</w:t>
      </w:r>
      <w:r>
        <w:rPr>
          <w:rFonts w:cs="David" w:hint="cs"/>
          <w:sz w:val="28"/>
          <w:szCs w:val="28"/>
          <w:rtl/>
        </w:rPr>
        <w:t>:</w:t>
      </w:r>
      <w:r w:rsidRPr="00082F03">
        <w:rPr>
          <w:rStyle w:val="a5"/>
          <w:rFonts w:cs="David"/>
          <w:sz w:val="28"/>
          <w:szCs w:val="28"/>
          <w:rtl/>
        </w:rPr>
        <w:footnoteReference w:id="250"/>
      </w:r>
    </w:p>
    <w:p w:rsidR="003F6A67" w:rsidRDefault="003F6A67" w:rsidP="003F6A67">
      <w:pPr>
        <w:spacing w:line="360" w:lineRule="auto"/>
        <w:ind w:left="720"/>
        <w:jc w:val="both"/>
        <w:rPr>
          <w:rFonts w:cs="David"/>
          <w:sz w:val="24"/>
          <w:szCs w:val="24"/>
          <w:rtl/>
        </w:rPr>
      </w:pPr>
      <w:r w:rsidRPr="00082F03">
        <w:rPr>
          <w:rFonts w:cs="David" w:hint="cs"/>
          <w:sz w:val="24"/>
          <w:szCs w:val="24"/>
          <w:rtl/>
        </w:rPr>
        <w:t xml:space="preserve">[...] המחשב </w:t>
      </w:r>
      <w:r w:rsidRPr="00082F03">
        <w:rPr>
          <w:rFonts w:cs="David"/>
          <w:sz w:val="24"/>
          <w:szCs w:val="24"/>
          <w:rtl/>
        </w:rPr>
        <w:t>–</w:t>
      </w:r>
      <w:r w:rsidRPr="00082F03">
        <w:rPr>
          <w:rFonts w:cs="David" w:hint="cs"/>
          <w:sz w:val="24"/>
          <w:szCs w:val="24"/>
          <w:rtl/>
        </w:rPr>
        <w:t xml:space="preserve"> ועמו האינטרנט </w:t>
      </w:r>
      <w:r w:rsidRPr="00082F03">
        <w:rPr>
          <w:rFonts w:cs="David"/>
          <w:sz w:val="24"/>
          <w:szCs w:val="24"/>
          <w:rtl/>
        </w:rPr>
        <w:t>–</w:t>
      </w:r>
      <w:r w:rsidRPr="00082F03">
        <w:rPr>
          <w:rFonts w:cs="David" w:hint="cs"/>
          <w:sz w:val="24"/>
          <w:szCs w:val="24"/>
          <w:rtl/>
        </w:rPr>
        <w:t xml:space="preserve"> אינם אך מוטציה של צורות חיים קודמות, שהיכרנו ואשר בייתנו בשיטת המשפט. חיים חדשים הם, והילוכם אין הוא כהילוך צורות החיים שהורגלנו </w:t>
      </w:r>
      <w:r w:rsidRPr="00082F03">
        <w:rPr>
          <w:rFonts w:cs="David" w:hint="cs"/>
          <w:sz w:val="24"/>
          <w:szCs w:val="24"/>
          <w:rtl/>
        </w:rPr>
        <w:lastRenderedPageBreak/>
        <w:t xml:space="preserve">לחיות בחברתן [...] צורות חיים חדשות אלה של המחשב והאינטרנט טרם ירדנו לחיקרן, טרם הגענו לתחתית הבור. נקישה אחת בירושלים, ואתה בתל-אביב. נקישה שניה, ואתה באוסטרליה. נקישה שלישית </w:t>
      </w:r>
      <w:r w:rsidRPr="00082F03">
        <w:rPr>
          <w:rFonts w:cs="David"/>
          <w:sz w:val="24"/>
          <w:szCs w:val="24"/>
          <w:rtl/>
        </w:rPr>
        <w:t>–</w:t>
      </w:r>
      <w:r w:rsidRPr="00082F03">
        <w:rPr>
          <w:rFonts w:cs="David" w:hint="cs"/>
          <w:sz w:val="24"/>
          <w:szCs w:val="24"/>
          <w:rtl/>
        </w:rPr>
        <w:t xml:space="preserve"> המערכה מתמרדת והכל נמחק כלא היה. החילונו נעים במהירות האור בעוד שגופנו בכרכרה וזרימת מחשבתנו כמהירות הכרכרה.</w:t>
      </w:r>
    </w:p>
    <w:p w:rsidR="003F6A67" w:rsidRDefault="003F6A67" w:rsidP="008173BE">
      <w:pPr>
        <w:spacing w:line="360" w:lineRule="auto"/>
        <w:jc w:val="both"/>
        <w:rPr>
          <w:rFonts w:cs="David"/>
          <w:sz w:val="28"/>
          <w:szCs w:val="28"/>
          <w:rtl/>
        </w:rPr>
      </w:pPr>
      <w:r>
        <w:rPr>
          <w:rFonts w:cs="David" w:hint="cs"/>
          <w:sz w:val="28"/>
          <w:szCs w:val="28"/>
          <w:rtl/>
        </w:rPr>
        <w:t>כשלב מקדים לבחינת המצב החדש במרשתת, נשאלת השאלה</w:t>
      </w:r>
      <w:r w:rsidR="008173BE">
        <w:rPr>
          <w:rFonts w:cs="David" w:hint="cs"/>
          <w:sz w:val="28"/>
          <w:szCs w:val="28"/>
          <w:rtl/>
        </w:rPr>
        <w:t>:</w:t>
      </w:r>
      <w:r>
        <w:rPr>
          <w:rFonts w:cs="David" w:hint="cs"/>
          <w:sz w:val="28"/>
          <w:szCs w:val="28"/>
          <w:rtl/>
        </w:rPr>
        <w:t xml:space="preserve"> האם בכלל קיימת </w:t>
      </w:r>
      <w:r w:rsidRPr="00CD313B">
        <w:rPr>
          <w:rFonts w:cs="David" w:hint="cs"/>
          <w:sz w:val="28"/>
          <w:szCs w:val="28"/>
          <w:rtl/>
        </w:rPr>
        <w:t>הצדקה להגבלת ההתבטאויות הגזעניות ואלו שקוראות לאלימות</w:t>
      </w:r>
      <w:r>
        <w:rPr>
          <w:rFonts w:cs="David" w:hint="cs"/>
          <w:sz w:val="28"/>
          <w:szCs w:val="28"/>
          <w:rtl/>
        </w:rPr>
        <w:t xml:space="preserve">? </w:t>
      </w:r>
      <w:r w:rsidR="008173BE">
        <w:rPr>
          <w:rFonts w:cs="David" w:hint="cs"/>
          <w:sz w:val="28"/>
          <w:szCs w:val="28"/>
          <w:rtl/>
        </w:rPr>
        <w:t>מ</w:t>
      </w:r>
      <w:r>
        <w:rPr>
          <w:rFonts w:cs="David" w:hint="cs"/>
          <w:sz w:val="28"/>
          <w:szCs w:val="28"/>
          <w:rtl/>
        </w:rPr>
        <w:t xml:space="preserve">העבודה </w:t>
      </w:r>
      <w:r w:rsidR="008173BE">
        <w:rPr>
          <w:rFonts w:cs="David" w:hint="cs"/>
          <w:sz w:val="28"/>
          <w:szCs w:val="28"/>
          <w:rtl/>
        </w:rPr>
        <w:t xml:space="preserve">עולה </w:t>
      </w:r>
      <w:r w:rsidRPr="00BE0A21">
        <w:rPr>
          <w:rFonts w:cs="David" w:hint="cs"/>
          <w:sz w:val="28"/>
          <w:szCs w:val="28"/>
          <w:rtl/>
        </w:rPr>
        <w:t>כי</w:t>
      </w:r>
      <w:r w:rsidRPr="003E6B69">
        <w:rPr>
          <w:rFonts w:cs="David" w:hint="cs"/>
          <w:b/>
          <w:bCs/>
          <w:sz w:val="28"/>
          <w:szCs w:val="28"/>
          <w:rtl/>
        </w:rPr>
        <w:t xml:space="preserve"> קיימת הצדקה </w:t>
      </w:r>
      <w:r w:rsidR="002F1E2F" w:rsidRPr="008173BE">
        <w:rPr>
          <w:rFonts w:cs="David" w:hint="cs"/>
          <w:b/>
          <w:bCs/>
          <w:sz w:val="28"/>
          <w:szCs w:val="28"/>
          <w:rtl/>
        </w:rPr>
        <w:t>למגבלות על ביטויים גזעניים בכלים משפטיים ולבר-משפטיים</w:t>
      </w:r>
      <w:r>
        <w:rPr>
          <w:rFonts w:cs="David" w:hint="cs"/>
          <w:sz w:val="28"/>
          <w:szCs w:val="28"/>
          <w:rtl/>
        </w:rPr>
        <w:t xml:space="preserve">. לפיכך, כיצד נכון להביא זאת לידי ביטוי ולעצב את הסביבה המשפטית בכל הנוגע לעבירות ביטוי המתקיימות </w:t>
      </w:r>
      <w:r w:rsidRPr="005D36A1">
        <w:rPr>
          <w:rFonts w:cs="David" w:hint="cs"/>
          <w:b/>
          <w:bCs/>
          <w:sz w:val="28"/>
          <w:szCs w:val="28"/>
          <w:rtl/>
        </w:rPr>
        <w:t>במרשתת</w:t>
      </w:r>
      <w:r>
        <w:rPr>
          <w:rFonts w:cs="David" w:hint="cs"/>
          <w:sz w:val="28"/>
          <w:szCs w:val="28"/>
          <w:rtl/>
        </w:rPr>
        <w:t xml:space="preserve">, כדוגמת  עבירות ההסתה לגזענות ולאלימות? האם יש מקום להחיל את החוקים 'הרגילים' שבספר החוקים, אשר נועדו בעיקר לאמצעי התקשורת המסורתיים, גם על ביטויים הנעשים במסגרת המרשתת והרשתות החברתיות? </w:t>
      </w:r>
    </w:p>
    <w:p w:rsidR="003F6A67" w:rsidRDefault="003F6A67" w:rsidP="003F6A67">
      <w:pPr>
        <w:spacing w:line="360" w:lineRule="auto"/>
        <w:jc w:val="both"/>
        <w:rPr>
          <w:rFonts w:cs="David"/>
          <w:b/>
          <w:bCs/>
          <w:sz w:val="28"/>
          <w:szCs w:val="28"/>
          <w:rtl/>
        </w:rPr>
      </w:pPr>
      <w:r>
        <w:rPr>
          <w:rFonts w:cs="David" w:hint="cs"/>
          <w:sz w:val="28"/>
          <w:szCs w:val="28"/>
          <w:rtl/>
        </w:rPr>
        <w:t xml:space="preserve">מחד גיסא, </w:t>
      </w:r>
      <w:r w:rsidRPr="00211FAB">
        <w:rPr>
          <w:rFonts w:cs="David" w:hint="cs"/>
          <w:sz w:val="28"/>
          <w:szCs w:val="28"/>
          <w:rtl/>
        </w:rPr>
        <w:t xml:space="preserve">יש הטוענים כי אין להחיל אף כלל משפטי על ביטויים </w:t>
      </w:r>
      <w:r>
        <w:rPr>
          <w:rFonts w:cs="David" w:hint="cs"/>
          <w:sz w:val="28"/>
          <w:szCs w:val="28"/>
          <w:rtl/>
        </w:rPr>
        <w:t xml:space="preserve">במרשתת </w:t>
      </w:r>
      <w:r w:rsidRPr="00211FAB">
        <w:rPr>
          <w:rFonts w:cs="David" w:hint="cs"/>
          <w:sz w:val="28"/>
          <w:szCs w:val="28"/>
          <w:rtl/>
        </w:rPr>
        <w:t xml:space="preserve"> ו</w:t>
      </w:r>
      <w:r>
        <w:rPr>
          <w:rFonts w:cs="David" w:hint="cs"/>
          <w:sz w:val="28"/>
          <w:szCs w:val="28"/>
          <w:rtl/>
        </w:rPr>
        <w:t xml:space="preserve">מאידך גיסא, </w:t>
      </w:r>
      <w:r w:rsidRPr="00211FAB">
        <w:rPr>
          <w:rFonts w:cs="David" w:hint="cs"/>
          <w:sz w:val="28"/>
          <w:szCs w:val="28"/>
          <w:rtl/>
        </w:rPr>
        <w:t xml:space="preserve">יש הטוענים כי יש לקבוע כללים ייחודים בנוגע לביטויים </w:t>
      </w:r>
      <w:r>
        <w:rPr>
          <w:rFonts w:cs="David" w:hint="cs"/>
          <w:sz w:val="28"/>
          <w:szCs w:val="28"/>
          <w:rtl/>
        </w:rPr>
        <w:t>כאלו</w:t>
      </w:r>
      <w:r w:rsidRPr="00211FAB">
        <w:rPr>
          <w:rFonts w:cs="David" w:hint="cs"/>
          <w:sz w:val="28"/>
          <w:szCs w:val="28"/>
          <w:rtl/>
        </w:rPr>
        <w:t>.</w:t>
      </w:r>
      <w:r w:rsidRPr="00386EB6">
        <w:rPr>
          <w:rFonts w:cs="David" w:hint="cs"/>
          <w:b/>
          <w:bCs/>
          <w:sz w:val="28"/>
          <w:szCs w:val="28"/>
          <w:rtl/>
        </w:rPr>
        <w:t xml:space="preserve"> </w:t>
      </w:r>
      <w:r w:rsidRPr="005421A1">
        <w:rPr>
          <w:rFonts w:cs="David" w:hint="cs"/>
          <w:b/>
          <w:bCs/>
          <w:sz w:val="28"/>
          <w:szCs w:val="28"/>
          <w:rtl/>
        </w:rPr>
        <w:t xml:space="preserve">המשפט הנוהג בישראל </w:t>
      </w:r>
      <w:r w:rsidR="005421A1" w:rsidRPr="005421A1">
        <w:rPr>
          <w:rFonts w:cs="David" w:hint="cs"/>
          <w:b/>
          <w:bCs/>
          <w:sz w:val="28"/>
          <w:szCs w:val="28"/>
          <w:rtl/>
        </w:rPr>
        <w:t>אינ</w:t>
      </w:r>
      <w:r w:rsidR="005421A1">
        <w:rPr>
          <w:rFonts w:cs="David" w:hint="cs"/>
          <w:b/>
          <w:bCs/>
          <w:sz w:val="28"/>
          <w:szCs w:val="28"/>
          <w:rtl/>
        </w:rPr>
        <w:t xml:space="preserve">ו משקף על פי </w:t>
      </w:r>
      <w:r w:rsidRPr="009F7E32">
        <w:rPr>
          <w:rFonts w:cs="David" w:hint="cs"/>
          <w:b/>
          <w:bCs/>
          <w:sz w:val="28"/>
          <w:szCs w:val="28"/>
          <w:rtl/>
        </w:rPr>
        <w:t>רוב עמדה חד-משמעית בשאלה</w:t>
      </w:r>
      <w:r w:rsidRPr="00EF4B4B">
        <w:rPr>
          <w:rFonts w:cs="David" w:hint="cs"/>
          <w:sz w:val="28"/>
          <w:szCs w:val="28"/>
          <w:rtl/>
        </w:rPr>
        <w:t xml:space="preserve"> של תחולת הכללים הקבועים בו בכל הנוגע לביטויים הנעשים </w:t>
      </w:r>
      <w:r w:rsidRPr="004C755F">
        <w:rPr>
          <w:rFonts w:cs="David" w:hint="cs"/>
          <w:b/>
          <w:bCs/>
          <w:sz w:val="28"/>
          <w:szCs w:val="28"/>
          <w:rtl/>
        </w:rPr>
        <w:t>במסגרת המרשתת</w:t>
      </w:r>
      <w:r w:rsidRPr="00EF4B4B">
        <w:rPr>
          <w:rFonts w:cs="David" w:hint="cs"/>
          <w:sz w:val="28"/>
          <w:szCs w:val="28"/>
          <w:rtl/>
        </w:rPr>
        <w:t xml:space="preserve">. </w:t>
      </w:r>
      <w:r>
        <w:rPr>
          <w:rFonts w:cs="David" w:hint="cs"/>
          <w:sz w:val="28"/>
          <w:szCs w:val="28"/>
          <w:rtl/>
        </w:rPr>
        <w:t xml:space="preserve">מבחינת המחוקק, </w:t>
      </w:r>
      <w:r w:rsidRPr="00EF4B4B">
        <w:rPr>
          <w:rFonts w:cs="David" w:hint="cs"/>
          <w:sz w:val="28"/>
          <w:szCs w:val="28"/>
          <w:rtl/>
        </w:rPr>
        <w:t xml:space="preserve">בדרך כלל, </w:t>
      </w:r>
      <w:r w:rsidRPr="00D8095F">
        <w:rPr>
          <w:rFonts w:cs="David" w:hint="cs"/>
          <w:b/>
          <w:bCs/>
          <w:sz w:val="28"/>
          <w:szCs w:val="28"/>
          <w:rtl/>
        </w:rPr>
        <w:t>הסדרים משפטיים חקוקים אינם מבחינים בין מסגרות להבעת דעה.</w:t>
      </w:r>
      <w:r>
        <w:rPr>
          <w:rFonts w:cs="David" w:hint="cs"/>
          <w:b/>
          <w:bCs/>
          <w:sz w:val="28"/>
          <w:szCs w:val="28"/>
          <w:rtl/>
        </w:rPr>
        <w:t xml:space="preserve"> לפיכך, </w:t>
      </w:r>
      <w:r>
        <w:rPr>
          <w:rFonts w:cs="David" w:hint="cs"/>
          <w:sz w:val="28"/>
          <w:szCs w:val="28"/>
          <w:rtl/>
        </w:rPr>
        <w:t>נ</w:t>
      </w:r>
      <w:r w:rsidRPr="008C2676">
        <w:rPr>
          <w:rFonts w:cs="David" w:hint="cs"/>
          <w:sz w:val="28"/>
          <w:szCs w:val="28"/>
          <w:rtl/>
        </w:rPr>
        <w:t>כון להיום, בה</w:t>
      </w:r>
      <w:r w:rsidR="002A4AD3">
        <w:rPr>
          <w:rFonts w:cs="David" w:hint="cs"/>
          <w:sz w:val="28"/>
          <w:szCs w:val="28"/>
          <w:rtl/>
        </w:rPr>
        <w:t>י</w:t>
      </w:r>
      <w:r w:rsidRPr="008C2676">
        <w:rPr>
          <w:rFonts w:cs="David" w:hint="cs"/>
          <w:sz w:val="28"/>
          <w:szCs w:val="28"/>
          <w:rtl/>
        </w:rPr>
        <w:t xml:space="preserve">עדר הוראה חוקית מפורשת אחרת, </w:t>
      </w:r>
      <w:r w:rsidRPr="001D223B">
        <w:rPr>
          <w:rFonts w:cs="David" w:hint="cs"/>
          <w:b/>
          <w:bCs/>
          <w:sz w:val="28"/>
          <w:szCs w:val="28"/>
          <w:rtl/>
        </w:rPr>
        <w:t>חופש הביטוי במרשתת כפוף לאיסורים הכלליים שבחוק</w:t>
      </w:r>
      <w:r>
        <w:rPr>
          <w:rFonts w:cs="David" w:hint="cs"/>
          <w:sz w:val="28"/>
          <w:szCs w:val="28"/>
          <w:rtl/>
        </w:rPr>
        <w:t xml:space="preserve"> (</w:t>
      </w:r>
      <w:r w:rsidRPr="006866E6">
        <w:rPr>
          <w:rFonts w:cs="David" w:hint="cs"/>
          <w:sz w:val="28"/>
          <w:szCs w:val="28"/>
          <w:rtl/>
        </w:rPr>
        <w:t xml:space="preserve">הוראות </w:t>
      </w:r>
      <w:r>
        <w:rPr>
          <w:rFonts w:cs="David" w:hint="cs"/>
          <w:sz w:val="28"/>
          <w:szCs w:val="28"/>
          <w:rtl/>
        </w:rPr>
        <w:t>סעיפי 144ב ו-144ד2 לחוק העונשין)</w:t>
      </w:r>
      <w:r w:rsidRPr="006866E6">
        <w:rPr>
          <w:rFonts w:cs="David" w:hint="cs"/>
          <w:sz w:val="28"/>
          <w:szCs w:val="28"/>
          <w:rtl/>
        </w:rPr>
        <w:t xml:space="preserve"> </w:t>
      </w:r>
      <w:r w:rsidRPr="005A1D3C">
        <w:rPr>
          <w:rFonts w:cs="David" w:hint="cs"/>
          <w:b/>
          <w:bCs/>
          <w:sz w:val="28"/>
          <w:szCs w:val="28"/>
          <w:rtl/>
        </w:rPr>
        <w:t>בכל הנוגע לביטויים גזעניים או מסיתים לגזענות ולאלימות המתרחשים במרשתת וברשתות החברתיות</w:t>
      </w:r>
      <w:r>
        <w:rPr>
          <w:rFonts w:cs="David" w:hint="cs"/>
          <w:b/>
          <w:bCs/>
          <w:sz w:val="28"/>
          <w:szCs w:val="28"/>
          <w:rtl/>
        </w:rPr>
        <w:t xml:space="preserve">. </w:t>
      </w:r>
    </w:p>
    <w:p w:rsidR="003F6A67" w:rsidRPr="004E7F40" w:rsidRDefault="003F6A67" w:rsidP="003F6A67">
      <w:pPr>
        <w:spacing w:line="360" w:lineRule="auto"/>
        <w:jc w:val="both"/>
        <w:rPr>
          <w:rFonts w:cs="David"/>
          <w:sz w:val="28"/>
          <w:szCs w:val="28"/>
          <w:rtl/>
        </w:rPr>
      </w:pPr>
      <w:r w:rsidRPr="00836880">
        <w:rPr>
          <w:rFonts w:cs="David" w:hint="cs"/>
          <w:sz w:val="28"/>
          <w:szCs w:val="28"/>
          <w:rtl/>
        </w:rPr>
        <w:t>גם בתי המשפט</w:t>
      </w:r>
      <w:r>
        <w:rPr>
          <w:rFonts w:cs="David" w:hint="cs"/>
          <w:b/>
          <w:bCs/>
          <w:sz w:val="28"/>
          <w:szCs w:val="28"/>
          <w:rtl/>
        </w:rPr>
        <w:t>, אשר פירשו הוראות חקוקות</w:t>
      </w:r>
      <w:r w:rsidRPr="00836880">
        <w:rPr>
          <w:rFonts w:cs="David" w:hint="cs"/>
          <w:b/>
          <w:bCs/>
          <w:sz w:val="28"/>
          <w:szCs w:val="28"/>
          <w:rtl/>
        </w:rPr>
        <w:t xml:space="preserve"> </w:t>
      </w:r>
      <w:r>
        <w:rPr>
          <w:rFonts w:cs="David" w:hint="cs"/>
          <w:b/>
          <w:bCs/>
          <w:sz w:val="28"/>
          <w:szCs w:val="28"/>
          <w:rtl/>
        </w:rPr>
        <w:t>אינם</w:t>
      </w:r>
      <w:r w:rsidRPr="00836880">
        <w:rPr>
          <w:rFonts w:cs="David" w:hint="cs"/>
          <w:b/>
          <w:bCs/>
          <w:sz w:val="28"/>
          <w:szCs w:val="28"/>
          <w:rtl/>
        </w:rPr>
        <w:t xml:space="preserve"> אחידים בגישתם</w:t>
      </w:r>
      <w:r>
        <w:rPr>
          <w:rFonts w:cs="David" w:hint="cs"/>
          <w:sz w:val="28"/>
          <w:szCs w:val="28"/>
          <w:rtl/>
        </w:rPr>
        <w:t xml:space="preserve">. לעיתים קבעו </w:t>
      </w:r>
      <w:r w:rsidRPr="00EF4B4B">
        <w:rPr>
          <w:rFonts w:cs="David" w:hint="cs"/>
          <w:sz w:val="28"/>
          <w:szCs w:val="28"/>
          <w:rtl/>
        </w:rPr>
        <w:t>שיש להחיל את החוקים על ביטויים ב</w:t>
      </w:r>
      <w:r>
        <w:rPr>
          <w:rFonts w:cs="David" w:hint="cs"/>
          <w:sz w:val="28"/>
          <w:szCs w:val="28"/>
          <w:rtl/>
        </w:rPr>
        <w:t>מסגרות של ה</w:t>
      </w:r>
      <w:r w:rsidRPr="00EF4B4B">
        <w:rPr>
          <w:rFonts w:cs="David" w:hint="cs"/>
          <w:sz w:val="28"/>
          <w:szCs w:val="28"/>
          <w:rtl/>
        </w:rPr>
        <w:t>מרשתת</w:t>
      </w:r>
      <w:r w:rsidRPr="004E7F40">
        <w:rPr>
          <w:rFonts w:cs="David" w:hint="cs"/>
          <w:sz w:val="28"/>
          <w:szCs w:val="28"/>
          <w:rtl/>
        </w:rPr>
        <w:t>, גם בהיעדר התייחסות מפורשת בחוק למרשתת, אך לעיתים קבעו את ההפך.</w:t>
      </w:r>
    </w:p>
    <w:p w:rsidR="003F6A67" w:rsidRDefault="003F6A67" w:rsidP="003F6A67">
      <w:pPr>
        <w:spacing w:line="360" w:lineRule="auto"/>
        <w:jc w:val="both"/>
        <w:rPr>
          <w:rFonts w:cs="David"/>
          <w:sz w:val="28"/>
          <w:szCs w:val="28"/>
          <w:rtl/>
        </w:rPr>
      </w:pPr>
      <w:r>
        <w:rPr>
          <w:rFonts w:cs="David" w:hint="cs"/>
          <w:sz w:val="28"/>
          <w:szCs w:val="28"/>
          <w:rtl/>
        </w:rPr>
        <w:t xml:space="preserve">מאחר שזהו המצב המצוי דנה הספרות המשפטית </w:t>
      </w:r>
      <w:r w:rsidR="002A4AD3">
        <w:rPr>
          <w:rFonts w:cs="David" w:hint="cs"/>
          <w:sz w:val="28"/>
          <w:szCs w:val="28"/>
          <w:rtl/>
        </w:rPr>
        <w:t xml:space="preserve">בשאלה: </w:t>
      </w:r>
      <w:r>
        <w:rPr>
          <w:rFonts w:cs="David" w:hint="cs"/>
          <w:sz w:val="28"/>
          <w:szCs w:val="28"/>
          <w:rtl/>
        </w:rPr>
        <w:t xml:space="preserve">מהו אם כן המצב הרצוי במרשתת? לאחר דיון ארוך, שעסק גם בסוגיית גבולות החופש, </w:t>
      </w:r>
      <w:r w:rsidRPr="002C322D">
        <w:rPr>
          <w:rFonts w:cs="David" w:hint="cs"/>
          <w:sz w:val="28"/>
          <w:szCs w:val="28"/>
          <w:rtl/>
        </w:rPr>
        <w:t xml:space="preserve">נראה כי המסקנות המקובלות הינן כי נדרש </w:t>
      </w:r>
      <w:r w:rsidRPr="004E7F40">
        <w:rPr>
          <w:rFonts w:cs="David" w:hint="cs"/>
          <w:b/>
          <w:bCs/>
          <w:sz w:val="28"/>
          <w:szCs w:val="28"/>
          <w:rtl/>
        </w:rPr>
        <w:t>איזון</w:t>
      </w:r>
      <w:r w:rsidRPr="002C322D">
        <w:rPr>
          <w:rFonts w:cs="David" w:hint="cs"/>
          <w:sz w:val="28"/>
          <w:szCs w:val="28"/>
          <w:rtl/>
        </w:rPr>
        <w:t xml:space="preserve"> בין חופש הביטוי של הקבוצה הפוגעת לזו הנפגעת ובין זכות חופש הביטוי לזכות לשוויון, כאשר הקבוצה החזקה (המגזר היהודי בישראל) מדכאת את הקבוצה חלשה (המיעוט הערבי בישראל). </w:t>
      </w:r>
      <w:r>
        <w:rPr>
          <w:rFonts w:cs="David" w:hint="cs"/>
          <w:b/>
          <w:bCs/>
          <w:sz w:val="28"/>
          <w:szCs w:val="28"/>
          <w:rtl/>
        </w:rPr>
        <w:t>איזון זה יכול ויעשה גם במחיר של הגבלתו של חופש הביטוי במרשתת וברשתות החברתיות.</w:t>
      </w:r>
    </w:p>
    <w:p w:rsidR="003F6A67" w:rsidRDefault="003F6A67" w:rsidP="004E7F40">
      <w:pPr>
        <w:spacing w:line="360" w:lineRule="auto"/>
        <w:jc w:val="both"/>
        <w:rPr>
          <w:rFonts w:cs="David"/>
          <w:b/>
          <w:bCs/>
          <w:sz w:val="28"/>
          <w:szCs w:val="28"/>
          <w:rtl/>
        </w:rPr>
      </w:pPr>
      <w:r w:rsidRPr="00D272B9">
        <w:rPr>
          <w:rFonts w:cs="David" w:hint="cs"/>
          <w:sz w:val="28"/>
          <w:szCs w:val="28"/>
          <w:rtl/>
        </w:rPr>
        <w:t>ואם כך, כיצד נכון להגביל את המתרחש במרשתת? בהסדרה מדינתית או בהסדרה פרטית?</w:t>
      </w:r>
      <w:r>
        <w:rPr>
          <w:rFonts w:cs="David" w:hint="cs"/>
          <w:b/>
          <w:bCs/>
          <w:sz w:val="28"/>
          <w:szCs w:val="28"/>
          <w:rtl/>
        </w:rPr>
        <w:t xml:space="preserve"> </w:t>
      </w:r>
      <w:r w:rsidRPr="004E7F40">
        <w:rPr>
          <w:rFonts w:cs="David" w:hint="cs"/>
          <w:sz w:val="28"/>
          <w:szCs w:val="28"/>
          <w:rtl/>
        </w:rPr>
        <w:t xml:space="preserve">שיקולים פרקטיים הנוגעים ליכולת אכיפה מדינתית מוגבלת במרשתת לצד </w:t>
      </w:r>
      <w:r w:rsidRPr="004E7F40">
        <w:rPr>
          <w:rFonts w:cs="David" w:hint="cs"/>
          <w:sz w:val="28"/>
          <w:szCs w:val="28"/>
          <w:rtl/>
        </w:rPr>
        <w:lastRenderedPageBreak/>
        <w:t>שיקולי מדיניות</w:t>
      </w:r>
      <w:r w:rsidR="004E7F40" w:rsidRPr="004E7F40">
        <w:rPr>
          <w:rFonts w:cs="David" w:hint="cs"/>
          <w:sz w:val="28"/>
          <w:szCs w:val="28"/>
          <w:rtl/>
        </w:rPr>
        <w:t>,</w:t>
      </w:r>
      <w:r w:rsidRPr="004E7F40">
        <w:rPr>
          <w:rFonts w:cs="David" w:hint="cs"/>
          <w:sz w:val="28"/>
          <w:szCs w:val="28"/>
          <w:rtl/>
        </w:rPr>
        <w:t xml:space="preserve"> המתנגדים לקיומה של רגולציה של המרשתת</w:t>
      </w:r>
      <w:r w:rsidR="004E7F40" w:rsidRPr="004E7F40">
        <w:rPr>
          <w:rFonts w:cs="David" w:hint="cs"/>
          <w:sz w:val="28"/>
          <w:szCs w:val="28"/>
          <w:rtl/>
        </w:rPr>
        <w:t>,</w:t>
      </w:r>
      <w:r w:rsidRPr="004E7F40">
        <w:rPr>
          <w:rFonts w:cs="David" w:hint="cs"/>
          <w:sz w:val="28"/>
          <w:szCs w:val="28"/>
          <w:rtl/>
        </w:rPr>
        <w:t xml:space="preserve"> ה</w:t>
      </w:r>
      <w:r w:rsidR="004E7F40" w:rsidRPr="004E7F40">
        <w:rPr>
          <w:rFonts w:cs="David" w:hint="cs"/>
          <w:sz w:val="28"/>
          <w:szCs w:val="28"/>
          <w:rtl/>
        </w:rPr>
        <w:t>ובילו</w:t>
      </w:r>
      <w:r w:rsidRPr="004E7F40">
        <w:rPr>
          <w:rFonts w:cs="David" w:hint="cs"/>
          <w:sz w:val="28"/>
          <w:szCs w:val="28"/>
          <w:rtl/>
        </w:rPr>
        <w:t xml:space="preserve"> חלק מהחוקרים למסקנה כי</w:t>
      </w:r>
      <w:r w:rsidRPr="00E964EA">
        <w:rPr>
          <w:rFonts w:cs="David" w:hint="cs"/>
          <w:b/>
          <w:bCs/>
          <w:sz w:val="28"/>
          <w:szCs w:val="28"/>
          <w:rtl/>
        </w:rPr>
        <w:t xml:space="preserve"> ככלל רצוי שלא להסדיר את הפעילות</w:t>
      </w:r>
      <w:r w:rsidRPr="00473E39">
        <w:rPr>
          <w:rFonts w:cs="David" w:hint="cs"/>
          <w:b/>
          <w:bCs/>
          <w:sz w:val="28"/>
          <w:szCs w:val="28"/>
          <w:rtl/>
        </w:rPr>
        <w:t xml:space="preserve"> ברשת באמצעות חקיקה מדינתית ואם עושים ז</w:t>
      </w:r>
      <w:r w:rsidR="004E7F40">
        <w:rPr>
          <w:rFonts w:cs="David" w:hint="cs"/>
          <w:b/>
          <w:bCs/>
          <w:sz w:val="28"/>
          <w:szCs w:val="28"/>
          <w:rtl/>
        </w:rPr>
        <w:t>את</w:t>
      </w:r>
      <w:r w:rsidRPr="00473E39">
        <w:rPr>
          <w:rFonts w:cs="David" w:hint="cs"/>
          <w:b/>
          <w:bCs/>
          <w:sz w:val="28"/>
          <w:szCs w:val="28"/>
          <w:rtl/>
        </w:rPr>
        <w:t xml:space="preserve">, </w:t>
      </w:r>
      <w:r w:rsidR="004E7F40">
        <w:rPr>
          <w:rFonts w:cs="David" w:hint="cs"/>
          <w:b/>
          <w:bCs/>
          <w:sz w:val="28"/>
          <w:szCs w:val="28"/>
          <w:rtl/>
        </w:rPr>
        <w:t xml:space="preserve">יש לעמוד על </w:t>
      </w:r>
      <w:r w:rsidRPr="00473E39">
        <w:rPr>
          <w:rFonts w:cs="David" w:hint="cs"/>
          <w:b/>
          <w:bCs/>
          <w:sz w:val="28"/>
          <w:szCs w:val="28"/>
          <w:rtl/>
        </w:rPr>
        <w:t>הגדרת תנאים ברורים</w:t>
      </w:r>
      <w:r w:rsidRPr="00060D77">
        <w:rPr>
          <w:rFonts w:cs="David" w:hint="cs"/>
          <w:b/>
          <w:bCs/>
          <w:sz w:val="28"/>
          <w:szCs w:val="28"/>
          <w:rtl/>
        </w:rPr>
        <w:t xml:space="preserve">. </w:t>
      </w:r>
    </w:p>
    <w:p w:rsidR="003F6A67" w:rsidRPr="005B0B7A" w:rsidRDefault="00B242C8" w:rsidP="009127CE">
      <w:pPr>
        <w:spacing w:line="360" w:lineRule="auto"/>
        <w:jc w:val="both"/>
        <w:rPr>
          <w:rFonts w:cs="David"/>
          <w:b/>
          <w:bCs/>
          <w:sz w:val="28"/>
          <w:szCs w:val="28"/>
          <w:rtl/>
        </w:rPr>
      </w:pPr>
      <w:r>
        <w:rPr>
          <w:rFonts w:cs="David" w:hint="cs"/>
          <w:sz w:val="28"/>
          <w:szCs w:val="28"/>
          <w:rtl/>
        </w:rPr>
        <w:t>אחרים סוברים</w:t>
      </w:r>
      <w:r w:rsidR="003F6A67" w:rsidRPr="00060D77">
        <w:rPr>
          <w:rFonts w:cs="David" w:hint="cs"/>
          <w:b/>
          <w:bCs/>
          <w:sz w:val="28"/>
          <w:szCs w:val="28"/>
          <w:rtl/>
        </w:rPr>
        <w:t xml:space="preserve"> כי אין מקום לדיכוטומיה שכזו </w:t>
      </w:r>
      <w:r w:rsidR="003F6A67" w:rsidRPr="00B242C8">
        <w:rPr>
          <w:rFonts w:cs="David" w:hint="cs"/>
          <w:sz w:val="28"/>
          <w:szCs w:val="28"/>
          <w:rtl/>
        </w:rPr>
        <w:t>וכי אפשרות האכיפה של נורמות משפטיות</w:t>
      </w:r>
      <w:r w:rsidR="009127CE">
        <w:rPr>
          <w:rFonts w:cs="David" w:hint="cs"/>
          <w:sz w:val="28"/>
          <w:szCs w:val="28"/>
          <w:rtl/>
        </w:rPr>
        <w:t>,</w:t>
      </w:r>
      <w:r w:rsidR="003F6A67" w:rsidRPr="00B242C8">
        <w:rPr>
          <w:rFonts w:cs="David" w:hint="cs"/>
          <w:sz w:val="28"/>
          <w:szCs w:val="28"/>
          <w:rtl/>
        </w:rPr>
        <w:t xml:space="preserve"> ובכלל זה גם נורמות המסדירות את תחום הביטויים בעידן המרשתת, היא כמעט תמיד שאלה של</w:t>
      </w:r>
      <w:r w:rsidR="003F6A67" w:rsidRPr="00060D77">
        <w:rPr>
          <w:rFonts w:cs="David" w:hint="cs"/>
          <w:b/>
          <w:bCs/>
          <w:sz w:val="28"/>
          <w:szCs w:val="28"/>
          <w:rtl/>
        </w:rPr>
        <w:t xml:space="preserve"> מידה</w:t>
      </w:r>
      <w:r w:rsidR="003F6A67" w:rsidRPr="008A0974">
        <w:rPr>
          <w:rFonts w:cs="David" w:hint="cs"/>
          <w:sz w:val="28"/>
          <w:szCs w:val="28"/>
          <w:rtl/>
        </w:rPr>
        <w:t xml:space="preserve">. אמנם יש קושי רב יותר באכיפה בתחום זה, אך אין </w:t>
      </w:r>
      <w:r w:rsidR="009127CE">
        <w:rPr>
          <w:rFonts w:cs="David" w:hint="cs"/>
          <w:sz w:val="28"/>
          <w:szCs w:val="28"/>
          <w:rtl/>
        </w:rPr>
        <w:t xml:space="preserve">עסקינן בהיעדר </w:t>
      </w:r>
      <w:r w:rsidR="003F6A67" w:rsidRPr="008A0974">
        <w:rPr>
          <w:rFonts w:cs="David" w:hint="cs"/>
          <w:sz w:val="28"/>
          <w:szCs w:val="28"/>
          <w:rtl/>
        </w:rPr>
        <w:t>יכולת מוחלט</w:t>
      </w:r>
      <w:r w:rsidR="009127CE">
        <w:rPr>
          <w:rFonts w:cs="David" w:hint="cs"/>
          <w:sz w:val="28"/>
          <w:szCs w:val="28"/>
          <w:rtl/>
        </w:rPr>
        <w:t>ת</w:t>
      </w:r>
      <w:r w:rsidR="003F6A67" w:rsidRPr="008A0974">
        <w:rPr>
          <w:rFonts w:cs="David" w:hint="cs"/>
          <w:sz w:val="28"/>
          <w:szCs w:val="28"/>
          <w:rtl/>
        </w:rPr>
        <w:t xml:space="preserve"> וכי</w:t>
      </w:r>
      <w:r w:rsidR="003F6A67">
        <w:rPr>
          <w:rFonts w:cs="David" w:hint="cs"/>
          <w:sz w:val="28"/>
          <w:szCs w:val="28"/>
          <w:rtl/>
        </w:rPr>
        <w:t xml:space="preserve"> </w:t>
      </w:r>
      <w:r w:rsidR="003F6A67" w:rsidRPr="005B0B7A">
        <w:rPr>
          <w:rFonts w:cs="David" w:hint="cs"/>
          <w:b/>
          <w:bCs/>
          <w:sz w:val="28"/>
          <w:szCs w:val="28"/>
          <w:rtl/>
        </w:rPr>
        <w:t>ישנם מקרים בהם ניתן להחיל אכיפה אפקטיבית:</w:t>
      </w:r>
      <w:r w:rsidR="003F6A67">
        <w:rPr>
          <w:rFonts w:cs="David" w:hint="cs"/>
          <w:sz w:val="28"/>
          <w:szCs w:val="28"/>
          <w:rtl/>
        </w:rPr>
        <w:t xml:space="preserve"> </w:t>
      </w:r>
      <w:r w:rsidR="003F6A67" w:rsidRPr="005B0B7A">
        <w:rPr>
          <w:rFonts w:cs="David" w:hint="cs"/>
          <w:b/>
          <w:bCs/>
          <w:sz w:val="28"/>
          <w:szCs w:val="28"/>
          <w:rtl/>
        </w:rPr>
        <w:t>מול בעלי אתרים גדולים ומוכרים ומול משתמשים שאינם אנונימיים.</w:t>
      </w:r>
    </w:p>
    <w:p w:rsidR="003F6A67" w:rsidRDefault="003F6A67" w:rsidP="003149FF">
      <w:pPr>
        <w:spacing w:line="360" w:lineRule="auto"/>
        <w:jc w:val="both"/>
        <w:rPr>
          <w:rFonts w:cs="David"/>
          <w:b/>
          <w:bCs/>
          <w:sz w:val="28"/>
          <w:szCs w:val="28"/>
          <w:rtl/>
        </w:rPr>
      </w:pPr>
      <w:r>
        <w:rPr>
          <w:rFonts w:cs="David" w:hint="cs"/>
          <w:sz w:val="28"/>
          <w:szCs w:val="28"/>
          <w:rtl/>
        </w:rPr>
        <w:t>במציאות הקיימת בישראל, לפיה עיקר ההסתה לגזענות ולאלימות מבוצעת באמצעות הרשת החברתית של 'פייסבוק' השייכת לתאגיד מסחרי גדול ומוכר ו</w:t>
      </w:r>
      <w:r w:rsidR="003149FF">
        <w:rPr>
          <w:rFonts w:cs="David" w:hint="cs"/>
          <w:sz w:val="28"/>
          <w:szCs w:val="28"/>
          <w:rtl/>
        </w:rPr>
        <w:t>בה רוב המשתמשים המסיתים עושים זאת</w:t>
      </w:r>
      <w:r>
        <w:rPr>
          <w:rFonts w:cs="David" w:hint="cs"/>
          <w:sz w:val="28"/>
          <w:szCs w:val="28"/>
          <w:rtl/>
        </w:rPr>
        <w:t xml:space="preserve"> מפרופילים אמיתיים ומזוהים, </w:t>
      </w:r>
      <w:r w:rsidRPr="001C48F1">
        <w:rPr>
          <w:rFonts w:cs="David" w:hint="cs"/>
          <w:b/>
          <w:bCs/>
          <w:sz w:val="28"/>
          <w:szCs w:val="28"/>
          <w:rtl/>
        </w:rPr>
        <w:t xml:space="preserve">נראה שהעמדה האחרונה </w:t>
      </w:r>
      <w:r>
        <w:rPr>
          <w:rFonts w:cs="David" w:hint="cs"/>
          <w:b/>
          <w:bCs/>
          <w:sz w:val="28"/>
          <w:szCs w:val="28"/>
          <w:rtl/>
        </w:rPr>
        <w:t xml:space="preserve">בכל הנוגע להסדרה המדינתית הינה </w:t>
      </w:r>
      <w:r w:rsidRPr="001C48F1">
        <w:rPr>
          <w:rFonts w:cs="David" w:hint="cs"/>
          <w:b/>
          <w:bCs/>
          <w:sz w:val="28"/>
          <w:szCs w:val="28"/>
          <w:rtl/>
        </w:rPr>
        <w:t xml:space="preserve">מאוזנת ורלוונטית יותר. </w:t>
      </w:r>
    </w:p>
    <w:p w:rsidR="003F6A67" w:rsidRPr="00AF3D4A" w:rsidRDefault="003F6A67" w:rsidP="00AF3D4A">
      <w:pPr>
        <w:spacing w:line="360" w:lineRule="auto"/>
        <w:jc w:val="both"/>
        <w:rPr>
          <w:rFonts w:cs="David"/>
          <w:sz w:val="28"/>
          <w:szCs w:val="28"/>
          <w:rtl/>
        </w:rPr>
      </w:pPr>
      <w:r>
        <w:rPr>
          <w:rFonts w:cs="David" w:hint="cs"/>
          <w:sz w:val="28"/>
          <w:szCs w:val="28"/>
          <w:rtl/>
        </w:rPr>
        <w:t xml:space="preserve">ככלל, ניתוח המציאות הקיימת </w:t>
      </w:r>
      <w:r w:rsidRPr="00FD17DA">
        <w:rPr>
          <w:rFonts w:cs="David" w:hint="cs"/>
          <w:sz w:val="28"/>
          <w:szCs w:val="28"/>
          <w:rtl/>
        </w:rPr>
        <w:t xml:space="preserve">מצביע על </w:t>
      </w:r>
      <w:r w:rsidRPr="00AB22FE">
        <w:rPr>
          <w:rFonts w:cs="David" w:hint="cs"/>
          <w:b/>
          <w:bCs/>
          <w:sz w:val="28"/>
          <w:szCs w:val="28"/>
          <w:rtl/>
        </w:rPr>
        <w:t xml:space="preserve">ירידה משמעותית באפקטיביות של ההסדרה </w:t>
      </w:r>
      <w:r w:rsidRPr="00D853E0">
        <w:rPr>
          <w:rFonts w:cs="David" w:hint="cs"/>
          <w:b/>
          <w:bCs/>
          <w:sz w:val="28"/>
          <w:szCs w:val="28"/>
          <w:rtl/>
        </w:rPr>
        <w:t>המדינתית ברשת המקוונת</w:t>
      </w:r>
      <w:r w:rsidRPr="00FD17DA">
        <w:rPr>
          <w:rFonts w:cs="David" w:hint="cs"/>
          <w:sz w:val="28"/>
          <w:szCs w:val="28"/>
          <w:rtl/>
        </w:rPr>
        <w:t xml:space="preserve"> והעברת הדגש להסדרה פרטית.</w:t>
      </w:r>
      <w:r>
        <w:rPr>
          <w:rStyle w:val="a5"/>
          <w:rFonts w:cs="David"/>
          <w:sz w:val="28"/>
          <w:szCs w:val="28"/>
          <w:rtl/>
        </w:rPr>
        <w:footnoteReference w:id="251"/>
      </w:r>
      <w:r>
        <w:rPr>
          <w:rFonts w:cs="David" w:hint="cs"/>
          <w:sz w:val="28"/>
          <w:szCs w:val="28"/>
          <w:rtl/>
        </w:rPr>
        <w:t xml:space="preserve"> הסדרה פרטית  אינה יכולה </w:t>
      </w:r>
      <w:r w:rsidR="00AF3D4A">
        <w:rPr>
          <w:rFonts w:cs="David" w:hint="cs"/>
          <w:sz w:val="28"/>
          <w:szCs w:val="28"/>
          <w:rtl/>
        </w:rPr>
        <w:t xml:space="preserve">אמנם </w:t>
      </w:r>
      <w:r>
        <w:rPr>
          <w:rFonts w:cs="David" w:hint="cs"/>
          <w:sz w:val="28"/>
          <w:szCs w:val="28"/>
          <w:rtl/>
        </w:rPr>
        <w:t xml:space="preserve">לבוא </w:t>
      </w:r>
      <w:r w:rsidR="00AF3D4A">
        <w:rPr>
          <w:rFonts w:cs="David" w:hint="cs"/>
          <w:sz w:val="28"/>
          <w:szCs w:val="28"/>
          <w:rtl/>
        </w:rPr>
        <w:t xml:space="preserve">במקום שבו </w:t>
      </w:r>
      <w:r>
        <w:rPr>
          <w:rFonts w:cs="David" w:hint="cs"/>
          <w:sz w:val="28"/>
          <w:szCs w:val="28"/>
          <w:rtl/>
        </w:rPr>
        <w:t>המחוקק קבע מפורשות שהינו אסור, כפי ש</w:t>
      </w:r>
      <w:r w:rsidR="00AF3D4A">
        <w:rPr>
          <w:rFonts w:cs="David" w:hint="cs"/>
          <w:sz w:val="28"/>
          <w:szCs w:val="28"/>
          <w:rtl/>
        </w:rPr>
        <w:t>נמצא</w:t>
      </w:r>
      <w:r>
        <w:rPr>
          <w:rFonts w:cs="David" w:hint="cs"/>
          <w:sz w:val="28"/>
          <w:szCs w:val="28"/>
          <w:rtl/>
        </w:rPr>
        <w:t xml:space="preserve"> למשל, בעבירות </w:t>
      </w:r>
      <w:r w:rsidRPr="00D853E0">
        <w:rPr>
          <w:rFonts w:cs="David" w:hint="cs"/>
          <w:b/>
          <w:bCs/>
          <w:sz w:val="28"/>
          <w:szCs w:val="28"/>
          <w:rtl/>
        </w:rPr>
        <w:t>ההסתה</w:t>
      </w:r>
      <w:r>
        <w:rPr>
          <w:rFonts w:cs="David" w:hint="cs"/>
          <w:sz w:val="28"/>
          <w:szCs w:val="28"/>
          <w:rtl/>
        </w:rPr>
        <w:t xml:space="preserve"> לגזענות ולאלימות,</w:t>
      </w:r>
      <w:r>
        <w:rPr>
          <w:rFonts w:cs="David" w:hint="cs"/>
          <w:b/>
          <w:bCs/>
          <w:sz w:val="28"/>
          <w:szCs w:val="28"/>
          <w:rtl/>
        </w:rPr>
        <w:t xml:space="preserve"> אך המחוקק הישראלי לא אסר בחוק העונשין התבטאויות גזעניות גרידא. </w:t>
      </w:r>
      <w:r>
        <w:rPr>
          <w:rFonts w:cs="David" w:hint="cs"/>
          <w:sz w:val="28"/>
          <w:szCs w:val="28"/>
          <w:rtl/>
        </w:rPr>
        <w:t xml:space="preserve">המחוקק </w:t>
      </w:r>
      <w:r w:rsidRPr="00DD3D72">
        <w:rPr>
          <w:rFonts w:cs="David" w:hint="cs"/>
          <w:sz w:val="28"/>
          <w:szCs w:val="28"/>
          <w:rtl/>
        </w:rPr>
        <w:t xml:space="preserve">אסר </w:t>
      </w:r>
      <w:r>
        <w:rPr>
          <w:rFonts w:cs="David" w:hint="cs"/>
          <w:sz w:val="28"/>
          <w:szCs w:val="28"/>
          <w:rtl/>
        </w:rPr>
        <w:t xml:space="preserve">בחוק העונשין רק פרסום </w:t>
      </w:r>
      <w:r w:rsidRPr="00C54DE1">
        <w:rPr>
          <w:rFonts w:cs="David" w:hint="cs"/>
          <w:b/>
          <w:bCs/>
          <w:sz w:val="28"/>
          <w:szCs w:val="28"/>
          <w:rtl/>
        </w:rPr>
        <w:t>מתוך מטרה להסית</w:t>
      </w:r>
      <w:r>
        <w:rPr>
          <w:rFonts w:cs="David" w:hint="cs"/>
          <w:sz w:val="28"/>
          <w:szCs w:val="28"/>
          <w:rtl/>
        </w:rPr>
        <w:t xml:space="preserve"> </w:t>
      </w:r>
      <w:r w:rsidRPr="00DD3D72">
        <w:rPr>
          <w:rFonts w:cs="David" w:hint="cs"/>
          <w:sz w:val="28"/>
          <w:szCs w:val="28"/>
          <w:rtl/>
        </w:rPr>
        <w:t>לגזענות.</w:t>
      </w:r>
      <w:r>
        <w:rPr>
          <w:rFonts w:cs="David" w:hint="cs"/>
          <w:sz w:val="28"/>
          <w:szCs w:val="28"/>
          <w:rtl/>
        </w:rPr>
        <w:t xml:space="preserve"> ההבדל הוא מהותי. ל</w:t>
      </w:r>
      <w:r w:rsidRPr="00DD3D72">
        <w:rPr>
          <w:rFonts w:cs="David" w:hint="cs"/>
          <w:sz w:val="28"/>
          <w:szCs w:val="28"/>
          <w:rtl/>
        </w:rPr>
        <w:t xml:space="preserve">כן, </w:t>
      </w:r>
      <w:r w:rsidR="00AF3D4A" w:rsidRPr="00AF3D4A">
        <w:rPr>
          <w:rFonts w:cs="David" w:hint="cs"/>
          <w:b/>
          <w:bCs/>
          <w:sz w:val="28"/>
          <w:szCs w:val="28"/>
          <w:rtl/>
        </w:rPr>
        <w:t>יש</w:t>
      </w:r>
      <w:r w:rsidR="00AF3D4A">
        <w:rPr>
          <w:rFonts w:cs="David" w:hint="cs"/>
          <w:sz w:val="28"/>
          <w:szCs w:val="28"/>
          <w:rtl/>
        </w:rPr>
        <w:t xml:space="preserve"> </w:t>
      </w:r>
      <w:r w:rsidRPr="005F3DA1">
        <w:rPr>
          <w:rFonts w:cs="David" w:hint="cs"/>
          <w:b/>
          <w:bCs/>
          <w:sz w:val="28"/>
          <w:szCs w:val="28"/>
          <w:rtl/>
        </w:rPr>
        <w:t xml:space="preserve">להסדרה הפרטית רלוונטיות גבוהה בטיפול אפקטיבי </w:t>
      </w:r>
      <w:r>
        <w:rPr>
          <w:rFonts w:cs="David" w:hint="cs"/>
          <w:b/>
          <w:bCs/>
          <w:sz w:val="28"/>
          <w:szCs w:val="28"/>
          <w:rtl/>
        </w:rPr>
        <w:t xml:space="preserve">דווקא </w:t>
      </w:r>
      <w:r w:rsidRPr="005F3DA1">
        <w:rPr>
          <w:rFonts w:cs="David" w:hint="cs"/>
          <w:b/>
          <w:bCs/>
          <w:sz w:val="28"/>
          <w:szCs w:val="28"/>
          <w:rtl/>
        </w:rPr>
        <w:t>בהתבטאויות גזעניות</w:t>
      </w:r>
      <w:r>
        <w:rPr>
          <w:rFonts w:cs="David" w:hint="cs"/>
          <w:b/>
          <w:bCs/>
          <w:sz w:val="28"/>
          <w:szCs w:val="28"/>
          <w:rtl/>
        </w:rPr>
        <w:t xml:space="preserve"> שאינן </w:t>
      </w:r>
      <w:r w:rsidRPr="005F3DA1">
        <w:rPr>
          <w:rFonts w:cs="David" w:hint="cs"/>
          <w:b/>
          <w:bCs/>
          <w:sz w:val="28"/>
          <w:szCs w:val="28"/>
          <w:rtl/>
        </w:rPr>
        <w:t>"</w:t>
      </w:r>
      <w:r>
        <w:rPr>
          <w:rFonts w:cs="David" w:hint="cs"/>
          <w:b/>
          <w:bCs/>
          <w:sz w:val="28"/>
          <w:szCs w:val="28"/>
          <w:rtl/>
        </w:rPr>
        <w:t xml:space="preserve">מתוך </w:t>
      </w:r>
      <w:r w:rsidRPr="005F3DA1">
        <w:rPr>
          <w:rFonts w:cs="David" w:hint="cs"/>
          <w:b/>
          <w:bCs/>
          <w:sz w:val="28"/>
          <w:szCs w:val="28"/>
          <w:rtl/>
        </w:rPr>
        <w:t>מטרה להסית</w:t>
      </w:r>
      <w:r>
        <w:rPr>
          <w:rFonts w:cs="David" w:hint="cs"/>
          <w:b/>
          <w:bCs/>
          <w:sz w:val="28"/>
          <w:szCs w:val="28"/>
          <w:rtl/>
        </w:rPr>
        <w:t xml:space="preserve">", </w:t>
      </w:r>
      <w:r w:rsidRPr="00AF3D4A">
        <w:rPr>
          <w:rFonts w:cs="David" w:hint="cs"/>
          <w:sz w:val="28"/>
          <w:szCs w:val="28"/>
          <w:rtl/>
        </w:rPr>
        <w:t>שהינם, ככל הנראה, אחוז גבוה מההתבטאויות המתלהמות ברשתות החברתיות.</w:t>
      </w:r>
    </w:p>
    <w:p w:rsidR="003F6A67" w:rsidRPr="00372511" w:rsidRDefault="003F6A67" w:rsidP="00270FD1">
      <w:pPr>
        <w:spacing w:line="360" w:lineRule="auto"/>
        <w:jc w:val="both"/>
        <w:rPr>
          <w:rFonts w:cs="David"/>
          <w:sz w:val="28"/>
          <w:szCs w:val="28"/>
          <w:rtl/>
        </w:rPr>
      </w:pPr>
      <w:r w:rsidRPr="003B6B1F">
        <w:rPr>
          <w:rFonts w:cs="David" w:hint="cs"/>
          <w:sz w:val="28"/>
          <w:szCs w:val="28"/>
          <w:rtl/>
        </w:rPr>
        <w:t xml:space="preserve">מרבית החוקרים טוענים כי לאור המגבלות בהסדרה מדינתית, </w:t>
      </w:r>
      <w:r w:rsidRPr="0088370D">
        <w:rPr>
          <w:rFonts w:cs="David" w:hint="cs"/>
          <w:b/>
          <w:bCs/>
          <w:sz w:val="28"/>
          <w:szCs w:val="28"/>
          <w:rtl/>
        </w:rPr>
        <w:t xml:space="preserve">יש לאמץ את ההסדרה הפרטית, </w:t>
      </w:r>
      <w:r w:rsidRPr="00372511">
        <w:rPr>
          <w:rFonts w:cs="David" w:hint="cs"/>
          <w:sz w:val="28"/>
          <w:szCs w:val="28"/>
          <w:rtl/>
        </w:rPr>
        <w:t>אך רצוי כי המחוקק יקבע את כללי המסגרת שיאפשרו להסדרה הפרטית לפעול ביעילות</w:t>
      </w:r>
      <w:r w:rsidR="00270FD1">
        <w:rPr>
          <w:rFonts w:cs="David" w:hint="cs"/>
          <w:sz w:val="28"/>
          <w:szCs w:val="28"/>
          <w:rtl/>
        </w:rPr>
        <w:t xml:space="preserve">. </w:t>
      </w:r>
      <w:r w:rsidRPr="00372511">
        <w:rPr>
          <w:rFonts w:cs="David" w:hint="cs"/>
          <w:b/>
          <w:bCs/>
          <w:sz w:val="28"/>
          <w:szCs w:val="28"/>
          <w:rtl/>
        </w:rPr>
        <w:t xml:space="preserve">אל לו </w:t>
      </w:r>
      <w:r w:rsidR="00270FD1">
        <w:rPr>
          <w:rFonts w:cs="David" w:hint="cs"/>
          <w:b/>
          <w:bCs/>
          <w:sz w:val="28"/>
          <w:szCs w:val="28"/>
          <w:rtl/>
        </w:rPr>
        <w:t xml:space="preserve">למחוקק </w:t>
      </w:r>
      <w:r w:rsidRPr="00372511">
        <w:rPr>
          <w:rFonts w:cs="David" w:hint="cs"/>
          <w:b/>
          <w:bCs/>
          <w:sz w:val="28"/>
          <w:szCs w:val="28"/>
          <w:rtl/>
        </w:rPr>
        <w:t>להתערב בתכנים</w:t>
      </w:r>
      <w:r w:rsidRPr="00372511">
        <w:rPr>
          <w:rFonts w:cs="David" w:hint="cs"/>
          <w:sz w:val="28"/>
          <w:szCs w:val="28"/>
          <w:rtl/>
        </w:rPr>
        <w:t>, אלא במקרי קיצון מצומצמים.</w:t>
      </w:r>
    </w:p>
    <w:p w:rsidR="003F6A67" w:rsidRDefault="003F6A67" w:rsidP="00D93F05">
      <w:pPr>
        <w:spacing w:line="360" w:lineRule="auto"/>
        <w:jc w:val="both"/>
        <w:rPr>
          <w:rFonts w:cs="David"/>
          <w:sz w:val="28"/>
          <w:szCs w:val="28"/>
          <w:rtl/>
        </w:rPr>
      </w:pPr>
      <w:r w:rsidRPr="000E5B5D">
        <w:rPr>
          <w:rFonts w:cs="David" w:hint="cs"/>
          <w:sz w:val="28"/>
          <w:szCs w:val="28"/>
          <w:rtl/>
        </w:rPr>
        <w:t>כחלק מהדיון ב</w:t>
      </w:r>
      <w:r w:rsidR="00D93F05">
        <w:rPr>
          <w:rFonts w:cs="David" w:hint="cs"/>
          <w:sz w:val="28"/>
          <w:szCs w:val="28"/>
          <w:rtl/>
        </w:rPr>
        <w:t>ה</w:t>
      </w:r>
      <w:r w:rsidRPr="000E5B5D">
        <w:rPr>
          <w:rFonts w:cs="David" w:hint="cs"/>
          <w:sz w:val="28"/>
          <w:szCs w:val="28"/>
          <w:rtl/>
        </w:rPr>
        <w:t xml:space="preserve">סדרה הפרטית עסקה העבודה בשאלת נשיאת האחריות האזרחית על ידי בעלי האתרים וספקיות המרשתת </w:t>
      </w:r>
      <w:r>
        <w:rPr>
          <w:rFonts w:cs="David" w:hint="cs"/>
          <w:sz w:val="28"/>
          <w:szCs w:val="28"/>
          <w:rtl/>
        </w:rPr>
        <w:t xml:space="preserve">בגין תכנים המופצים ברשת </w:t>
      </w:r>
      <w:r w:rsidR="00D93F05">
        <w:rPr>
          <w:rFonts w:cs="David" w:hint="cs"/>
          <w:sz w:val="28"/>
          <w:szCs w:val="28"/>
          <w:rtl/>
        </w:rPr>
        <w:t>ש</w:t>
      </w:r>
      <w:r>
        <w:rPr>
          <w:rFonts w:cs="David" w:hint="cs"/>
          <w:sz w:val="28"/>
          <w:szCs w:val="28"/>
          <w:rtl/>
        </w:rPr>
        <w:t>י</w:t>
      </w:r>
      <w:r w:rsidR="00D93F05">
        <w:rPr>
          <w:rFonts w:cs="David" w:hint="cs"/>
          <w:sz w:val="28"/>
          <w:szCs w:val="28"/>
          <w:rtl/>
        </w:rPr>
        <w:t>ש</w:t>
      </w:r>
      <w:r>
        <w:rPr>
          <w:rFonts w:cs="David" w:hint="cs"/>
          <w:sz w:val="28"/>
          <w:szCs w:val="28"/>
          <w:rtl/>
        </w:rPr>
        <w:t xml:space="preserve"> </w:t>
      </w:r>
      <w:r w:rsidR="00D93F05">
        <w:rPr>
          <w:rFonts w:cs="David" w:hint="cs"/>
          <w:sz w:val="28"/>
          <w:szCs w:val="28"/>
          <w:rtl/>
        </w:rPr>
        <w:t xml:space="preserve">להם </w:t>
      </w:r>
      <w:r>
        <w:rPr>
          <w:rFonts w:cs="David" w:hint="cs"/>
          <w:sz w:val="28"/>
          <w:szCs w:val="28"/>
          <w:rtl/>
        </w:rPr>
        <w:t>אופי מזיק.</w:t>
      </w:r>
      <w:r w:rsidRPr="000E5B5D">
        <w:rPr>
          <w:rFonts w:cs="David" w:hint="cs"/>
          <w:color w:val="FF0000"/>
          <w:sz w:val="28"/>
          <w:szCs w:val="28"/>
          <w:rtl/>
        </w:rPr>
        <w:t xml:space="preserve">  </w:t>
      </w:r>
      <w:r>
        <w:rPr>
          <w:rFonts w:cs="David" w:hint="cs"/>
          <w:sz w:val="28"/>
          <w:szCs w:val="28"/>
          <w:rtl/>
        </w:rPr>
        <w:t>נמצא</w:t>
      </w:r>
      <w:r w:rsidR="00D93F05">
        <w:rPr>
          <w:rFonts w:cs="David" w:hint="cs"/>
          <w:sz w:val="28"/>
          <w:szCs w:val="28"/>
          <w:rtl/>
        </w:rPr>
        <w:t>,</w:t>
      </w:r>
      <w:r>
        <w:rPr>
          <w:rFonts w:cs="David" w:hint="cs"/>
          <w:sz w:val="28"/>
          <w:szCs w:val="28"/>
          <w:rtl/>
        </w:rPr>
        <w:t xml:space="preserve"> כי אלו </w:t>
      </w:r>
      <w:r w:rsidRPr="00FA551C">
        <w:rPr>
          <w:rFonts w:cs="David" w:hint="cs"/>
          <w:b/>
          <w:bCs/>
          <w:sz w:val="28"/>
          <w:szCs w:val="28"/>
          <w:rtl/>
        </w:rPr>
        <w:t xml:space="preserve">מהווים כתובת אטרקטיבית יותר לתביעות משפטיות, מאשר המשתמש הספציפי שהסית לגזענות או לאלימות כנגד </w:t>
      </w:r>
      <w:r w:rsidR="0019457B">
        <w:rPr>
          <w:rFonts w:cs="David" w:hint="cs"/>
          <w:b/>
          <w:bCs/>
          <w:sz w:val="28"/>
          <w:szCs w:val="28"/>
          <w:rtl/>
        </w:rPr>
        <w:t>'</w:t>
      </w:r>
      <w:r w:rsidR="00D93F05">
        <w:rPr>
          <w:rFonts w:cs="David" w:hint="cs"/>
          <w:b/>
          <w:bCs/>
          <w:sz w:val="28"/>
          <w:szCs w:val="28"/>
          <w:rtl/>
        </w:rPr>
        <w:t>ה</w:t>
      </w:r>
      <w:r w:rsidRPr="00FA551C">
        <w:rPr>
          <w:rFonts w:cs="David" w:hint="cs"/>
          <w:b/>
          <w:bCs/>
          <w:sz w:val="28"/>
          <w:szCs w:val="28"/>
          <w:rtl/>
        </w:rPr>
        <w:t>אחר</w:t>
      </w:r>
      <w:r w:rsidR="0019457B">
        <w:rPr>
          <w:rFonts w:cs="David" w:hint="cs"/>
          <w:b/>
          <w:bCs/>
          <w:sz w:val="28"/>
          <w:szCs w:val="28"/>
          <w:rtl/>
        </w:rPr>
        <w:t>'</w:t>
      </w:r>
      <w:r w:rsidR="00D93F05">
        <w:rPr>
          <w:rFonts w:cs="David" w:hint="cs"/>
          <w:sz w:val="28"/>
          <w:szCs w:val="28"/>
          <w:rtl/>
        </w:rPr>
        <w:t>,</w:t>
      </w:r>
      <w:r>
        <w:rPr>
          <w:rFonts w:cs="David" w:hint="cs"/>
          <w:sz w:val="28"/>
          <w:szCs w:val="28"/>
          <w:rtl/>
        </w:rPr>
        <w:t xml:space="preserve"> וכי ספקיות </w:t>
      </w:r>
      <w:r>
        <w:rPr>
          <w:rFonts w:cs="David" w:hint="cs"/>
          <w:sz w:val="28"/>
          <w:szCs w:val="28"/>
          <w:rtl/>
        </w:rPr>
        <w:lastRenderedPageBreak/>
        <w:t xml:space="preserve">המרשתת </w:t>
      </w:r>
      <w:r w:rsidRPr="00FA551C">
        <w:rPr>
          <w:rFonts w:cs="David" w:hint="cs"/>
          <w:b/>
          <w:bCs/>
          <w:sz w:val="28"/>
          <w:szCs w:val="28"/>
          <w:rtl/>
        </w:rPr>
        <w:t>נמצאות בעמדה נוחה למנוע באופן אפקטיבי הישנות של אותן התבטאויות מזיקות,</w:t>
      </w:r>
      <w:r>
        <w:rPr>
          <w:rFonts w:cs="David" w:hint="cs"/>
          <w:sz w:val="28"/>
          <w:szCs w:val="28"/>
          <w:rtl/>
        </w:rPr>
        <w:t xml:space="preserve"> שכן יש בידיהן טכנולוגיה המאפשרת ניטור, חסימה והסרת תכנים.</w:t>
      </w:r>
    </w:p>
    <w:p w:rsidR="003F6A67" w:rsidRPr="00E84E79" w:rsidRDefault="003F6A67" w:rsidP="00840A50">
      <w:pPr>
        <w:spacing w:line="360" w:lineRule="auto"/>
        <w:jc w:val="both"/>
        <w:rPr>
          <w:rFonts w:cs="David"/>
          <w:sz w:val="28"/>
          <w:szCs w:val="28"/>
          <w:rtl/>
        </w:rPr>
      </w:pPr>
      <w:r>
        <w:rPr>
          <w:rFonts w:cs="David" w:hint="cs"/>
          <w:sz w:val="28"/>
          <w:szCs w:val="28"/>
          <w:rtl/>
        </w:rPr>
        <w:t xml:space="preserve">עוד העלה הדיון כי במציאות </w:t>
      </w:r>
      <w:r w:rsidRPr="006F37CE">
        <w:rPr>
          <w:rFonts w:cs="David" w:hint="cs"/>
          <w:sz w:val="28"/>
          <w:szCs w:val="28"/>
          <w:rtl/>
        </w:rPr>
        <w:t xml:space="preserve">הקיימת </w:t>
      </w:r>
      <w:r>
        <w:rPr>
          <w:rFonts w:cs="David" w:hint="cs"/>
          <w:sz w:val="28"/>
          <w:szCs w:val="28"/>
          <w:rtl/>
        </w:rPr>
        <w:t xml:space="preserve">בישראל </w:t>
      </w:r>
      <w:r w:rsidRPr="00840A50">
        <w:rPr>
          <w:rFonts w:cs="David" w:hint="cs"/>
          <w:b/>
          <w:bCs/>
          <w:sz w:val="28"/>
          <w:szCs w:val="28"/>
          <w:rtl/>
        </w:rPr>
        <w:t xml:space="preserve">לא הסדיר </w:t>
      </w:r>
      <w:r w:rsidR="00E84E79" w:rsidRPr="00840A50">
        <w:rPr>
          <w:rFonts w:cs="David" w:hint="cs"/>
          <w:b/>
          <w:bCs/>
          <w:sz w:val="28"/>
          <w:szCs w:val="28"/>
          <w:rtl/>
        </w:rPr>
        <w:t xml:space="preserve">המחוקק </w:t>
      </w:r>
      <w:r w:rsidRPr="00840A50">
        <w:rPr>
          <w:rFonts w:cs="David" w:hint="cs"/>
          <w:b/>
          <w:bCs/>
          <w:sz w:val="28"/>
          <w:szCs w:val="28"/>
          <w:rtl/>
        </w:rPr>
        <w:t xml:space="preserve">מפורשות את סוגיית אחריותם ואת חובתם </w:t>
      </w:r>
      <w:r w:rsidR="00E84E79" w:rsidRPr="00840A50">
        <w:rPr>
          <w:rFonts w:cs="David" w:hint="cs"/>
          <w:b/>
          <w:bCs/>
          <w:sz w:val="28"/>
          <w:szCs w:val="28"/>
          <w:rtl/>
        </w:rPr>
        <w:t>של בעלי האתרים וספקי המרשתת</w:t>
      </w:r>
      <w:r w:rsidR="00840A50">
        <w:rPr>
          <w:rFonts w:cs="David" w:hint="cs"/>
          <w:sz w:val="28"/>
          <w:szCs w:val="28"/>
          <w:rtl/>
        </w:rPr>
        <w:t xml:space="preserve"> </w:t>
      </w:r>
      <w:r w:rsidRPr="00840A50">
        <w:rPr>
          <w:rFonts w:cs="David" w:hint="cs"/>
          <w:b/>
          <w:bCs/>
          <w:sz w:val="28"/>
          <w:szCs w:val="28"/>
          <w:rtl/>
        </w:rPr>
        <w:t>להפעיל כלי ניטור</w:t>
      </w:r>
      <w:r w:rsidR="00E84E79" w:rsidRPr="00840A50">
        <w:rPr>
          <w:rFonts w:cs="David" w:hint="cs"/>
          <w:b/>
          <w:bCs/>
          <w:sz w:val="28"/>
          <w:szCs w:val="28"/>
          <w:rtl/>
        </w:rPr>
        <w:t xml:space="preserve">, </w:t>
      </w:r>
      <w:r w:rsidRPr="00840A50">
        <w:rPr>
          <w:rFonts w:cs="David" w:hint="cs"/>
          <w:b/>
          <w:bCs/>
          <w:sz w:val="28"/>
          <w:szCs w:val="28"/>
          <w:rtl/>
        </w:rPr>
        <w:t xml:space="preserve"> פיקוח והסרת תכנים פוגעניים</w:t>
      </w:r>
      <w:r w:rsidR="00E84E79" w:rsidRPr="00840A50">
        <w:rPr>
          <w:rFonts w:cs="David" w:hint="cs"/>
          <w:b/>
          <w:bCs/>
          <w:sz w:val="28"/>
          <w:szCs w:val="28"/>
          <w:rtl/>
        </w:rPr>
        <w:t>,</w:t>
      </w:r>
      <w:r w:rsidRPr="00E84E79">
        <w:rPr>
          <w:rFonts w:cs="David" w:hint="cs"/>
          <w:sz w:val="28"/>
          <w:szCs w:val="28"/>
          <w:rtl/>
        </w:rPr>
        <w:t xml:space="preserve"> שאותרו באתריהם ובכלל זה תכנים גזעניים ומסיתים.</w:t>
      </w:r>
      <w:r w:rsidR="00840A50">
        <w:rPr>
          <w:rFonts w:cs="David" w:hint="cs"/>
          <w:sz w:val="28"/>
          <w:szCs w:val="28"/>
          <w:rtl/>
        </w:rPr>
        <w:t xml:space="preserve"> בהקשר זה, יש לציין כי </w:t>
      </w:r>
      <w:r w:rsidR="00840A50" w:rsidRPr="00FA2162">
        <w:rPr>
          <w:rFonts w:cs="David" w:hint="cs"/>
          <w:sz w:val="28"/>
          <w:szCs w:val="28"/>
          <w:rtl/>
        </w:rPr>
        <w:t>בימים אלו</w:t>
      </w:r>
      <w:r w:rsidR="00840A50">
        <w:rPr>
          <w:rFonts w:cs="David" w:hint="cs"/>
          <w:sz w:val="28"/>
          <w:szCs w:val="28"/>
          <w:rtl/>
        </w:rPr>
        <w:t xml:space="preserve"> הוצגו שתי הצעות חוק רלוונטיות, האחת פרטית והשנייה מטעם המדינה. שתי ההצעות דומות בתכליתן ובשלב זה נמצאות בשלבי דיון, אך </w:t>
      </w:r>
      <w:r w:rsidR="00840A50" w:rsidRPr="00827B85">
        <w:rPr>
          <w:rFonts w:cs="David" w:hint="cs"/>
          <w:b/>
          <w:bCs/>
          <w:sz w:val="28"/>
          <w:szCs w:val="28"/>
          <w:rtl/>
        </w:rPr>
        <w:t>כבר כעת ניתן לומר כי קבלתן לא תהיה חפה מקשיים, לאור התנגדות גורמים שונים הרואים בהצעות אלו פגיעה קשה ובלתי מידתית בזכות לחופש הביטוי במרחב המקוון, הן בהיבט המהותי והן בהיבט הפרוצדוראלי.</w:t>
      </w:r>
    </w:p>
    <w:p w:rsidR="003F6A67" w:rsidRPr="001E5EAE" w:rsidRDefault="003F6A67" w:rsidP="000B41AD">
      <w:pPr>
        <w:spacing w:line="360" w:lineRule="auto"/>
        <w:jc w:val="both"/>
        <w:rPr>
          <w:rFonts w:cs="David"/>
          <w:b/>
          <w:bCs/>
          <w:color w:val="FF0000"/>
          <w:sz w:val="28"/>
          <w:szCs w:val="28"/>
          <w:rtl/>
        </w:rPr>
      </w:pPr>
      <w:r>
        <w:rPr>
          <w:rFonts w:cs="David" w:hint="cs"/>
          <w:sz w:val="28"/>
          <w:szCs w:val="28"/>
          <w:rtl/>
        </w:rPr>
        <w:t xml:space="preserve">מוסכם כי </w:t>
      </w:r>
      <w:r w:rsidRPr="0007238C">
        <w:rPr>
          <w:rFonts w:cs="David" w:hint="cs"/>
          <w:sz w:val="28"/>
          <w:szCs w:val="28"/>
          <w:rtl/>
        </w:rPr>
        <w:t xml:space="preserve">בכל הסדרה - מדינתית או </w:t>
      </w:r>
      <w:r w:rsidRPr="000B41AD">
        <w:rPr>
          <w:rFonts w:cs="David" w:hint="cs"/>
          <w:sz w:val="28"/>
          <w:szCs w:val="28"/>
          <w:rtl/>
        </w:rPr>
        <w:t xml:space="preserve">פרטית - </w:t>
      </w:r>
      <w:r w:rsidR="000B41AD" w:rsidRPr="001E5EAE">
        <w:rPr>
          <w:rFonts w:cs="David" w:hint="cs"/>
          <w:b/>
          <w:bCs/>
          <w:sz w:val="28"/>
          <w:szCs w:val="28"/>
          <w:rtl/>
        </w:rPr>
        <w:t>ניתן</w:t>
      </w:r>
      <w:r w:rsidRPr="001E5EAE">
        <w:rPr>
          <w:rFonts w:cs="David" w:hint="cs"/>
          <w:b/>
          <w:bCs/>
          <w:sz w:val="28"/>
          <w:szCs w:val="28"/>
          <w:rtl/>
        </w:rPr>
        <w:t xml:space="preserve"> במשולש - משפט, טכנולוגיה, ערכים -  </w:t>
      </w:r>
      <w:r w:rsidRPr="0007238C">
        <w:rPr>
          <w:rFonts w:cs="David" w:hint="cs"/>
          <w:b/>
          <w:bCs/>
          <w:sz w:val="28"/>
          <w:szCs w:val="28"/>
          <w:rtl/>
        </w:rPr>
        <w:t>מקום של כבוד לערכים החברתיים ו</w:t>
      </w:r>
      <w:r w:rsidR="000B41AD">
        <w:rPr>
          <w:rFonts w:cs="David" w:hint="cs"/>
          <w:b/>
          <w:bCs/>
          <w:sz w:val="28"/>
          <w:szCs w:val="28"/>
          <w:rtl/>
        </w:rPr>
        <w:t>ל</w:t>
      </w:r>
      <w:r w:rsidRPr="0007238C">
        <w:rPr>
          <w:rFonts w:cs="David" w:hint="cs"/>
          <w:b/>
          <w:bCs/>
          <w:sz w:val="28"/>
          <w:szCs w:val="28"/>
          <w:rtl/>
        </w:rPr>
        <w:t>נורמות היסוד בחברה הדמוקרטית</w:t>
      </w:r>
      <w:r w:rsidRPr="0007238C">
        <w:rPr>
          <w:rFonts w:cs="David" w:hint="cs"/>
          <w:sz w:val="28"/>
          <w:szCs w:val="28"/>
          <w:rtl/>
        </w:rPr>
        <w:t xml:space="preserve">, אשר בשיטת המשפט הנוהגת הם המכתיבים את פרשנות כללי המשפט. </w:t>
      </w:r>
      <w:r w:rsidR="000B41AD">
        <w:rPr>
          <w:rFonts w:cs="David" w:hint="cs"/>
          <w:b/>
          <w:bCs/>
          <w:sz w:val="28"/>
          <w:szCs w:val="28"/>
          <w:rtl/>
        </w:rPr>
        <w:t>אל לו ל</w:t>
      </w:r>
      <w:r w:rsidRPr="0007238C">
        <w:rPr>
          <w:rFonts w:cs="David" w:hint="cs"/>
          <w:b/>
          <w:bCs/>
          <w:sz w:val="28"/>
          <w:szCs w:val="28"/>
          <w:rtl/>
        </w:rPr>
        <w:t xml:space="preserve">משפט לסגת מפני הטכנולוגיה. המשפט גם לא צריך להיות אדיש לה. </w:t>
      </w:r>
      <w:r w:rsidRPr="000B41AD">
        <w:rPr>
          <w:rFonts w:cs="David" w:hint="cs"/>
          <w:sz w:val="28"/>
          <w:szCs w:val="28"/>
          <w:rtl/>
        </w:rPr>
        <w:t>את ההסדר המשפטי יש לגזור, כמו בכל פתרון משפטי ראוי בכל תחום אחר, מהערכים היסודיים המנחים את החברה.</w:t>
      </w:r>
      <w:r w:rsidRPr="000B41AD">
        <w:rPr>
          <w:rStyle w:val="a5"/>
          <w:rFonts w:cs="David"/>
          <w:sz w:val="28"/>
          <w:szCs w:val="28"/>
          <w:rtl/>
        </w:rPr>
        <w:footnoteReference w:id="252"/>
      </w:r>
      <w:r w:rsidRPr="000B41AD">
        <w:rPr>
          <w:rFonts w:cs="David" w:hint="cs"/>
          <w:sz w:val="28"/>
          <w:szCs w:val="28"/>
          <w:rtl/>
        </w:rPr>
        <w:t xml:space="preserve"> כך יש לנהוג גם במקרה של השיח הגזעני והמסית המשתולל ברשתות החברתיות, אשר סותר את ערכי היסוד של מדינת ישראל ומסכן אותם. </w:t>
      </w:r>
      <w:r w:rsidRPr="001E5EAE">
        <w:rPr>
          <w:rFonts w:cs="David" w:hint="cs"/>
          <w:b/>
          <w:bCs/>
          <w:sz w:val="28"/>
          <w:szCs w:val="28"/>
          <w:rtl/>
        </w:rPr>
        <w:t>למצער, יש למדינת ישראל עוד כברת דרך לעשות בהקשר זה.</w:t>
      </w:r>
    </w:p>
    <w:p w:rsidR="003F6A67" w:rsidRDefault="003F6A67" w:rsidP="00257FE6">
      <w:pPr>
        <w:spacing w:line="360" w:lineRule="auto"/>
        <w:jc w:val="both"/>
        <w:rPr>
          <w:rFonts w:cs="David"/>
          <w:sz w:val="28"/>
          <w:szCs w:val="28"/>
          <w:rtl/>
        </w:rPr>
      </w:pPr>
      <w:r>
        <w:rPr>
          <w:rFonts w:cs="David" w:hint="cs"/>
          <w:sz w:val="28"/>
          <w:szCs w:val="28"/>
          <w:rtl/>
        </w:rPr>
        <w:t>לאחר שנסקרו הגורמים המשפיעים</w:t>
      </w:r>
      <w:r w:rsidR="005B18E1">
        <w:rPr>
          <w:rFonts w:cs="David" w:hint="cs"/>
          <w:sz w:val="28"/>
          <w:szCs w:val="28"/>
          <w:rtl/>
        </w:rPr>
        <w:t>,</w:t>
      </w:r>
      <w:r>
        <w:rPr>
          <w:rFonts w:cs="David" w:hint="cs"/>
          <w:sz w:val="28"/>
          <w:szCs w:val="28"/>
          <w:rtl/>
        </w:rPr>
        <w:t xml:space="preserve"> העיקריים </w:t>
      </w:r>
      <w:r w:rsidR="005B18E1">
        <w:rPr>
          <w:rFonts w:cs="David" w:hint="cs"/>
          <w:sz w:val="28"/>
          <w:szCs w:val="28"/>
          <w:rtl/>
        </w:rPr>
        <w:t>ע</w:t>
      </w:r>
      <w:r>
        <w:rPr>
          <w:rFonts w:cs="David" w:hint="cs"/>
          <w:sz w:val="28"/>
          <w:szCs w:val="28"/>
          <w:rtl/>
        </w:rPr>
        <w:t>ל</w:t>
      </w:r>
      <w:r w:rsidR="005B18E1">
        <w:rPr>
          <w:rFonts w:cs="David" w:hint="cs"/>
          <w:sz w:val="28"/>
          <w:szCs w:val="28"/>
          <w:rtl/>
        </w:rPr>
        <w:t xml:space="preserve"> </w:t>
      </w:r>
      <w:r>
        <w:rPr>
          <w:rFonts w:cs="David" w:hint="cs"/>
          <w:sz w:val="28"/>
          <w:szCs w:val="28"/>
          <w:rtl/>
        </w:rPr>
        <w:t xml:space="preserve">תופעת השיח הגזעני והמסית במרשתת וברשתות החברתיות, עסקה העבודה בשאלה המרכזית: כיצד </w:t>
      </w:r>
      <w:r w:rsidR="005B18E1">
        <w:rPr>
          <w:rFonts w:cs="David" w:hint="cs"/>
          <w:sz w:val="28"/>
          <w:szCs w:val="28"/>
          <w:rtl/>
        </w:rPr>
        <w:t>משפיעים ה</w:t>
      </w:r>
      <w:r>
        <w:rPr>
          <w:rFonts w:cs="David" w:hint="cs"/>
          <w:sz w:val="28"/>
          <w:szCs w:val="28"/>
          <w:rtl/>
        </w:rPr>
        <w:t xml:space="preserve">גורמים </w:t>
      </w:r>
      <w:r w:rsidR="005B18E1">
        <w:rPr>
          <w:rFonts w:cs="David" w:hint="cs"/>
          <w:sz w:val="28"/>
          <w:szCs w:val="28"/>
          <w:rtl/>
        </w:rPr>
        <w:t>ה</w:t>
      </w:r>
      <w:r w:rsidR="00257FE6">
        <w:rPr>
          <w:rFonts w:cs="David" w:hint="cs"/>
          <w:sz w:val="28"/>
          <w:szCs w:val="28"/>
          <w:rtl/>
        </w:rPr>
        <w:t>ללו</w:t>
      </w:r>
      <w:r w:rsidR="005B18E1">
        <w:rPr>
          <w:rFonts w:cs="David" w:hint="cs"/>
          <w:sz w:val="28"/>
          <w:szCs w:val="28"/>
          <w:rtl/>
        </w:rPr>
        <w:t xml:space="preserve"> על </w:t>
      </w:r>
      <w:r>
        <w:rPr>
          <w:rFonts w:cs="David" w:hint="cs"/>
          <w:sz w:val="28"/>
          <w:szCs w:val="28"/>
          <w:rtl/>
        </w:rPr>
        <w:t>עיצוב מדיניות האכיפה ומימושה אל מול התופעה האמורה.</w:t>
      </w:r>
    </w:p>
    <w:p w:rsidR="003F6A67" w:rsidRPr="00AB4CB2" w:rsidRDefault="003F6A67" w:rsidP="003F6A67">
      <w:pPr>
        <w:spacing w:line="360" w:lineRule="auto"/>
        <w:jc w:val="both"/>
        <w:rPr>
          <w:rFonts w:cs="David"/>
          <w:sz w:val="28"/>
          <w:szCs w:val="28"/>
          <w:rtl/>
        </w:rPr>
      </w:pPr>
      <w:r>
        <w:rPr>
          <w:rFonts w:cs="David" w:hint="cs"/>
          <w:sz w:val="28"/>
          <w:szCs w:val="28"/>
          <w:rtl/>
        </w:rPr>
        <w:t xml:space="preserve">בחינה </w:t>
      </w:r>
      <w:r w:rsidRPr="004C151E">
        <w:rPr>
          <w:rFonts w:cs="David" w:hint="cs"/>
          <w:sz w:val="28"/>
          <w:szCs w:val="28"/>
          <w:rtl/>
        </w:rPr>
        <w:t>זו העלתה</w:t>
      </w:r>
      <w:r w:rsidR="00257FE6">
        <w:rPr>
          <w:rFonts w:cs="David" w:hint="cs"/>
          <w:sz w:val="28"/>
          <w:szCs w:val="28"/>
          <w:rtl/>
        </w:rPr>
        <w:t>,</w:t>
      </w:r>
      <w:r w:rsidRPr="002A6B5B">
        <w:rPr>
          <w:rFonts w:cs="David" w:hint="cs"/>
          <w:b/>
          <w:bCs/>
          <w:sz w:val="28"/>
          <w:szCs w:val="28"/>
          <w:rtl/>
        </w:rPr>
        <w:t xml:space="preserve"> </w:t>
      </w:r>
      <w:r>
        <w:rPr>
          <w:rFonts w:cs="David" w:hint="cs"/>
          <w:b/>
          <w:bCs/>
          <w:sz w:val="28"/>
          <w:szCs w:val="28"/>
          <w:rtl/>
        </w:rPr>
        <w:t xml:space="preserve">כי בכל הנוגע לעבירות ביטוי והסתה המכרסמות בחופש הביטוי, </w:t>
      </w:r>
      <w:r w:rsidRPr="002A6B5B">
        <w:rPr>
          <w:rFonts w:cs="David" w:hint="cs"/>
          <w:b/>
          <w:bCs/>
          <w:sz w:val="28"/>
          <w:szCs w:val="28"/>
          <w:rtl/>
        </w:rPr>
        <w:t>מדיניות התביעה הכללית וגורמי האכיפה היא ככלל מדיניות מרוסנת ומצמצמת.</w:t>
      </w:r>
      <w:r>
        <w:rPr>
          <w:rFonts w:cs="David" w:hint="cs"/>
          <w:b/>
          <w:bCs/>
          <w:sz w:val="28"/>
          <w:szCs w:val="28"/>
          <w:rtl/>
        </w:rPr>
        <w:t xml:space="preserve"> </w:t>
      </w:r>
      <w:r w:rsidRPr="00AB4CB2">
        <w:rPr>
          <w:rFonts w:cs="David" w:hint="cs"/>
          <w:sz w:val="28"/>
          <w:szCs w:val="28"/>
          <w:rtl/>
        </w:rPr>
        <w:t>לפי מדיניות זו נדרש אישור מראש מהמשנה לפרקליט המדינה (תפקידים מיוחדים) לפתיחה בחקירה בכל מקרה של חשד לעבירת הסתה לגזענות ולאלימות וכן קיימת הנחיה כי סגירת תיק שכזה תובא לידיעתו ולאישורו של פרקליט המדינה או המשנה האמור. בנוסף, בעבירות ההסתה הנידונות ועל</w:t>
      </w:r>
      <w:r>
        <w:rPr>
          <w:rFonts w:cs="David" w:hint="cs"/>
          <w:sz w:val="28"/>
          <w:szCs w:val="28"/>
          <w:rtl/>
        </w:rPr>
        <w:t xml:space="preserve"> פי סעיף 144ה לחוק העונשין, </w:t>
      </w:r>
      <w:r w:rsidRPr="00AB4CB2">
        <w:rPr>
          <w:rFonts w:cs="David" w:hint="cs"/>
          <w:sz w:val="28"/>
          <w:szCs w:val="28"/>
          <w:rtl/>
        </w:rPr>
        <w:t>נדרש אישור היועץ המשפטי לממשלה להעמדה לדין.</w:t>
      </w:r>
    </w:p>
    <w:p w:rsidR="003F6A67" w:rsidRDefault="003F6A67" w:rsidP="003F6A67">
      <w:pPr>
        <w:spacing w:line="360" w:lineRule="auto"/>
        <w:jc w:val="both"/>
        <w:rPr>
          <w:rFonts w:cs="David"/>
          <w:sz w:val="28"/>
          <w:szCs w:val="28"/>
          <w:rtl/>
        </w:rPr>
      </w:pPr>
      <w:r>
        <w:rPr>
          <w:rFonts w:cs="David" w:hint="cs"/>
          <w:sz w:val="28"/>
          <w:szCs w:val="28"/>
          <w:rtl/>
        </w:rPr>
        <w:t>סקירת ההתפתחות ההיסטורית בגישתן של התביעה הכללית ורשויות האכיפה העלתה</w:t>
      </w:r>
      <w:r w:rsidR="00073D5D">
        <w:rPr>
          <w:rFonts w:cs="David" w:hint="cs"/>
          <w:sz w:val="28"/>
          <w:szCs w:val="28"/>
          <w:rtl/>
        </w:rPr>
        <w:t>,</w:t>
      </w:r>
      <w:r>
        <w:rPr>
          <w:rFonts w:cs="David" w:hint="cs"/>
          <w:sz w:val="28"/>
          <w:szCs w:val="28"/>
          <w:rtl/>
        </w:rPr>
        <w:t xml:space="preserve"> כי בכל הנוגע לעבירות הסתה לגזענות ולאלימות חלו שתי נקודות מפנה </w:t>
      </w:r>
      <w:r>
        <w:rPr>
          <w:rFonts w:cs="David" w:hint="cs"/>
          <w:sz w:val="28"/>
          <w:szCs w:val="28"/>
          <w:rtl/>
        </w:rPr>
        <w:lastRenderedPageBreak/>
        <w:t xml:space="preserve">עיקריות. האחת, לאחר רצח יצחק רבין ז"ל, </w:t>
      </w:r>
      <w:r w:rsidR="00073D5D">
        <w:rPr>
          <w:rFonts w:cs="David" w:hint="cs"/>
          <w:sz w:val="28"/>
          <w:szCs w:val="28"/>
          <w:rtl/>
        </w:rPr>
        <w:t>ש</w:t>
      </w:r>
      <w:r>
        <w:rPr>
          <w:rFonts w:cs="David" w:hint="cs"/>
          <w:sz w:val="28"/>
          <w:szCs w:val="28"/>
          <w:rtl/>
        </w:rPr>
        <w:t>אז הגישו כתבי אישום רבים כנגד גורמים שהשמיעו התבטאויות מסיתות. השנייה, לאחר אירועי חטיפת שלושת הנערים, מבצע 'צוק איתן' ורצח הנער מחמד אבו ח'דיר במחצית שנת 2014, אשר הגדילו דרמטית את היקף השיח הגזע</w:t>
      </w:r>
      <w:r w:rsidR="00073D5D">
        <w:rPr>
          <w:rFonts w:cs="David" w:hint="cs"/>
          <w:sz w:val="28"/>
          <w:szCs w:val="28"/>
          <w:rtl/>
        </w:rPr>
        <w:t>ני וההסתה ברשתות החברתיות והביאו</w:t>
      </w:r>
      <w:r>
        <w:rPr>
          <w:rFonts w:cs="David" w:hint="cs"/>
          <w:sz w:val="28"/>
          <w:szCs w:val="28"/>
          <w:rtl/>
        </w:rPr>
        <w:t xml:space="preserve"> את התביעה לתובנה כי עליה לשנות את גישתה באשר לעבירות ביטוי, בדגש על אלו המתקיימות במרשתת וברשתות החברתיות. למרות זאת, שינוי תפיסתי זה ארך זמן, כך שניתן להצביע על שינוי בפועל רק מאוקטובר 2015, עת החל גל הטרור הפלסטיני, שחלק לא מבוטל ממנו יצא לפועל בעקבות הסתה לאלימות ולטרור ברשתות החברתיות.</w:t>
      </w:r>
    </w:p>
    <w:p w:rsidR="00504CA8" w:rsidRPr="00073D5D" w:rsidRDefault="003F6A67" w:rsidP="00504CA8">
      <w:pPr>
        <w:spacing w:line="360" w:lineRule="auto"/>
        <w:jc w:val="both"/>
        <w:rPr>
          <w:rFonts w:cs="David"/>
          <w:sz w:val="28"/>
          <w:szCs w:val="28"/>
          <w:rtl/>
        </w:rPr>
      </w:pPr>
      <w:r>
        <w:rPr>
          <w:rFonts w:cs="David" w:hint="cs"/>
          <w:sz w:val="28"/>
          <w:szCs w:val="28"/>
          <w:rtl/>
        </w:rPr>
        <w:t>במטרה להתמודד עם השינוי במציאות נקבעו בפרקליטות המדינה תבחינים לפתיחה בחקירות ו</w:t>
      </w:r>
      <w:r w:rsidR="00073D5D">
        <w:rPr>
          <w:rFonts w:cs="David" w:hint="cs"/>
          <w:sz w:val="28"/>
          <w:szCs w:val="28"/>
          <w:rtl/>
        </w:rPr>
        <w:t>ל</w:t>
      </w:r>
      <w:r>
        <w:rPr>
          <w:rFonts w:cs="David" w:hint="cs"/>
          <w:sz w:val="28"/>
          <w:szCs w:val="28"/>
          <w:rtl/>
        </w:rPr>
        <w:t xml:space="preserve">הגשת כתבי אישום באשר לביטויים מסיתים במרשתת וברשתות החברתיות. </w:t>
      </w:r>
      <w:r w:rsidRPr="00073D5D">
        <w:rPr>
          <w:rFonts w:cs="David" w:hint="cs"/>
          <w:sz w:val="28"/>
          <w:szCs w:val="28"/>
          <w:rtl/>
        </w:rPr>
        <w:t>למרות השינוי במדיניות הפרקליטות</w:t>
      </w:r>
      <w:r w:rsidR="00504CA8">
        <w:rPr>
          <w:rFonts w:cs="David" w:hint="cs"/>
          <w:sz w:val="28"/>
          <w:szCs w:val="28"/>
          <w:rtl/>
        </w:rPr>
        <w:t xml:space="preserve">, ובעקבותיה גם במדיניות משטרת ישראל, כזרוע הביצועית למימוש האכיפה, </w:t>
      </w:r>
      <w:r w:rsidR="00504CA8" w:rsidRPr="00504CA8">
        <w:rPr>
          <w:rFonts w:cs="David" w:hint="cs"/>
          <w:b/>
          <w:bCs/>
          <w:sz w:val="28"/>
          <w:szCs w:val="28"/>
          <w:rtl/>
        </w:rPr>
        <w:t>גדלו</w:t>
      </w:r>
      <w:r w:rsidR="00504CA8">
        <w:rPr>
          <w:rFonts w:cs="David" w:hint="cs"/>
          <w:sz w:val="28"/>
          <w:szCs w:val="28"/>
          <w:rtl/>
        </w:rPr>
        <w:t xml:space="preserve"> </w:t>
      </w:r>
      <w:r w:rsidR="00504CA8" w:rsidRPr="00073D5D">
        <w:rPr>
          <w:rFonts w:cs="David" w:hint="cs"/>
          <w:sz w:val="28"/>
          <w:szCs w:val="28"/>
          <w:rtl/>
        </w:rPr>
        <w:t>מספר החקירות, המעצרים וכתבי אישום בגין הסתה לגזענות ולאלימות במרשתת וברשתות החברתיות, הן במגזר היהודי והן במגזר הערבי</w:t>
      </w:r>
      <w:r w:rsidR="00504CA8" w:rsidRPr="00A25260">
        <w:rPr>
          <w:rFonts w:cs="David" w:hint="cs"/>
          <w:b/>
          <w:bCs/>
          <w:sz w:val="28"/>
          <w:szCs w:val="28"/>
          <w:rtl/>
        </w:rPr>
        <w:t xml:space="preserve">, </w:t>
      </w:r>
      <w:r w:rsidR="00504CA8">
        <w:rPr>
          <w:rFonts w:cs="David" w:hint="cs"/>
          <w:b/>
          <w:bCs/>
          <w:sz w:val="28"/>
          <w:szCs w:val="28"/>
          <w:rtl/>
        </w:rPr>
        <w:t xml:space="preserve">אך </w:t>
      </w:r>
      <w:r w:rsidR="00504CA8" w:rsidRPr="00A25260">
        <w:rPr>
          <w:rFonts w:cs="David" w:hint="cs"/>
          <w:b/>
          <w:bCs/>
          <w:sz w:val="28"/>
          <w:szCs w:val="28"/>
          <w:rtl/>
        </w:rPr>
        <w:t>עדיין מדובר במספר קטן ו'טיפה בים' אל מול היקף ועוצמת התופעה</w:t>
      </w:r>
      <w:r w:rsidR="00504CA8">
        <w:rPr>
          <w:rFonts w:cs="David" w:hint="cs"/>
          <w:b/>
          <w:bCs/>
          <w:sz w:val="28"/>
          <w:szCs w:val="28"/>
          <w:rtl/>
        </w:rPr>
        <w:t>.</w:t>
      </w:r>
      <w:r w:rsidR="00504CA8" w:rsidRPr="00073D5D">
        <w:rPr>
          <w:rFonts w:cs="David" w:hint="cs"/>
          <w:sz w:val="28"/>
          <w:szCs w:val="28"/>
          <w:rtl/>
        </w:rPr>
        <w:t xml:space="preserve"> זאת</w:t>
      </w:r>
      <w:r w:rsidR="00504CA8">
        <w:rPr>
          <w:rFonts w:cs="David" w:hint="cs"/>
          <w:sz w:val="28"/>
          <w:szCs w:val="28"/>
          <w:rtl/>
        </w:rPr>
        <w:t>,</w:t>
      </w:r>
      <w:r w:rsidR="00504CA8" w:rsidRPr="00073D5D">
        <w:rPr>
          <w:rFonts w:cs="David" w:hint="cs"/>
          <w:sz w:val="28"/>
          <w:szCs w:val="28"/>
          <w:rtl/>
        </w:rPr>
        <w:t xml:space="preserve"> בשל הזהירות הרבה שמחייבת איזון בין האכיפה ובין זכות חופש הביטוי בעבירות מסוג זה. </w:t>
      </w:r>
    </w:p>
    <w:p w:rsidR="003F6A67" w:rsidRPr="0030736E" w:rsidRDefault="003F6A67" w:rsidP="0010193D">
      <w:pPr>
        <w:spacing w:line="360" w:lineRule="auto"/>
        <w:jc w:val="both"/>
        <w:rPr>
          <w:rFonts w:cs="David"/>
          <w:b/>
          <w:bCs/>
          <w:sz w:val="28"/>
          <w:szCs w:val="28"/>
          <w:rtl/>
        </w:rPr>
      </w:pPr>
      <w:r>
        <w:rPr>
          <w:rFonts w:cs="David" w:hint="cs"/>
          <w:sz w:val="28"/>
          <w:szCs w:val="28"/>
          <w:rtl/>
        </w:rPr>
        <w:t>ראוי להוסיף, כי לאור חולשתו של האפיק הפלילי 'הקלאסי' אל מול תופעת ההסתה ברשתות החברתיות וקשיי האכיפה האפקטיבית אל מול המציאות ברשת לצד הסכנה הממשית לאינטרסים ולערכים המוגנים בעבירות ההסתה, אשר מתעצמים בשל המאפיינים הייחודיים של המרשתת (הזמינות, המהירות, הנגישות, האפשרות לאנונימיות, התפוצה הרחבה והגלובלית</w:t>
      </w:r>
      <w:r>
        <w:rPr>
          <w:rFonts w:cs="David"/>
          <w:sz w:val="28"/>
          <w:szCs w:val="28"/>
        </w:rPr>
        <w:t>(</w:t>
      </w:r>
      <w:r>
        <w:rPr>
          <w:rFonts w:cs="David" w:hint="cs"/>
          <w:sz w:val="28"/>
          <w:szCs w:val="28"/>
          <w:rtl/>
        </w:rPr>
        <w:t xml:space="preserve">, </w:t>
      </w:r>
      <w:r w:rsidRPr="006C7411">
        <w:rPr>
          <w:rFonts w:cs="David" w:hint="cs"/>
          <w:sz w:val="28"/>
          <w:szCs w:val="28"/>
          <w:rtl/>
        </w:rPr>
        <w:t xml:space="preserve">פותח בפרקליטות המדינה כלי אכיפה נוסף ולא שגרתי, המאפשר </w:t>
      </w:r>
      <w:r w:rsidRPr="00840A50">
        <w:rPr>
          <w:rFonts w:cs="David" w:hint="cs"/>
          <w:b/>
          <w:bCs/>
          <w:sz w:val="28"/>
          <w:szCs w:val="28"/>
          <w:rtl/>
        </w:rPr>
        <w:t>ערוץ ישיר אל מול בעלי האתרים וספקיות המרשתת</w:t>
      </w:r>
      <w:r w:rsidRPr="006C7411">
        <w:rPr>
          <w:rFonts w:cs="David" w:hint="cs"/>
          <w:sz w:val="28"/>
          <w:szCs w:val="28"/>
          <w:rtl/>
        </w:rPr>
        <w:t xml:space="preserve"> ומביא להסרת תכנים מסיתים מהרשתות החברתיות.</w:t>
      </w:r>
    </w:p>
    <w:p w:rsidR="003F6A67" w:rsidRDefault="003F6A67" w:rsidP="0010193D">
      <w:pPr>
        <w:spacing w:line="360" w:lineRule="auto"/>
        <w:jc w:val="both"/>
        <w:rPr>
          <w:rFonts w:cs="David"/>
          <w:sz w:val="28"/>
          <w:szCs w:val="28"/>
          <w:rtl/>
        </w:rPr>
      </w:pPr>
      <w:r>
        <w:rPr>
          <w:rFonts w:cs="David" w:hint="cs"/>
          <w:sz w:val="28"/>
          <w:szCs w:val="28"/>
          <w:rtl/>
        </w:rPr>
        <w:t>כלי זה המכונה 'אכיפה אלטרנטיבית', שהינו כלי אכיפה חלופי ולא משלי</w:t>
      </w:r>
      <w:r w:rsidR="0010193D">
        <w:rPr>
          <w:rFonts w:cs="David" w:hint="cs"/>
          <w:sz w:val="28"/>
          <w:szCs w:val="28"/>
          <w:rtl/>
        </w:rPr>
        <w:t>ם</w:t>
      </w:r>
      <w:r>
        <w:rPr>
          <w:rFonts w:cs="David" w:hint="cs"/>
          <w:sz w:val="28"/>
          <w:szCs w:val="28"/>
          <w:rtl/>
        </w:rPr>
        <w:t>, נשען על שילוב</w:t>
      </w:r>
      <w:r w:rsidR="0010193D">
        <w:rPr>
          <w:rFonts w:cs="David" w:hint="cs"/>
          <w:sz w:val="28"/>
          <w:szCs w:val="28"/>
          <w:rtl/>
        </w:rPr>
        <w:t>ם</w:t>
      </w:r>
      <w:r>
        <w:rPr>
          <w:rFonts w:cs="David" w:hint="cs"/>
          <w:sz w:val="28"/>
          <w:szCs w:val="28"/>
          <w:rtl/>
        </w:rPr>
        <w:t xml:space="preserve"> של מספר גורמים: פיתוח יכולות טכנולוגיות המאפשרות לבעלי האתרים וספקיות המרשתת לנטר ולהפעיל תוכנות סינון; אינטרסים כלכליים של בעלי האתרים וחששם מתביעות מצד אלו שנפגעו מביטויים פוגעניים, כולל הסתה; מדיניות פנימית של בעלי האתרים והספקיות שבחלקה הגדול תואמת את האיסורים שבחוק הפלילי הישראלי בכל הנוגע להתבטאויות אסורות והעדר כפיפות לחוק הקיים בישראל. </w:t>
      </w:r>
    </w:p>
    <w:p w:rsidR="003F6A67" w:rsidRDefault="003F6A67" w:rsidP="003F6A67">
      <w:pPr>
        <w:spacing w:line="360" w:lineRule="auto"/>
        <w:jc w:val="both"/>
        <w:rPr>
          <w:rFonts w:cs="David"/>
          <w:sz w:val="28"/>
          <w:szCs w:val="28"/>
          <w:rtl/>
        </w:rPr>
      </w:pPr>
      <w:r w:rsidRPr="000407D5">
        <w:rPr>
          <w:rFonts w:cs="David" w:hint="cs"/>
          <w:sz w:val="28"/>
          <w:szCs w:val="28"/>
          <w:rtl/>
        </w:rPr>
        <w:lastRenderedPageBreak/>
        <w:t>ברם, כלי זה, שנמצא ככלי אפקטיבי אל מול פרסומים המסיתים לאלימות ולטרור מצד ערבים כנגד יהודים,</w:t>
      </w:r>
      <w:r w:rsidRPr="0030736E">
        <w:rPr>
          <w:rFonts w:cs="David" w:hint="cs"/>
          <w:b/>
          <w:bCs/>
          <w:sz w:val="28"/>
          <w:szCs w:val="28"/>
          <w:rtl/>
        </w:rPr>
        <w:t xml:space="preserve"> נתקל בקשיים למימוש אל מול פרסומי יהודים המתבטאים בגזענות והמסיתים לאלימות</w:t>
      </w:r>
      <w:r>
        <w:rPr>
          <w:rFonts w:cs="David" w:hint="cs"/>
          <w:sz w:val="28"/>
          <w:szCs w:val="28"/>
          <w:rtl/>
        </w:rPr>
        <w:t xml:space="preserve">. </w:t>
      </w:r>
    </w:p>
    <w:p w:rsidR="003F6A67" w:rsidRDefault="003F6A67" w:rsidP="00722F29">
      <w:pPr>
        <w:spacing w:line="360" w:lineRule="auto"/>
        <w:jc w:val="both"/>
        <w:rPr>
          <w:rFonts w:cs="David"/>
          <w:sz w:val="28"/>
          <w:szCs w:val="28"/>
          <w:rtl/>
        </w:rPr>
      </w:pPr>
      <w:r w:rsidRPr="00561802">
        <w:rPr>
          <w:rFonts w:cs="David" w:hint="cs"/>
          <w:b/>
          <w:bCs/>
          <w:sz w:val="28"/>
          <w:szCs w:val="28"/>
          <w:rtl/>
        </w:rPr>
        <w:t>בסיכום, ניתן לומר כי טענת העבודה הוכחה כנכונה.</w:t>
      </w:r>
      <w:r>
        <w:rPr>
          <w:rFonts w:cs="David" w:hint="cs"/>
          <w:sz w:val="28"/>
          <w:szCs w:val="28"/>
          <w:rtl/>
        </w:rPr>
        <w:t xml:space="preserve"> אכן, ישנו פער ברלוונטיות בין האופן בו השתנתה הזירה ברשתות החברתיות והעלי</w:t>
      </w:r>
      <w:r w:rsidR="000407D5">
        <w:rPr>
          <w:rFonts w:cs="David" w:hint="cs"/>
          <w:sz w:val="28"/>
          <w:szCs w:val="28"/>
          <w:rtl/>
        </w:rPr>
        <w:t>י</w:t>
      </w:r>
      <w:r>
        <w:rPr>
          <w:rFonts w:cs="David" w:hint="cs"/>
          <w:sz w:val="28"/>
          <w:szCs w:val="28"/>
          <w:rtl/>
        </w:rPr>
        <w:t>ה הדרמטית בהיקפו של השיח הגזעני והמסית</w:t>
      </w:r>
      <w:r w:rsidR="000407D5">
        <w:rPr>
          <w:rFonts w:cs="David" w:hint="cs"/>
          <w:sz w:val="28"/>
          <w:szCs w:val="28"/>
          <w:rtl/>
        </w:rPr>
        <w:t>,</w:t>
      </w:r>
      <w:r>
        <w:rPr>
          <w:rFonts w:cs="David" w:hint="cs"/>
          <w:sz w:val="28"/>
          <w:szCs w:val="28"/>
          <w:rtl/>
        </w:rPr>
        <w:t xml:space="preserve"> המתרחש בה</w:t>
      </w:r>
      <w:r w:rsidR="000407D5">
        <w:rPr>
          <w:rFonts w:cs="David" w:hint="cs"/>
          <w:sz w:val="28"/>
          <w:szCs w:val="28"/>
          <w:rtl/>
        </w:rPr>
        <w:t>,</w:t>
      </w:r>
      <w:r>
        <w:rPr>
          <w:rFonts w:cs="David" w:hint="cs"/>
          <w:sz w:val="28"/>
          <w:szCs w:val="28"/>
          <w:rtl/>
        </w:rPr>
        <w:t xml:space="preserve"> לבין התפיסה המשפטית ומדיניות האכיפה הנוהגת בישראל אל מול תופעה זו, אשר גובשה בעיקרה אל הסתות לגזענות ולאלימות שמומשו בעיקר בפורומים מצומצמים או באמצעות כלי התקשורת המסורתיים והוותיקים. </w:t>
      </w:r>
    </w:p>
    <w:p w:rsidR="003F6A67" w:rsidRDefault="003F6A67" w:rsidP="00F71E95">
      <w:pPr>
        <w:spacing w:line="360" w:lineRule="auto"/>
        <w:jc w:val="both"/>
        <w:rPr>
          <w:rFonts w:cs="David"/>
          <w:sz w:val="28"/>
          <w:szCs w:val="28"/>
          <w:rtl/>
        </w:rPr>
      </w:pPr>
      <w:r>
        <w:rPr>
          <w:rFonts w:cs="David" w:hint="cs"/>
          <w:sz w:val="28"/>
          <w:szCs w:val="28"/>
          <w:rtl/>
        </w:rPr>
        <w:t xml:space="preserve">ניתן לראות ניצנים של שינוי כיוון חיובי לעבר מתן מענה הולם יותר לתופעה, אך </w:t>
      </w:r>
      <w:r w:rsidRPr="00250580">
        <w:rPr>
          <w:rFonts w:cs="David" w:hint="cs"/>
          <w:b/>
          <w:bCs/>
          <w:sz w:val="28"/>
          <w:szCs w:val="28"/>
          <w:rtl/>
        </w:rPr>
        <w:t xml:space="preserve">לא ברור כלל כי קיימת אסטרטגיה מכוננת לטיפול הוליסטי של כלל המערכות במדינה </w:t>
      </w:r>
      <w:r w:rsidR="00F71E95" w:rsidRPr="00250580">
        <w:rPr>
          <w:rFonts w:cs="David" w:hint="cs"/>
          <w:b/>
          <w:bCs/>
          <w:sz w:val="28"/>
          <w:szCs w:val="28"/>
          <w:rtl/>
        </w:rPr>
        <w:t>ב</w:t>
      </w:r>
      <w:r w:rsidRPr="00250580">
        <w:rPr>
          <w:rFonts w:cs="David" w:hint="cs"/>
          <w:b/>
          <w:bCs/>
          <w:sz w:val="28"/>
          <w:szCs w:val="28"/>
          <w:rtl/>
        </w:rPr>
        <w:t>תופעה</w:t>
      </w:r>
      <w:r>
        <w:rPr>
          <w:rFonts w:cs="David" w:hint="cs"/>
          <w:sz w:val="28"/>
          <w:szCs w:val="28"/>
          <w:rtl/>
        </w:rPr>
        <w:t xml:space="preserve"> וניכר כי ישנן פעולות נוספות ומשמעותיות לביצוע, כדי לצמצם ואולי בטווח הארוך למגר את התופעה המכוערת הזו של גזענות והסתה ברשתות החברתיות בישראל.</w:t>
      </w:r>
    </w:p>
    <w:p w:rsidR="00250580" w:rsidRPr="00250580" w:rsidRDefault="00250580" w:rsidP="00930D5B">
      <w:pPr>
        <w:spacing w:line="360" w:lineRule="auto"/>
        <w:jc w:val="both"/>
        <w:rPr>
          <w:rFonts w:cs="David"/>
          <w:b/>
          <w:bCs/>
          <w:sz w:val="32"/>
          <w:szCs w:val="32"/>
          <w:rtl/>
        </w:rPr>
      </w:pPr>
      <w:r w:rsidRPr="00250580">
        <w:rPr>
          <w:rFonts w:cs="David" w:hint="cs"/>
          <w:b/>
          <w:bCs/>
          <w:sz w:val="32"/>
          <w:szCs w:val="32"/>
          <w:rtl/>
        </w:rPr>
        <w:t>המלצות</w:t>
      </w:r>
    </w:p>
    <w:p w:rsidR="003F6A67" w:rsidRDefault="00250580" w:rsidP="00930D5B">
      <w:pPr>
        <w:spacing w:line="360" w:lineRule="auto"/>
        <w:jc w:val="both"/>
        <w:rPr>
          <w:rFonts w:cs="David"/>
          <w:sz w:val="28"/>
          <w:szCs w:val="28"/>
          <w:rtl/>
        </w:rPr>
      </w:pPr>
      <w:r>
        <w:rPr>
          <w:rFonts w:cs="David" w:hint="cs"/>
          <w:sz w:val="28"/>
          <w:szCs w:val="28"/>
          <w:rtl/>
        </w:rPr>
        <w:t xml:space="preserve">לאור העולה מן המחקר </w:t>
      </w:r>
      <w:r w:rsidR="003F6A67" w:rsidRPr="00CC7380">
        <w:rPr>
          <w:rFonts w:cs="David" w:hint="cs"/>
          <w:sz w:val="28"/>
          <w:szCs w:val="28"/>
          <w:rtl/>
        </w:rPr>
        <w:t xml:space="preserve">להלן מספר המלצות אופרטיביות עיקריות </w:t>
      </w:r>
      <w:r w:rsidR="00455092" w:rsidRPr="00CC7380">
        <w:rPr>
          <w:rFonts w:cs="David" w:hint="cs"/>
          <w:sz w:val="28"/>
          <w:szCs w:val="28"/>
          <w:rtl/>
        </w:rPr>
        <w:t xml:space="preserve">כמענה לסוגיות ההסתה לגזענות ולאלימות כנגד ערבים, שהועלו בעבודה. </w:t>
      </w:r>
      <w:r w:rsidR="00D33EA0" w:rsidRPr="00CC7380">
        <w:rPr>
          <w:rFonts w:cs="David" w:hint="cs"/>
          <w:sz w:val="28"/>
          <w:szCs w:val="28"/>
          <w:rtl/>
        </w:rPr>
        <w:t xml:space="preserve">המלצות </w:t>
      </w:r>
      <w:r w:rsidR="00455092" w:rsidRPr="00CC7380">
        <w:rPr>
          <w:rFonts w:cs="David" w:hint="cs"/>
          <w:sz w:val="28"/>
          <w:szCs w:val="28"/>
          <w:rtl/>
        </w:rPr>
        <w:t>אלו עשויות להימצא כרלוונטיות לשם צמצום</w:t>
      </w:r>
      <w:r w:rsidR="00762088" w:rsidRPr="00CC7380">
        <w:rPr>
          <w:rFonts w:cs="David" w:hint="cs"/>
          <w:sz w:val="28"/>
          <w:szCs w:val="28"/>
          <w:rtl/>
        </w:rPr>
        <w:t>,</w:t>
      </w:r>
      <w:r w:rsidR="00455092" w:rsidRPr="00CC7380">
        <w:rPr>
          <w:rFonts w:cs="David" w:hint="cs"/>
          <w:sz w:val="28"/>
          <w:szCs w:val="28"/>
          <w:rtl/>
        </w:rPr>
        <w:t xml:space="preserve"> ואולי אף מניעה</w:t>
      </w:r>
      <w:r w:rsidR="00762088" w:rsidRPr="00CC7380">
        <w:rPr>
          <w:rFonts w:cs="David" w:hint="cs"/>
          <w:sz w:val="28"/>
          <w:szCs w:val="28"/>
          <w:rtl/>
        </w:rPr>
        <w:t>,</w:t>
      </w:r>
      <w:r w:rsidR="00455092" w:rsidRPr="00CC7380">
        <w:rPr>
          <w:rFonts w:cs="David" w:hint="cs"/>
          <w:sz w:val="28"/>
          <w:szCs w:val="28"/>
          <w:rtl/>
        </w:rPr>
        <w:t xml:space="preserve"> של שיח פוגעני ומסית ברשתות החברתיות כנגד קבוצות פוטנציאליות נוספות בחברה הישראלית</w:t>
      </w:r>
      <w:r w:rsidR="003F6A67" w:rsidRPr="001B5847">
        <w:rPr>
          <w:rFonts w:cs="David" w:hint="cs"/>
          <w:sz w:val="28"/>
          <w:szCs w:val="28"/>
          <w:rtl/>
        </w:rPr>
        <w:t>:</w:t>
      </w:r>
      <w:r w:rsidR="00930D5B">
        <w:rPr>
          <w:rStyle w:val="a5"/>
          <w:rFonts w:cs="David"/>
          <w:sz w:val="28"/>
          <w:szCs w:val="28"/>
          <w:rtl/>
        </w:rPr>
        <w:footnoteReference w:id="253"/>
      </w:r>
    </w:p>
    <w:p w:rsidR="003F6A67" w:rsidRDefault="00F71E95" w:rsidP="00F71E95">
      <w:pPr>
        <w:pStyle w:val="a6"/>
        <w:numPr>
          <w:ilvl w:val="0"/>
          <w:numId w:val="17"/>
        </w:numPr>
        <w:spacing w:line="360" w:lineRule="auto"/>
        <w:jc w:val="both"/>
        <w:rPr>
          <w:rFonts w:cs="David"/>
          <w:sz w:val="28"/>
          <w:szCs w:val="28"/>
        </w:rPr>
      </w:pPr>
      <w:r>
        <w:rPr>
          <w:rFonts w:cs="David" w:hint="cs"/>
          <w:sz w:val="28"/>
          <w:szCs w:val="28"/>
          <w:rtl/>
        </w:rPr>
        <w:t>התמקדות בחינוך.</w:t>
      </w:r>
      <w:r w:rsidR="003F6A67">
        <w:rPr>
          <w:rFonts w:cs="David" w:hint="cs"/>
          <w:sz w:val="28"/>
          <w:szCs w:val="28"/>
          <w:rtl/>
        </w:rPr>
        <w:t xml:space="preserve"> יש להציב (מחדש) את הטיפול בבעיית הגזענות והקיצוניות של תלמידי ישראל כאחת הבעיות שבראש סדר היום של כלל המערכת החינוכית בישראל.</w:t>
      </w:r>
      <w:r w:rsidR="003F6A67">
        <w:rPr>
          <w:rStyle w:val="a5"/>
          <w:rFonts w:cs="David"/>
          <w:sz w:val="28"/>
          <w:szCs w:val="28"/>
          <w:rtl/>
        </w:rPr>
        <w:footnoteReference w:id="254"/>
      </w:r>
      <w:r w:rsidR="003F6A67">
        <w:rPr>
          <w:rFonts w:cs="David" w:hint="cs"/>
          <w:sz w:val="28"/>
          <w:szCs w:val="28"/>
          <w:rtl/>
        </w:rPr>
        <w:t xml:space="preserve"> ישנם מספר קווי פתרון שיש לשקול ושעמם יש להתמודד במטרה לשנות את המציאות אליה נקלעו הציבור ומערכת החינוך, ולהלן רק חלקם:</w:t>
      </w:r>
      <w:r w:rsidR="003F6A67">
        <w:rPr>
          <w:rStyle w:val="a5"/>
          <w:rFonts w:cs="David"/>
          <w:sz w:val="28"/>
          <w:szCs w:val="28"/>
          <w:rtl/>
        </w:rPr>
        <w:footnoteReference w:id="255"/>
      </w:r>
    </w:p>
    <w:p w:rsidR="003F6A67" w:rsidRDefault="003F6A67" w:rsidP="003F6A67">
      <w:pPr>
        <w:pStyle w:val="a6"/>
        <w:numPr>
          <w:ilvl w:val="1"/>
          <w:numId w:val="17"/>
        </w:numPr>
        <w:spacing w:line="360" w:lineRule="auto"/>
        <w:jc w:val="both"/>
        <w:rPr>
          <w:rFonts w:cs="David"/>
          <w:sz w:val="28"/>
          <w:szCs w:val="28"/>
        </w:rPr>
      </w:pPr>
      <w:r>
        <w:rPr>
          <w:rFonts w:cs="David" w:hint="cs"/>
          <w:sz w:val="28"/>
          <w:szCs w:val="28"/>
          <w:rtl/>
        </w:rPr>
        <w:t xml:space="preserve">חיזוק החינוך לערכים דמוקרטיים באמצעות שילוב של השיח הדמוקרטי בכל מקצועות הלימוד ולאו דווקא ב'מקצוע האזרחות'. </w:t>
      </w:r>
      <w:r>
        <w:rPr>
          <w:rFonts w:cs="David" w:hint="cs"/>
          <w:sz w:val="28"/>
          <w:szCs w:val="28"/>
          <w:rtl/>
        </w:rPr>
        <w:lastRenderedPageBreak/>
        <w:t>מדובר במאמץ מערכתי שיביא לידי עיסוק בסוגיות של ערכים דמוקרטיים בכלל המקצועות הנלמדים.</w:t>
      </w:r>
    </w:p>
    <w:p w:rsidR="003F6A67" w:rsidRDefault="003F6A67" w:rsidP="003F6A67">
      <w:pPr>
        <w:pStyle w:val="a6"/>
        <w:numPr>
          <w:ilvl w:val="1"/>
          <w:numId w:val="17"/>
        </w:numPr>
        <w:spacing w:line="360" w:lineRule="auto"/>
        <w:jc w:val="both"/>
        <w:rPr>
          <w:rFonts w:cs="David"/>
          <w:sz w:val="28"/>
          <w:szCs w:val="28"/>
        </w:rPr>
      </w:pPr>
      <w:r>
        <w:rPr>
          <w:rFonts w:cs="David" w:hint="cs"/>
          <w:sz w:val="28"/>
          <w:szCs w:val="28"/>
          <w:rtl/>
        </w:rPr>
        <w:t xml:space="preserve">חינוך לאזרחות ולדמוקרטיה מגיל צעיר ככל האפשר. יש </w:t>
      </w:r>
      <w:r w:rsidR="00F71E95">
        <w:rPr>
          <w:rFonts w:cs="David" w:hint="cs"/>
          <w:sz w:val="28"/>
          <w:szCs w:val="28"/>
          <w:rtl/>
        </w:rPr>
        <w:t>ל</w:t>
      </w:r>
      <w:r>
        <w:rPr>
          <w:rFonts w:cs="David" w:hint="cs"/>
          <w:sz w:val="28"/>
          <w:szCs w:val="28"/>
          <w:rtl/>
        </w:rPr>
        <w:t>מקד מאמץ חינוכי בהדגשת המשותף, ההרמוני והמפרה הדדית בין יהדות המדינה ובין אופייה הדמוקרטי.</w:t>
      </w:r>
    </w:p>
    <w:p w:rsidR="003F6A67" w:rsidRPr="00203518" w:rsidRDefault="003F6A67" w:rsidP="003F6A67">
      <w:pPr>
        <w:pStyle w:val="a6"/>
        <w:numPr>
          <w:ilvl w:val="1"/>
          <w:numId w:val="17"/>
        </w:numPr>
        <w:spacing w:line="360" w:lineRule="auto"/>
        <w:jc w:val="both"/>
        <w:rPr>
          <w:rFonts w:cs="David"/>
          <w:sz w:val="28"/>
          <w:szCs w:val="28"/>
        </w:rPr>
      </w:pPr>
      <w:r w:rsidRPr="00B04E49">
        <w:rPr>
          <w:rFonts w:cs="David" w:hint="cs"/>
          <w:sz w:val="28"/>
          <w:szCs w:val="28"/>
          <w:rtl/>
        </w:rPr>
        <w:t>התווית מדיניות באשר לקיום מפגשים משמעותיים של עשייה משותפת ב</w:t>
      </w:r>
      <w:r w:rsidRPr="00203518">
        <w:rPr>
          <w:rFonts w:cs="David" w:hint="cs"/>
          <w:sz w:val="28"/>
          <w:szCs w:val="28"/>
          <w:rtl/>
        </w:rPr>
        <w:t>ין קבוצות בחברה ככלי להפחתה של בורות, דעות קדומות, פחד ואיבה. הדרכים שיש לבחון לשם כך הן הכרת התרבות והשפה של 'האחר' ושילוב מורים מאוכלוסיות אחרות.</w:t>
      </w:r>
    </w:p>
    <w:p w:rsidR="003F6A67" w:rsidRPr="00203518" w:rsidRDefault="003F6A67" w:rsidP="003F6A67">
      <w:pPr>
        <w:pStyle w:val="a6"/>
        <w:numPr>
          <w:ilvl w:val="1"/>
          <w:numId w:val="17"/>
        </w:numPr>
        <w:spacing w:line="360" w:lineRule="auto"/>
        <w:jc w:val="both"/>
        <w:rPr>
          <w:rFonts w:cs="David"/>
          <w:sz w:val="28"/>
          <w:szCs w:val="28"/>
        </w:rPr>
      </w:pPr>
      <w:r w:rsidRPr="00203518">
        <w:rPr>
          <w:rFonts w:cs="David" w:hint="cs"/>
          <w:sz w:val="28"/>
          <w:szCs w:val="28"/>
          <w:rtl/>
        </w:rPr>
        <w:t xml:space="preserve">פיתוח תכניות הכשרה פדגוגיות </w:t>
      </w:r>
      <w:r w:rsidRPr="00203518">
        <w:rPr>
          <w:rFonts w:cs="David"/>
          <w:sz w:val="28"/>
          <w:szCs w:val="28"/>
          <w:rtl/>
        </w:rPr>
        <w:t>–</w:t>
      </w:r>
      <w:r w:rsidRPr="00203518">
        <w:rPr>
          <w:rFonts w:cs="David" w:hint="cs"/>
          <w:sz w:val="28"/>
          <w:szCs w:val="28"/>
          <w:rtl/>
        </w:rPr>
        <w:t xml:space="preserve"> השתלמויות מורים שיתמקדו בהתמודדות עם תופעת הקיצוניות והגזענות ובהתמודדות עם התנגדויות "בשדה מוקשים".</w:t>
      </w:r>
    </w:p>
    <w:p w:rsidR="003F6A67" w:rsidRPr="00203518" w:rsidRDefault="00F71E95" w:rsidP="003F6A67">
      <w:pPr>
        <w:pStyle w:val="a6"/>
        <w:numPr>
          <w:ilvl w:val="0"/>
          <w:numId w:val="17"/>
        </w:numPr>
        <w:spacing w:line="360" w:lineRule="auto"/>
        <w:jc w:val="both"/>
        <w:rPr>
          <w:rFonts w:cs="David"/>
          <w:sz w:val="28"/>
          <w:szCs w:val="28"/>
        </w:rPr>
      </w:pPr>
      <w:r>
        <w:rPr>
          <w:rFonts w:cs="David" w:hint="cs"/>
          <w:sz w:val="28"/>
          <w:szCs w:val="28"/>
          <w:rtl/>
        </w:rPr>
        <w:t>הסברה</w:t>
      </w:r>
      <w:r w:rsidR="003F6A67" w:rsidRPr="00203518">
        <w:rPr>
          <w:rFonts w:cs="David" w:hint="cs"/>
          <w:sz w:val="28"/>
          <w:szCs w:val="28"/>
          <w:rtl/>
        </w:rPr>
        <w:t>. קיימת טענה כי רבים מהמשתמשים המתבטאים בגסות ובשיח מתלהם ומסית כנגד ערבים, אינם סבורים כי יש בכך הפרה של החוק. לכן:</w:t>
      </w:r>
    </w:p>
    <w:p w:rsidR="003F6A67" w:rsidRPr="00203518" w:rsidRDefault="003F6A67" w:rsidP="003F6A67">
      <w:pPr>
        <w:pStyle w:val="a6"/>
        <w:numPr>
          <w:ilvl w:val="1"/>
          <w:numId w:val="17"/>
        </w:numPr>
        <w:spacing w:line="360" w:lineRule="auto"/>
        <w:jc w:val="both"/>
        <w:rPr>
          <w:rFonts w:cs="David"/>
          <w:sz w:val="28"/>
          <w:szCs w:val="28"/>
        </w:rPr>
      </w:pPr>
      <w:r w:rsidRPr="00203518">
        <w:rPr>
          <w:rFonts w:cs="David" w:hint="cs"/>
          <w:sz w:val="28"/>
          <w:szCs w:val="28"/>
          <w:rtl/>
        </w:rPr>
        <w:t>העברת חלק מהפעילות כנגד הגזענות וההסתה אל הזירה התקשורתית ובמיוחד אל המרשתת, כזירה שבה מתרחשים כיום תהליכים חברתיים משמעותיים.</w:t>
      </w:r>
      <w:r w:rsidRPr="00203518">
        <w:rPr>
          <w:rStyle w:val="a5"/>
          <w:rFonts w:cs="David"/>
          <w:sz w:val="28"/>
          <w:szCs w:val="28"/>
          <w:rtl/>
        </w:rPr>
        <w:footnoteReference w:id="256"/>
      </w:r>
      <w:r w:rsidRPr="00203518">
        <w:rPr>
          <w:rFonts w:cs="David" w:hint="cs"/>
          <w:sz w:val="28"/>
          <w:szCs w:val="28"/>
          <w:rtl/>
        </w:rPr>
        <w:t xml:space="preserve"> יש מקום, לגייס את משרד ההסברה הממשלתי לטיפול אפקטיבי בתופעה דרך הפצת תשדירים ו'באנרים' בשלל ערוצי התקשורת, המסורתיים והחדשים. בנוסף, בהיבט התודעתי יש לוודא פרסום של מקרי מעצרים וחקירות בגין פרסום דברי הסתה.</w:t>
      </w:r>
    </w:p>
    <w:p w:rsidR="003F6A67" w:rsidRPr="00203518" w:rsidRDefault="003F6A67" w:rsidP="003F6A67">
      <w:pPr>
        <w:pStyle w:val="a6"/>
        <w:numPr>
          <w:ilvl w:val="1"/>
          <w:numId w:val="17"/>
        </w:numPr>
        <w:spacing w:line="360" w:lineRule="auto"/>
        <w:jc w:val="both"/>
        <w:rPr>
          <w:rFonts w:cs="David"/>
          <w:sz w:val="28"/>
          <w:szCs w:val="28"/>
        </w:rPr>
      </w:pPr>
      <w:r w:rsidRPr="00203518">
        <w:rPr>
          <w:rFonts w:cs="David" w:hint="cs"/>
          <w:sz w:val="28"/>
          <w:szCs w:val="28"/>
          <w:rtl/>
        </w:rPr>
        <w:t>ככלל המשפט הפלילי אינו יכול לשמש ככלי עיקרי לחינוך הציבור להתבטאות מתונה. זהו עניין ציבורי ראשון במעלה בחשיבותו: על הציבור לעמוד על זכותו כי אנשי הציבור המייצגים אותו יעלו את רמת הדיון הציבורי וירחיקו ממנה הסתה ושיסוי. דברים אלו, יפים גם לעניין השיח הגזעני והמסית.</w:t>
      </w:r>
      <w:r w:rsidRPr="00203518">
        <w:rPr>
          <w:rStyle w:val="a5"/>
          <w:rFonts w:cs="David"/>
          <w:sz w:val="28"/>
          <w:szCs w:val="28"/>
          <w:rtl/>
        </w:rPr>
        <w:footnoteReference w:id="257"/>
      </w:r>
    </w:p>
    <w:p w:rsidR="003F6A67" w:rsidRPr="00203518" w:rsidRDefault="003F6A67" w:rsidP="003F6A67">
      <w:pPr>
        <w:pStyle w:val="a6"/>
        <w:numPr>
          <w:ilvl w:val="1"/>
          <w:numId w:val="17"/>
        </w:numPr>
        <w:spacing w:line="360" w:lineRule="auto"/>
        <w:jc w:val="both"/>
        <w:rPr>
          <w:rFonts w:cs="David"/>
          <w:sz w:val="28"/>
          <w:szCs w:val="28"/>
          <w:rtl/>
        </w:rPr>
      </w:pPr>
      <w:r w:rsidRPr="00203518">
        <w:rPr>
          <w:rFonts w:cs="David" w:hint="cs"/>
          <w:sz w:val="28"/>
          <w:szCs w:val="28"/>
          <w:rtl/>
        </w:rPr>
        <w:t>ל'מניעה מצבית' ולכלים שפותחו לאחרונה במשטרת ישראל יש רלוונטיות מול המשתמשים המתבטאים בגזענות והמסיתים, שכלל הינם נורמטיביים. יש להימנע מעמימות ולכן על המדינה להבהיר את הכללים האסורים ולממש אכיפה היכן שיש חריגה מהם.</w:t>
      </w:r>
      <w:r w:rsidRPr="00203518">
        <w:rPr>
          <w:rStyle w:val="a5"/>
          <w:rFonts w:cs="David"/>
          <w:sz w:val="28"/>
          <w:szCs w:val="28"/>
          <w:rtl/>
        </w:rPr>
        <w:footnoteReference w:id="258"/>
      </w:r>
    </w:p>
    <w:p w:rsidR="003F6A67" w:rsidRPr="00203518" w:rsidRDefault="003F6A67" w:rsidP="003F6A67">
      <w:pPr>
        <w:pStyle w:val="a6"/>
        <w:numPr>
          <w:ilvl w:val="0"/>
          <w:numId w:val="17"/>
        </w:numPr>
        <w:spacing w:line="360" w:lineRule="auto"/>
        <w:jc w:val="both"/>
        <w:rPr>
          <w:rFonts w:cs="David"/>
          <w:sz w:val="28"/>
          <w:szCs w:val="28"/>
        </w:rPr>
      </w:pPr>
      <w:r w:rsidRPr="00203518">
        <w:rPr>
          <w:rFonts w:cs="David" w:hint="cs"/>
          <w:sz w:val="28"/>
          <w:szCs w:val="28"/>
          <w:rtl/>
        </w:rPr>
        <w:lastRenderedPageBreak/>
        <w:t>להסדרה הפרטית רלוונטיות גבוהה בטיפול אפקטיבי בהתבטאויות גזעניות גרידא</w:t>
      </w:r>
      <w:r w:rsidR="00031D09">
        <w:rPr>
          <w:rFonts w:cs="David" w:hint="cs"/>
          <w:sz w:val="28"/>
          <w:szCs w:val="28"/>
          <w:rtl/>
        </w:rPr>
        <w:t>,</w:t>
      </w:r>
      <w:r w:rsidRPr="00203518">
        <w:rPr>
          <w:rFonts w:cs="David" w:hint="cs"/>
          <w:sz w:val="28"/>
          <w:szCs w:val="28"/>
          <w:rtl/>
        </w:rPr>
        <w:t xml:space="preserve"> שאינן מחוץ לחוק הקיים ואינן "מתוך מטרה להסית" ושהינן אחוז גבוה מההתבטאויות המתלהמות כנגד ערבים ברשתות החברתיות. לפיכך, במקרים אלו יש לאמץ את ההסדרה הפרטית, אך רצוי כי המחוקק הישראלי יקבע את כללי המסגרת שיאפשרו להסדרה הפרטית לפעול ביעילות: כללים המטילים אחריות על 'מתווכי התוכן' במרשתת לאמץ כללי התנהגות מסוימים במרשת, המחייבים את ספקי המרשתת לשמור על מידע והמסדירים את האפשרויות העומדות לרשות הגולשים בעת פנייה לספקים. </w:t>
      </w:r>
    </w:p>
    <w:p w:rsidR="003F6A67" w:rsidRPr="00203518" w:rsidRDefault="003F6A67" w:rsidP="003F6A67">
      <w:pPr>
        <w:pStyle w:val="a6"/>
        <w:numPr>
          <w:ilvl w:val="0"/>
          <w:numId w:val="17"/>
        </w:numPr>
        <w:spacing w:line="360" w:lineRule="auto"/>
        <w:jc w:val="both"/>
        <w:rPr>
          <w:rFonts w:cs="David"/>
          <w:sz w:val="28"/>
          <w:szCs w:val="28"/>
        </w:rPr>
      </w:pPr>
      <w:r w:rsidRPr="00203518">
        <w:rPr>
          <w:rFonts w:cs="David" w:hint="cs"/>
          <w:sz w:val="28"/>
          <w:szCs w:val="28"/>
          <w:rtl/>
        </w:rPr>
        <w:t>לצד האמור, ככל שההסתה לגזענות ולאלימות מבוצעת במרשתת וברשתות החברתיות באופן גלוי ולא אנונימי, כפי שמאפיין את הגולש הישראלי, וככל שהסתה זו מבוצעת באמצעות אתרים מסחריים גדולים ומוכרים, בעלי אינטרסים כלכליים מובהקים ושמושכים גולשים רבים, יש טעם כי המדינה תקבע כללים משפטיים המטילים מגבלות על ביטויים, גם כיום בעידן המרשתת, ותאכוף אותם באמצעות המשטרה.</w:t>
      </w:r>
      <w:r w:rsidRPr="00203518">
        <w:rPr>
          <w:rStyle w:val="a5"/>
          <w:rFonts w:cs="David"/>
          <w:sz w:val="28"/>
          <w:szCs w:val="28"/>
        </w:rPr>
        <w:footnoteReference w:id="259"/>
      </w:r>
    </w:p>
    <w:p w:rsidR="003F6A67" w:rsidRPr="00194853" w:rsidRDefault="003F6A67" w:rsidP="00AA5965">
      <w:pPr>
        <w:pStyle w:val="a6"/>
        <w:numPr>
          <w:ilvl w:val="0"/>
          <w:numId w:val="17"/>
        </w:numPr>
        <w:spacing w:line="360" w:lineRule="auto"/>
        <w:jc w:val="both"/>
        <w:rPr>
          <w:rFonts w:cs="David"/>
          <w:sz w:val="28"/>
          <w:szCs w:val="28"/>
        </w:rPr>
      </w:pPr>
      <w:r w:rsidRPr="00194853">
        <w:rPr>
          <w:rFonts w:cs="David" w:hint="cs"/>
          <w:sz w:val="28"/>
          <w:szCs w:val="28"/>
          <w:rtl/>
        </w:rPr>
        <w:t>יש מקום לשקול תיקון לחוק העונשין התשל"ז-1977, כך שגם התבטאות גזענית גרידא, העומדת בהגדרה שבסעיף 144א, ולא רק 'הסתה לגזענות', תוצא מחוץ לחוק.</w:t>
      </w:r>
      <w:r w:rsidRPr="00203518">
        <w:rPr>
          <w:rStyle w:val="a5"/>
          <w:rFonts w:cs="David"/>
          <w:sz w:val="28"/>
          <w:szCs w:val="28"/>
          <w:rtl/>
        </w:rPr>
        <w:footnoteReference w:id="260"/>
      </w:r>
      <w:r w:rsidR="00194853" w:rsidRPr="00194853">
        <w:rPr>
          <w:rFonts w:cs="David" w:hint="cs"/>
          <w:sz w:val="28"/>
          <w:szCs w:val="28"/>
          <w:rtl/>
        </w:rPr>
        <w:t xml:space="preserve"> "</w:t>
      </w:r>
      <w:r w:rsidR="00C93DA1">
        <w:rPr>
          <w:rFonts w:cs="David" w:hint="cs"/>
          <w:sz w:val="28"/>
          <w:szCs w:val="28"/>
          <w:rtl/>
        </w:rPr>
        <w:t xml:space="preserve">[...] הגנה יעילה מפני גזענות צריכה </w:t>
      </w:r>
      <w:r w:rsidR="00194853" w:rsidRPr="00194853">
        <w:rPr>
          <w:rFonts w:cs="David" w:hint="cs"/>
          <w:sz w:val="28"/>
          <w:szCs w:val="28"/>
          <w:rtl/>
        </w:rPr>
        <w:t>להקיף גם ביטוי גזעני שאיננו מסית."</w:t>
      </w:r>
      <w:r w:rsidR="00194853">
        <w:rPr>
          <w:rStyle w:val="a5"/>
          <w:rFonts w:cs="David"/>
          <w:sz w:val="28"/>
          <w:szCs w:val="28"/>
          <w:rtl/>
        </w:rPr>
        <w:footnoteReference w:id="261"/>
      </w:r>
      <w:r w:rsidR="00194853" w:rsidRPr="00194853">
        <w:rPr>
          <w:rFonts w:cs="David" w:hint="cs"/>
          <w:sz w:val="28"/>
          <w:szCs w:val="28"/>
          <w:rtl/>
        </w:rPr>
        <w:t xml:space="preserve"> </w:t>
      </w:r>
      <w:r w:rsidRPr="00194853">
        <w:rPr>
          <w:rFonts w:cs="David" w:hint="cs"/>
          <w:sz w:val="28"/>
          <w:szCs w:val="28"/>
          <w:rtl/>
        </w:rPr>
        <w:t xml:space="preserve">לאחר למעלה משלושים שנה מאז חוקק החוק המקורי והוסף סימן א1 לחוק ולאור השינויים שחלו במהלך שנים אלו, נכון לאסור את שורש הבעיה </w:t>
      </w:r>
      <w:r w:rsidRPr="00194853">
        <w:rPr>
          <w:rFonts w:cs="David"/>
          <w:sz w:val="28"/>
          <w:szCs w:val="28"/>
          <w:rtl/>
        </w:rPr>
        <w:t>–</w:t>
      </w:r>
      <w:r w:rsidRPr="00194853">
        <w:rPr>
          <w:rFonts w:cs="David" w:hint="cs"/>
          <w:sz w:val="28"/>
          <w:szCs w:val="28"/>
          <w:rtl/>
        </w:rPr>
        <w:t xml:space="preserve"> השיח הגזעני עצמו, בייחוד לאור הקושי בהוכחת היסוד הנפשי בעבירת ההסתה לגזענות </w:t>
      </w:r>
      <w:r w:rsidRPr="00194853">
        <w:rPr>
          <w:rFonts w:cs="David"/>
          <w:sz w:val="28"/>
          <w:szCs w:val="28"/>
          <w:rtl/>
        </w:rPr>
        <w:t>–</w:t>
      </w:r>
      <w:r w:rsidRPr="00194853">
        <w:rPr>
          <w:rFonts w:cs="David" w:hint="cs"/>
          <w:sz w:val="28"/>
          <w:szCs w:val="28"/>
          <w:rtl/>
        </w:rPr>
        <w:t xml:space="preserve"> "מתוך מטרה להסית לגזענות". בנוסף, חקיקה שכזו </w:t>
      </w:r>
      <w:r w:rsidR="00DA1309">
        <w:rPr>
          <w:rFonts w:cs="David" w:hint="cs"/>
          <w:sz w:val="28"/>
          <w:szCs w:val="28"/>
          <w:rtl/>
        </w:rPr>
        <w:t xml:space="preserve">פוטרת את </w:t>
      </w:r>
      <w:r w:rsidR="00C93DA1">
        <w:rPr>
          <w:rFonts w:cs="David" w:hint="cs"/>
          <w:sz w:val="28"/>
          <w:szCs w:val="28"/>
          <w:rtl/>
        </w:rPr>
        <w:t xml:space="preserve">התביעה </w:t>
      </w:r>
      <w:r w:rsidR="00DA1309">
        <w:rPr>
          <w:rFonts w:cs="David" w:hint="cs"/>
          <w:sz w:val="28"/>
          <w:szCs w:val="28"/>
          <w:rtl/>
        </w:rPr>
        <w:t>מהצורך ל</w:t>
      </w:r>
      <w:r w:rsidR="00C93DA1">
        <w:rPr>
          <w:rFonts w:cs="David" w:hint="cs"/>
          <w:sz w:val="28"/>
          <w:szCs w:val="28"/>
          <w:rtl/>
        </w:rPr>
        <w:t xml:space="preserve">הוכיח </w:t>
      </w:r>
      <w:r w:rsidRPr="00194853">
        <w:rPr>
          <w:rFonts w:cs="David" w:hint="cs"/>
          <w:sz w:val="28"/>
          <w:szCs w:val="28"/>
          <w:rtl/>
        </w:rPr>
        <w:t>קשר בין ביטוי במר</w:t>
      </w:r>
      <w:r w:rsidR="00AA5965">
        <w:rPr>
          <w:rFonts w:cs="David" w:hint="cs"/>
          <w:sz w:val="28"/>
          <w:szCs w:val="28"/>
          <w:rtl/>
        </w:rPr>
        <w:t xml:space="preserve">שתת לבין התוצאה שארעה בעקבותיה, והיא תוכל להסתפק בעצם האמירה עצמה, כדי </w:t>
      </w:r>
      <w:r w:rsidR="00031D09">
        <w:rPr>
          <w:rFonts w:cs="David" w:hint="cs"/>
          <w:sz w:val="28"/>
          <w:szCs w:val="28"/>
          <w:rtl/>
        </w:rPr>
        <w:t>ל</w:t>
      </w:r>
      <w:r w:rsidR="00AA5965">
        <w:rPr>
          <w:rFonts w:cs="David" w:hint="cs"/>
          <w:sz w:val="28"/>
          <w:szCs w:val="28"/>
          <w:rtl/>
        </w:rPr>
        <w:t>החיל על המפרסם דין פלילי.</w:t>
      </w:r>
    </w:p>
    <w:p w:rsidR="003F6A67" w:rsidRPr="00203518" w:rsidRDefault="003F6A67" w:rsidP="00031D09">
      <w:pPr>
        <w:pStyle w:val="a6"/>
        <w:numPr>
          <w:ilvl w:val="0"/>
          <w:numId w:val="17"/>
        </w:numPr>
        <w:spacing w:line="360" w:lineRule="auto"/>
        <w:jc w:val="both"/>
        <w:rPr>
          <w:rFonts w:cs="David"/>
          <w:sz w:val="28"/>
          <w:szCs w:val="28"/>
        </w:rPr>
      </w:pPr>
      <w:r w:rsidRPr="00203518">
        <w:rPr>
          <w:rFonts w:cs="David" w:hint="cs"/>
          <w:sz w:val="28"/>
          <w:szCs w:val="28"/>
          <w:rtl/>
        </w:rPr>
        <w:t xml:space="preserve">ההסתברות שפרסום דברי הסתה אכן </w:t>
      </w:r>
      <w:r w:rsidR="00031D09">
        <w:rPr>
          <w:rFonts w:cs="David" w:hint="cs"/>
          <w:sz w:val="28"/>
          <w:szCs w:val="28"/>
          <w:rtl/>
        </w:rPr>
        <w:t>תוביל</w:t>
      </w:r>
      <w:r w:rsidRPr="00203518">
        <w:rPr>
          <w:rFonts w:cs="David" w:hint="cs"/>
          <w:sz w:val="28"/>
          <w:szCs w:val="28"/>
          <w:rtl/>
        </w:rPr>
        <w:t xml:space="preserve"> לעשיית מעשי אלימות בפועל ברמה של "אפשרות ממשית", אינה ראויה להיכלל בין יסודות העבירה שבסעיף 144ד2. הסתברות זו "היא בבחינת ניבוי לעתיד של הבלתי ידוע והוכחת קיומה של אפשרות כזאת מעבר לספק הסביר, כנדרש במשפט </w:t>
      </w:r>
      <w:r w:rsidRPr="00203518">
        <w:rPr>
          <w:rFonts w:cs="David" w:hint="cs"/>
          <w:sz w:val="28"/>
          <w:szCs w:val="28"/>
          <w:rtl/>
        </w:rPr>
        <w:lastRenderedPageBreak/>
        <w:t>הפלילי, נראית בעיניי כמשימה קשה מאד, אם לא כבלתי-אפשרית [...] ייטב אפוא המחוקק לעשות אם ישוב וייתן את דעתו לסוגיה קשה זו."</w:t>
      </w:r>
      <w:r w:rsidRPr="00203518">
        <w:rPr>
          <w:rStyle w:val="a5"/>
          <w:rFonts w:cs="David"/>
          <w:sz w:val="28"/>
          <w:szCs w:val="28"/>
          <w:rtl/>
        </w:rPr>
        <w:footnoteReference w:id="262"/>
      </w:r>
    </w:p>
    <w:p w:rsidR="003F6A67" w:rsidRPr="00203518" w:rsidRDefault="003F6A67" w:rsidP="003F6A67">
      <w:pPr>
        <w:pStyle w:val="a6"/>
        <w:numPr>
          <w:ilvl w:val="0"/>
          <w:numId w:val="17"/>
        </w:numPr>
        <w:spacing w:line="360" w:lineRule="auto"/>
        <w:jc w:val="both"/>
        <w:rPr>
          <w:rFonts w:cs="David"/>
          <w:sz w:val="28"/>
          <w:szCs w:val="28"/>
        </w:rPr>
      </w:pPr>
      <w:r w:rsidRPr="00203518">
        <w:rPr>
          <w:rFonts w:cs="David" w:hint="cs"/>
          <w:sz w:val="28"/>
          <w:szCs w:val="28"/>
          <w:rtl/>
        </w:rPr>
        <w:t>בחינת חקיקה מול ספקיות המרשתת</w:t>
      </w:r>
      <w:r w:rsidR="00031D09">
        <w:rPr>
          <w:rFonts w:cs="David" w:hint="cs"/>
          <w:sz w:val="28"/>
          <w:szCs w:val="28"/>
          <w:rtl/>
        </w:rPr>
        <w:t>,</w:t>
      </w:r>
      <w:r w:rsidRPr="00203518">
        <w:rPr>
          <w:rFonts w:cs="David" w:hint="cs"/>
          <w:sz w:val="28"/>
          <w:szCs w:val="28"/>
          <w:rtl/>
        </w:rPr>
        <w:t xml:space="preserve"> המחייבת אותם לפרסם אזהרה בכל כניסה לאתרים המזוהים עם פרסום דברי גזענות והסתה כנגד ערבים, כדוגמת החקיקה שחייבה בשעתו את יצרני הסיגריות להדפיס אזהרה על גבי קופסת הסיגריות.</w:t>
      </w:r>
      <w:r w:rsidRPr="00203518">
        <w:rPr>
          <w:rStyle w:val="a5"/>
          <w:rFonts w:cs="David"/>
          <w:sz w:val="28"/>
          <w:szCs w:val="28"/>
        </w:rPr>
        <w:footnoteReference w:id="263"/>
      </w:r>
    </w:p>
    <w:p w:rsidR="003F6A67" w:rsidRPr="00203518" w:rsidRDefault="003F6A67" w:rsidP="00031D09">
      <w:pPr>
        <w:pStyle w:val="a6"/>
        <w:numPr>
          <w:ilvl w:val="0"/>
          <w:numId w:val="17"/>
        </w:numPr>
        <w:spacing w:line="360" w:lineRule="auto"/>
        <w:jc w:val="both"/>
        <w:rPr>
          <w:rFonts w:cs="David"/>
          <w:sz w:val="28"/>
          <w:szCs w:val="28"/>
        </w:rPr>
      </w:pPr>
      <w:r w:rsidRPr="00203518">
        <w:rPr>
          <w:rFonts w:cs="David" w:hint="cs"/>
          <w:sz w:val="28"/>
          <w:szCs w:val="28"/>
          <w:rtl/>
        </w:rPr>
        <w:t>בדין הנוהג בישראל אין תשובה ברורה למחלוקת</w:t>
      </w:r>
      <w:r w:rsidR="00031D09">
        <w:rPr>
          <w:rFonts w:cs="David" w:hint="cs"/>
          <w:sz w:val="28"/>
          <w:szCs w:val="28"/>
          <w:rtl/>
        </w:rPr>
        <w:t>,</w:t>
      </w:r>
      <w:r w:rsidRPr="00203518">
        <w:rPr>
          <w:rFonts w:cs="David" w:hint="cs"/>
          <w:sz w:val="28"/>
          <w:szCs w:val="28"/>
          <w:rtl/>
        </w:rPr>
        <w:t xml:space="preserve"> שהתעורר</w:t>
      </w:r>
      <w:r w:rsidR="003C406F">
        <w:rPr>
          <w:rFonts w:cs="David" w:hint="cs"/>
          <w:sz w:val="28"/>
          <w:szCs w:val="28"/>
          <w:rtl/>
        </w:rPr>
        <w:t>ה</w:t>
      </w:r>
      <w:r w:rsidRPr="00203518">
        <w:rPr>
          <w:rFonts w:cs="David" w:hint="cs"/>
          <w:sz w:val="28"/>
          <w:szCs w:val="28"/>
          <w:rtl/>
        </w:rPr>
        <w:t xml:space="preserve"> עוד בעניין אלבה, לפני למעלה מעשרים שנה, בנוגע לשאלת החלתה של 'הילכת הצפיות' כתחליף מהותי לרכיב המטרה בעבירת ההסתה לגזענות. זו</w:t>
      </w:r>
      <w:r w:rsidR="00031D09">
        <w:rPr>
          <w:rFonts w:cs="David" w:hint="cs"/>
          <w:sz w:val="28"/>
          <w:szCs w:val="28"/>
          <w:rtl/>
        </w:rPr>
        <w:t>הי</w:t>
      </w:r>
      <w:r w:rsidRPr="00203518">
        <w:rPr>
          <w:rFonts w:cs="David" w:hint="cs"/>
          <w:sz w:val="28"/>
          <w:szCs w:val="28"/>
          <w:rtl/>
        </w:rPr>
        <w:t xml:space="preserve"> אינה סוגיה עיונית בעלת חשיבות תאורטית בלבד, אלא מדובר בהכרעה עקרונית בעלת השלכות מעשיות על העמדה לדין בעבירות הסתה לגזענות. נראה</w:t>
      </w:r>
      <w:r w:rsidR="00031D09">
        <w:rPr>
          <w:rFonts w:cs="David" w:hint="cs"/>
          <w:sz w:val="28"/>
          <w:szCs w:val="28"/>
          <w:rtl/>
        </w:rPr>
        <w:t>,</w:t>
      </w:r>
      <w:r w:rsidRPr="00203518">
        <w:rPr>
          <w:rFonts w:cs="David" w:hint="cs"/>
          <w:sz w:val="28"/>
          <w:szCs w:val="28"/>
          <w:rtl/>
        </w:rPr>
        <w:t xml:space="preserve"> כי בשלה השעה להחיל את 'הלכת הצפיות' גם על רכיב המטרה ביסוד הנפשי של עבירת ההסתה לגזענות.</w:t>
      </w:r>
      <w:r w:rsidRPr="00203518">
        <w:rPr>
          <w:rStyle w:val="a5"/>
          <w:rFonts w:cs="David"/>
          <w:sz w:val="28"/>
          <w:szCs w:val="28"/>
          <w:rtl/>
        </w:rPr>
        <w:footnoteReference w:id="264"/>
      </w:r>
    </w:p>
    <w:p w:rsidR="003F6A67" w:rsidRPr="00203518" w:rsidRDefault="003F6A67" w:rsidP="00785976">
      <w:pPr>
        <w:pStyle w:val="a6"/>
        <w:numPr>
          <w:ilvl w:val="0"/>
          <w:numId w:val="17"/>
        </w:numPr>
        <w:spacing w:line="360" w:lineRule="auto"/>
        <w:jc w:val="both"/>
        <w:rPr>
          <w:rFonts w:cs="David"/>
          <w:sz w:val="28"/>
          <w:szCs w:val="28"/>
        </w:rPr>
      </w:pPr>
      <w:r w:rsidRPr="00203518">
        <w:rPr>
          <w:rFonts w:cs="David" w:hint="cs"/>
          <w:sz w:val="28"/>
          <w:szCs w:val="28"/>
          <w:rtl/>
        </w:rPr>
        <w:t xml:space="preserve">באקלים הקיים המדינה, שבו השיח הגזעני והמסית לאלימות פרץ גבולות, </w:t>
      </w:r>
      <w:r w:rsidR="00961EC3">
        <w:rPr>
          <w:rFonts w:cs="David" w:hint="cs"/>
          <w:sz w:val="28"/>
          <w:szCs w:val="28"/>
          <w:rtl/>
        </w:rPr>
        <w:t>"</w:t>
      </w:r>
      <w:r w:rsidRPr="00203518">
        <w:rPr>
          <w:rFonts w:cs="David" w:hint="cs"/>
          <w:sz w:val="28"/>
          <w:szCs w:val="28"/>
          <w:rtl/>
        </w:rPr>
        <w:t>ישנו צורך מובהק כי הרשויות האמונות על אכיפת החוק ויישומו יעמדו על המשמר בכל תוקף ויסייעו במיגורה של התופעה</w:t>
      </w:r>
      <w:r w:rsidR="00961EC3">
        <w:rPr>
          <w:rFonts w:cs="David" w:hint="cs"/>
          <w:sz w:val="28"/>
          <w:szCs w:val="28"/>
          <w:rtl/>
        </w:rPr>
        <w:t>"</w:t>
      </w:r>
      <w:r w:rsidRPr="00203518">
        <w:rPr>
          <w:rFonts w:cs="David" w:hint="cs"/>
          <w:sz w:val="28"/>
          <w:szCs w:val="28"/>
          <w:rtl/>
        </w:rPr>
        <w:t>.</w:t>
      </w:r>
      <w:r w:rsidR="00961EC3">
        <w:rPr>
          <w:rStyle w:val="a5"/>
          <w:rFonts w:cs="David"/>
          <w:sz w:val="28"/>
          <w:szCs w:val="28"/>
          <w:rtl/>
        </w:rPr>
        <w:footnoteReference w:id="265"/>
      </w:r>
      <w:r w:rsidRPr="00203518">
        <w:rPr>
          <w:rFonts w:cs="David" w:hint="cs"/>
          <w:sz w:val="28"/>
          <w:szCs w:val="28"/>
          <w:rtl/>
        </w:rPr>
        <w:t xml:space="preserve"> לכן, יש להנמיך את הרף הגבוה מדי על פיו מוחלט מתי תיפתח חקירה ויוגש כתב אישום בעבירה להסתה לגזענות ולאלימות. "הרף הקיים כיום כפי שהוא בא לידי ביטוי בהנחיות היועץ המשפטי לממשלה, מביא לכך שרק במקרים בודדים מעמידים לדין בגין דברי הסתה. הצטברות הדרישות עלולה להוביל לכל שעבירות ההסתה בכלל ועבירות ההסתה לגזענות בפרט יפכו לאות מתה בספר החוקים הישראלי".</w:t>
      </w:r>
      <w:r w:rsidRPr="00203518">
        <w:rPr>
          <w:rStyle w:val="a5"/>
          <w:rFonts w:cs="David"/>
          <w:sz w:val="28"/>
          <w:szCs w:val="28"/>
          <w:rtl/>
        </w:rPr>
        <w:footnoteReference w:id="266"/>
      </w:r>
      <w:r w:rsidRPr="00203518">
        <w:rPr>
          <w:rFonts w:cs="David" w:hint="cs"/>
          <w:sz w:val="28"/>
          <w:szCs w:val="28"/>
          <w:rtl/>
        </w:rPr>
        <w:t xml:space="preserve"> לנוכח התגברות הגזענות בחברה הישראלית, מתבקש עתה עיון מחודש במדיניות הזאת כולל בהגמשת המדיניות כלפי מפרסמי 'טוקבקים' ולא רק כאלו המפרסמים פוסטים ברשתות החברתיות.</w:t>
      </w:r>
      <w:r w:rsidRPr="00203518">
        <w:rPr>
          <w:rStyle w:val="a5"/>
          <w:rFonts w:cs="David"/>
          <w:sz w:val="28"/>
          <w:szCs w:val="28"/>
        </w:rPr>
        <w:footnoteReference w:id="267"/>
      </w:r>
    </w:p>
    <w:p w:rsidR="003F6A67" w:rsidRPr="00203518" w:rsidRDefault="003F6A67" w:rsidP="00785976">
      <w:pPr>
        <w:pStyle w:val="a6"/>
        <w:numPr>
          <w:ilvl w:val="0"/>
          <w:numId w:val="17"/>
        </w:numPr>
        <w:spacing w:line="360" w:lineRule="auto"/>
        <w:jc w:val="both"/>
        <w:rPr>
          <w:rFonts w:cs="David"/>
          <w:sz w:val="28"/>
          <w:szCs w:val="28"/>
        </w:rPr>
      </w:pPr>
      <w:r w:rsidRPr="00203518">
        <w:rPr>
          <w:rFonts w:cs="David" w:hint="cs"/>
          <w:sz w:val="28"/>
          <w:szCs w:val="28"/>
          <w:rtl/>
        </w:rPr>
        <w:t xml:space="preserve">כהשלמה להנמכת הרף בהחלטה על הגשת כתב אישום בגין הסתה, ניתן להרהר באפשרות </w:t>
      </w:r>
      <w:r w:rsidR="00785976">
        <w:rPr>
          <w:rFonts w:cs="David" w:hint="cs"/>
          <w:sz w:val="28"/>
          <w:szCs w:val="28"/>
          <w:rtl/>
        </w:rPr>
        <w:t xml:space="preserve">של </w:t>
      </w:r>
      <w:r w:rsidRPr="00203518">
        <w:rPr>
          <w:rFonts w:cs="David" w:hint="cs"/>
          <w:sz w:val="28"/>
          <w:szCs w:val="28"/>
          <w:rtl/>
        </w:rPr>
        <w:t xml:space="preserve">הגשת תביעה אזרחית </w:t>
      </w:r>
      <w:r w:rsidR="00785976">
        <w:rPr>
          <w:rFonts w:cs="David" w:hint="cs"/>
          <w:sz w:val="28"/>
          <w:szCs w:val="28"/>
          <w:rtl/>
        </w:rPr>
        <w:t>מצד</w:t>
      </w:r>
      <w:r w:rsidRPr="00203518">
        <w:rPr>
          <w:rFonts w:cs="David" w:hint="cs"/>
          <w:sz w:val="28"/>
          <w:szCs w:val="28"/>
          <w:rtl/>
        </w:rPr>
        <w:t xml:space="preserve"> יחידים</w:t>
      </w:r>
      <w:r w:rsidR="00785976">
        <w:rPr>
          <w:rFonts w:cs="David" w:hint="cs"/>
          <w:sz w:val="28"/>
          <w:szCs w:val="28"/>
          <w:rtl/>
        </w:rPr>
        <w:t>,</w:t>
      </w:r>
      <w:r w:rsidRPr="00203518">
        <w:rPr>
          <w:rFonts w:cs="David" w:hint="cs"/>
          <w:sz w:val="28"/>
          <w:szCs w:val="28"/>
          <w:rtl/>
        </w:rPr>
        <w:t xml:space="preserve"> אשר נפגעו מגילויי גזענות. לצד עילת התביעה הפלילית תעמוד למי שיוכיח שהוא קורבן לגזענות </w:t>
      </w:r>
      <w:r w:rsidRPr="00203518">
        <w:rPr>
          <w:rFonts w:cs="David" w:hint="cs"/>
          <w:sz w:val="28"/>
          <w:szCs w:val="28"/>
          <w:rtl/>
        </w:rPr>
        <w:lastRenderedPageBreak/>
        <w:t xml:space="preserve">עילת תביעה לפיצוי נזיקי ואולי אף </w:t>
      </w:r>
      <w:r w:rsidR="00785976">
        <w:rPr>
          <w:rFonts w:cs="David" w:hint="cs"/>
          <w:sz w:val="28"/>
          <w:szCs w:val="28"/>
          <w:rtl/>
        </w:rPr>
        <w:t>ל</w:t>
      </w:r>
      <w:r w:rsidRPr="00203518">
        <w:rPr>
          <w:rFonts w:cs="David" w:hint="cs"/>
          <w:sz w:val="28"/>
          <w:szCs w:val="28"/>
          <w:rtl/>
        </w:rPr>
        <w:t xml:space="preserve">פיצוי קבוע, ללא הוכחת נזק. בדרך זו </w:t>
      </w:r>
      <w:r w:rsidR="00785976">
        <w:rPr>
          <w:rFonts w:cs="David" w:hint="cs"/>
          <w:sz w:val="28"/>
          <w:szCs w:val="28"/>
          <w:rtl/>
        </w:rPr>
        <w:t>ניתן</w:t>
      </w:r>
      <w:r w:rsidRPr="00203518">
        <w:rPr>
          <w:rFonts w:cs="David" w:hint="cs"/>
          <w:sz w:val="28"/>
          <w:szCs w:val="28"/>
          <w:rtl/>
        </w:rPr>
        <w:t xml:space="preserve"> יהיה להפוך את המאבק נגד גזענות לעניין ציבורי רחב יותר ויהיה בכך </w:t>
      </w:r>
      <w:r w:rsidR="00785976">
        <w:rPr>
          <w:rFonts w:cs="David" w:hint="cs"/>
          <w:sz w:val="28"/>
          <w:szCs w:val="28"/>
          <w:rtl/>
        </w:rPr>
        <w:t xml:space="preserve">כדי </w:t>
      </w:r>
      <w:r w:rsidRPr="00203518">
        <w:rPr>
          <w:rFonts w:cs="David" w:hint="cs"/>
          <w:sz w:val="28"/>
          <w:szCs w:val="28"/>
          <w:rtl/>
        </w:rPr>
        <w:t>לתרום לריסון השיח המקוון.</w:t>
      </w:r>
      <w:r w:rsidRPr="00203518">
        <w:rPr>
          <w:rStyle w:val="a5"/>
          <w:rFonts w:cs="David"/>
          <w:sz w:val="28"/>
          <w:szCs w:val="28"/>
          <w:rtl/>
        </w:rPr>
        <w:footnoteReference w:id="268"/>
      </w:r>
    </w:p>
    <w:p w:rsidR="003F6A67" w:rsidRPr="00203518" w:rsidRDefault="003F6A67" w:rsidP="003F6A67">
      <w:pPr>
        <w:pStyle w:val="a6"/>
        <w:numPr>
          <w:ilvl w:val="0"/>
          <w:numId w:val="17"/>
        </w:numPr>
        <w:spacing w:line="360" w:lineRule="auto"/>
        <w:jc w:val="both"/>
        <w:rPr>
          <w:rFonts w:cs="David"/>
          <w:sz w:val="28"/>
          <w:szCs w:val="28"/>
        </w:rPr>
      </w:pPr>
      <w:r w:rsidRPr="00203518">
        <w:rPr>
          <w:rFonts w:cs="David" w:hint="cs"/>
          <w:sz w:val="28"/>
          <w:szCs w:val="28"/>
          <w:rtl/>
        </w:rPr>
        <w:t>כחלק מ'האכיפה האלטרנטיבית' במחלקת הסייבר בפרקליטות המדינה יש לקבל החלטה לפיה יהיה אפשרי להשתמש בכלי זה, מול פרסומים של יהודים המסיתים לגזענות ולאלימות נגד ערבים, גם אם לכאורה ניתן היה להגיש כתב אישום כנגד המפרסם.</w:t>
      </w:r>
    </w:p>
    <w:p w:rsidR="003F6A67" w:rsidRDefault="003F6A67" w:rsidP="003F6A67">
      <w:pPr>
        <w:pStyle w:val="a6"/>
        <w:numPr>
          <w:ilvl w:val="0"/>
          <w:numId w:val="17"/>
        </w:numPr>
        <w:spacing w:line="360" w:lineRule="auto"/>
        <w:jc w:val="both"/>
        <w:rPr>
          <w:rFonts w:cs="David"/>
          <w:sz w:val="28"/>
          <w:szCs w:val="28"/>
        </w:rPr>
      </w:pPr>
      <w:r>
        <w:rPr>
          <w:rFonts w:cs="David" w:hint="cs"/>
          <w:sz w:val="28"/>
          <w:szCs w:val="28"/>
          <w:rtl/>
        </w:rPr>
        <w:t>על המדינה להמשיך ולפעול להגברת שיתוף הפעולה עם 'פייסבוק' ובעלי האתרים הגדולים, מתוך שאיפה למסד תהליכי עבודה וכדי לייעל תהליכי הסרת תכנים המסיתים לגזענות ולאלימות.</w:t>
      </w:r>
    </w:p>
    <w:p w:rsidR="003F6A67" w:rsidRPr="00895C8B" w:rsidRDefault="003F6A67" w:rsidP="003F6A67">
      <w:pPr>
        <w:pStyle w:val="a6"/>
        <w:numPr>
          <w:ilvl w:val="0"/>
          <w:numId w:val="17"/>
        </w:numPr>
        <w:spacing w:line="360" w:lineRule="auto"/>
        <w:jc w:val="both"/>
        <w:rPr>
          <w:rFonts w:cs="David"/>
          <w:sz w:val="28"/>
          <w:szCs w:val="28"/>
        </w:rPr>
      </w:pPr>
      <w:r>
        <w:rPr>
          <w:rFonts w:cs="David" w:hint="cs"/>
          <w:sz w:val="28"/>
          <w:szCs w:val="28"/>
          <w:rtl/>
        </w:rPr>
        <w:t>במסגרת המודל הרצוי של חופש הביטוי במרשתת ניתן להביא לידי כינון הסדרים של שיתוף פעולה בין ספקי השירות, המדינה והקהילות הווירטואליות. הסדרים אלה יתבססו על אי התערבות של המדינה בתכנים אלא במקרים חריגים במיוחד, כגון הסתה לגזענות או פורנוגרפיה.</w:t>
      </w:r>
      <w:r>
        <w:rPr>
          <w:rStyle w:val="a5"/>
          <w:rFonts w:cs="David"/>
          <w:sz w:val="28"/>
          <w:szCs w:val="28"/>
          <w:rtl/>
        </w:rPr>
        <w:footnoteReference w:id="269"/>
      </w:r>
      <w:r>
        <w:rPr>
          <w:rFonts w:cs="David" w:hint="cs"/>
          <w:sz w:val="28"/>
          <w:szCs w:val="28"/>
          <w:rtl/>
        </w:rPr>
        <w:t xml:space="preserve"> בנוסף, הסרת האחריות מספקי השירות וממנהלי האתרים בחקיקה, תביא לפעולה מצדם לשמור על 'נקיון' הרשת.</w:t>
      </w:r>
      <w:r>
        <w:rPr>
          <w:rStyle w:val="a5"/>
          <w:rFonts w:cs="David"/>
          <w:sz w:val="28"/>
          <w:szCs w:val="28"/>
          <w:rtl/>
        </w:rPr>
        <w:footnoteReference w:id="270"/>
      </w:r>
    </w:p>
    <w:p w:rsidR="0096032D" w:rsidRDefault="003F6A67" w:rsidP="0039790F">
      <w:pPr>
        <w:pStyle w:val="a6"/>
        <w:numPr>
          <w:ilvl w:val="0"/>
          <w:numId w:val="17"/>
        </w:numPr>
        <w:spacing w:line="360" w:lineRule="auto"/>
        <w:jc w:val="both"/>
        <w:rPr>
          <w:rFonts w:cs="David"/>
          <w:sz w:val="28"/>
          <w:szCs w:val="28"/>
        </w:rPr>
      </w:pPr>
      <w:r>
        <w:rPr>
          <w:rFonts w:cs="David" w:hint="cs"/>
          <w:sz w:val="28"/>
          <w:szCs w:val="28"/>
          <w:rtl/>
        </w:rPr>
        <w:t>הקמת גוף אופרטיבי-משפטי מתכלל</w:t>
      </w:r>
      <w:r w:rsidR="005165D4">
        <w:rPr>
          <w:rFonts w:cs="David" w:hint="cs"/>
          <w:sz w:val="28"/>
          <w:szCs w:val="28"/>
          <w:rtl/>
        </w:rPr>
        <w:t>,</w:t>
      </w:r>
      <w:r>
        <w:rPr>
          <w:rFonts w:cs="David" w:hint="cs"/>
          <w:sz w:val="28"/>
          <w:szCs w:val="28"/>
          <w:rtl/>
        </w:rPr>
        <w:t xml:space="preserve"> שירכז את הטיפול בגזענות ובהסתה ברשתות החברתיות, תוך חלוקת האחריות באשר לאיסוף המודיעין, אופן הסיכול/מניעה אל מול בעלי האתרים וספקיות המרשתת.</w:t>
      </w:r>
      <w:r>
        <w:rPr>
          <w:rStyle w:val="a5"/>
          <w:rFonts w:cs="David"/>
          <w:sz w:val="28"/>
          <w:szCs w:val="28"/>
          <w:rtl/>
        </w:rPr>
        <w:footnoteReference w:id="271"/>
      </w:r>
      <w:r>
        <w:rPr>
          <w:rFonts w:cs="David" w:hint="cs"/>
          <w:sz w:val="28"/>
          <w:szCs w:val="28"/>
          <w:rtl/>
        </w:rPr>
        <w:t xml:space="preserve"> במסגרת זו יש גם להסדיר את נושא איסוף הנתונים (שהינו פער משמעותי כיום), כדי לאפשר טיפול אפקטיבי אל מול המוקדים הרלוונטיים העוסקים בהסתה (גיל, מקום גאוגרפי וכדומה).</w:t>
      </w: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39790F" w:rsidRDefault="0039790F" w:rsidP="0039790F">
      <w:pPr>
        <w:pStyle w:val="a6"/>
        <w:spacing w:line="360" w:lineRule="auto"/>
        <w:ind w:left="0"/>
        <w:jc w:val="both"/>
        <w:rPr>
          <w:rFonts w:cs="David"/>
          <w:sz w:val="28"/>
          <w:szCs w:val="28"/>
          <w:rtl/>
        </w:rPr>
      </w:pPr>
    </w:p>
    <w:p w:rsidR="00270015" w:rsidRPr="000F56CD" w:rsidRDefault="00270015" w:rsidP="00270015">
      <w:pPr>
        <w:pStyle w:val="a6"/>
        <w:spacing w:line="360" w:lineRule="auto"/>
        <w:ind w:left="0"/>
        <w:jc w:val="center"/>
        <w:rPr>
          <w:rFonts w:cs="David"/>
          <w:b/>
          <w:bCs/>
          <w:sz w:val="40"/>
          <w:szCs w:val="40"/>
          <w:rtl/>
        </w:rPr>
      </w:pPr>
      <w:r w:rsidRPr="000F56CD">
        <w:rPr>
          <w:rFonts w:cs="David" w:hint="cs"/>
          <w:b/>
          <w:bCs/>
          <w:sz w:val="32"/>
          <w:szCs w:val="32"/>
          <w:rtl/>
        </w:rPr>
        <w:t>"אינך חייב להשלים עם העתיד - אתה יכול לשנות אותו".</w:t>
      </w:r>
      <w:r w:rsidRPr="00606CC7">
        <w:rPr>
          <w:rStyle w:val="a5"/>
          <w:rFonts w:cs="David"/>
          <w:sz w:val="32"/>
          <w:szCs w:val="32"/>
          <w:rtl/>
        </w:rPr>
        <w:footnoteReference w:id="272"/>
      </w:r>
    </w:p>
    <w:p w:rsidR="00270015" w:rsidRDefault="00270015" w:rsidP="0039790F">
      <w:pPr>
        <w:pStyle w:val="a6"/>
        <w:spacing w:line="360" w:lineRule="auto"/>
        <w:ind w:left="0"/>
        <w:jc w:val="both"/>
        <w:rPr>
          <w:rFonts w:cs="David"/>
          <w:b/>
          <w:bCs/>
          <w:sz w:val="36"/>
          <w:szCs w:val="36"/>
          <w:rtl/>
        </w:rPr>
      </w:pPr>
    </w:p>
    <w:p w:rsidR="00270015" w:rsidRPr="0039790F" w:rsidRDefault="0039790F" w:rsidP="00270015">
      <w:pPr>
        <w:pStyle w:val="a6"/>
        <w:spacing w:line="360" w:lineRule="auto"/>
        <w:ind w:left="0"/>
        <w:jc w:val="both"/>
        <w:rPr>
          <w:rFonts w:cs="David"/>
          <w:b/>
          <w:bCs/>
          <w:sz w:val="36"/>
          <w:szCs w:val="36"/>
          <w:rtl/>
        </w:rPr>
      </w:pPr>
      <w:r w:rsidRPr="0039790F">
        <w:rPr>
          <w:rFonts w:cs="David" w:hint="cs"/>
          <w:b/>
          <w:bCs/>
          <w:sz w:val="36"/>
          <w:szCs w:val="36"/>
          <w:rtl/>
        </w:rPr>
        <w:t>אחרית דבר</w:t>
      </w:r>
    </w:p>
    <w:p w:rsidR="00BB4B45" w:rsidRDefault="00BB4B45" w:rsidP="00E52181">
      <w:pPr>
        <w:spacing w:line="360" w:lineRule="auto"/>
        <w:jc w:val="both"/>
        <w:rPr>
          <w:rFonts w:cs="David"/>
          <w:sz w:val="28"/>
          <w:szCs w:val="28"/>
          <w:rtl/>
        </w:rPr>
      </w:pPr>
      <w:r>
        <w:rPr>
          <w:rFonts w:cs="David" w:hint="cs"/>
          <w:sz w:val="28"/>
          <w:szCs w:val="28"/>
          <w:rtl/>
        </w:rPr>
        <w:t xml:space="preserve">בשנת 1996, </w:t>
      </w:r>
      <w:r w:rsidR="001313F0">
        <w:rPr>
          <w:rFonts w:cs="David" w:hint="cs"/>
          <w:sz w:val="28"/>
          <w:szCs w:val="28"/>
          <w:rtl/>
        </w:rPr>
        <w:t>כתב כבוד השופט מצא:</w:t>
      </w:r>
    </w:p>
    <w:p w:rsidR="001313F0" w:rsidRPr="00254096" w:rsidRDefault="001313F0" w:rsidP="00E52181">
      <w:pPr>
        <w:spacing w:line="360" w:lineRule="auto"/>
        <w:ind w:left="720"/>
        <w:jc w:val="both"/>
        <w:rPr>
          <w:rFonts w:cs="David"/>
          <w:sz w:val="24"/>
          <w:szCs w:val="24"/>
          <w:rtl/>
        </w:rPr>
      </w:pPr>
      <w:r w:rsidRPr="00254096">
        <w:rPr>
          <w:rFonts w:cs="David" w:hint="cs"/>
          <w:sz w:val="24"/>
          <w:szCs w:val="24"/>
          <w:rtl/>
        </w:rPr>
        <w:t>התופעה של הסתה גזענית פוגעת בדמותה של המדינה, כמדינה יהודית ודמוקרטית. מדינת ישראל, כמדינה מתוקנת המושתתת על ערכי מוסר יהודיים וכלליים, אינה יכולה ואינה רשאית למען שלומה ולמען עתידה, להתייחס בסלחנות לתופעות עכורות של הסתה גזענית.</w:t>
      </w:r>
      <w:r w:rsidRPr="00254096">
        <w:rPr>
          <w:rStyle w:val="a5"/>
          <w:rFonts w:cs="David"/>
          <w:sz w:val="24"/>
          <w:szCs w:val="24"/>
          <w:rtl/>
        </w:rPr>
        <w:footnoteReference w:id="273"/>
      </w:r>
    </w:p>
    <w:p w:rsidR="00E52181" w:rsidRDefault="00E52181" w:rsidP="00C32F76">
      <w:pPr>
        <w:spacing w:line="360" w:lineRule="auto"/>
        <w:jc w:val="both"/>
        <w:rPr>
          <w:rFonts w:cs="David"/>
          <w:sz w:val="28"/>
          <w:szCs w:val="28"/>
          <w:rtl/>
        </w:rPr>
      </w:pPr>
      <w:r w:rsidRPr="00C869DE">
        <w:rPr>
          <w:rFonts w:cs="David" w:hint="cs"/>
          <w:b/>
          <w:bCs/>
          <w:sz w:val="28"/>
          <w:szCs w:val="28"/>
          <w:rtl/>
        </w:rPr>
        <w:t>כעשרים שנה לאחר מכן</w:t>
      </w:r>
      <w:r>
        <w:rPr>
          <w:rFonts w:cs="David" w:hint="cs"/>
          <w:sz w:val="28"/>
          <w:szCs w:val="28"/>
          <w:rtl/>
        </w:rPr>
        <w:t xml:space="preserve">, </w:t>
      </w:r>
      <w:r w:rsidR="00C32F76">
        <w:rPr>
          <w:rFonts w:cs="David" w:hint="cs"/>
          <w:sz w:val="28"/>
          <w:szCs w:val="28"/>
          <w:rtl/>
        </w:rPr>
        <w:t xml:space="preserve">מן הראוי שנביט במראה ונישיר מבט </w:t>
      </w:r>
      <w:r w:rsidR="008937CE">
        <w:rPr>
          <w:rFonts w:cs="David" w:hint="cs"/>
          <w:sz w:val="28"/>
          <w:szCs w:val="28"/>
          <w:rtl/>
        </w:rPr>
        <w:t>א</w:t>
      </w:r>
      <w:r w:rsidR="00C32F76">
        <w:rPr>
          <w:rFonts w:cs="David" w:hint="cs"/>
          <w:sz w:val="28"/>
          <w:szCs w:val="28"/>
          <w:rtl/>
        </w:rPr>
        <w:t>ל</w:t>
      </w:r>
      <w:r w:rsidR="008937CE">
        <w:rPr>
          <w:rFonts w:cs="David" w:hint="cs"/>
          <w:sz w:val="28"/>
          <w:szCs w:val="28"/>
          <w:rtl/>
        </w:rPr>
        <w:t xml:space="preserve"> ה</w:t>
      </w:r>
      <w:r w:rsidR="00C32F76">
        <w:rPr>
          <w:rFonts w:cs="David" w:hint="cs"/>
          <w:sz w:val="28"/>
          <w:szCs w:val="28"/>
          <w:rtl/>
        </w:rPr>
        <w:t>מציאות</w:t>
      </w:r>
      <w:r w:rsidR="007C620D">
        <w:rPr>
          <w:rFonts w:cs="David" w:hint="cs"/>
          <w:sz w:val="28"/>
          <w:szCs w:val="28"/>
          <w:rtl/>
        </w:rPr>
        <w:t xml:space="preserve"> העגומה</w:t>
      </w:r>
      <w:r w:rsidR="00C32F76">
        <w:rPr>
          <w:rFonts w:cs="David" w:hint="cs"/>
          <w:sz w:val="28"/>
          <w:szCs w:val="28"/>
          <w:rtl/>
        </w:rPr>
        <w:t>. כך כותב כבוד השופט גובראן:</w:t>
      </w:r>
      <w:r>
        <w:rPr>
          <w:rFonts w:cs="David" w:hint="cs"/>
          <w:sz w:val="28"/>
          <w:szCs w:val="28"/>
          <w:rtl/>
        </w:rPr>
        <w:t xml:space="preserve"> </w:t>
      </w:r>
    </w:p>
    <w:p w:rsidR="00B20A4E" w:rsidRPr="00254096" w:rsidRDefault="00B20A4E" w:rsidP="00C32F76">
      <w:pPr>
        <w:spacing w:line="360" w:lineRule="auto"/>
        <w:ind w:left="720"/>
        <w:jc w:val="both"/>
        <w:rPr>
          <w:rFonts w:cs="David"/>
          <w:sz w:val="24"/>
          <w:szCs w:val="24"/>
          <w:rtl/>
        </w:rPr>
      </w:pPr>
      <w:r w:rsidRPr="00254096">
        <w:rPr>
          <w:rFonts w:cs="David" w:hint="cs"/>
          <w:sz w:val="24"/>
          <w:szCs w:val="24"/>
          <w:rtl/>
        </w:rPr>
        <w:t>[...] רוחות רעות של גזענות ושנאת האחר אשר מנשבות במדינתנו מובילות להתפרצויות אלימות על רקע גזעני ודתי בתכיפות הולכת וגוברת. ביטויי גזענות נשמעים לא רק בקרנות הרחוב או מפי דוברים המייצגים "שוליים קיצוניים</w:t>
      </w:r>
      <w:r w:rsidR="001D7816" w:rsidRPr="00254096">
        <w:rPr>
          <w:rFonts w:cs="David" w:hint="cs"/>
          <w:sz w:val="24"/>
          <w:szCs w:val="24"/>
          <w:rtl/>
        </w:rPr>
        <w:t>"</w:t>
      </w:r>
      <w:r w:rsidRPr="00254096">
        <w:rPr>
          <w:rFonts w:cs="David" w:hint="cs"/>
          <w:sz w:val="24"/>
          <w:szCs w:val="24"/>
          <w:rtl/>
        </w:rPr>
        <w:t xml:space="preserve">, אלא גם על ידי אנשי ציבור ופוליטיקאים הנחשבים לחלק מהזרם המרכזי בחברה הישראלית. באקלים הנוכחי - שבו הסתה לגזענות ולאלימות הפכה חזון נפרץ - ישנו צורך מובהק כי רשויות האמונות על אכיפת החוק ויישומו יעמדו על המשמר בכל תוקף ויסייעו במיגורה של התופעה. </w:t>
      </w:r>
    </w:p>
    <w:p w:rsidR="00254096" w:rsidRPr="00254096" w:rsidRDefault="00B20A4E" w:rsidP="00254096">
      <w:pPr>
        <w:pStyle w:val="a6"/>
        <w:spacing w:line="360" w:lineRule="auto"/>
        <w:jc w:val="both"/>
        <w:rPr>
          <w:rFonts w:cs="David"/>
          <w:b/>
          <w:bCs/>
          <w:sz w:val="24"/>
          <w:szCs w:val="24"/>
          <w:rtl/>
        </w:rPr>
      </w:pPr>
      <w:r w:rsidRPr="00254096">
        <w:rPr>
          <w:rFonts w:cs="David" w:hint="cs"/>
          <w:sz w:val="24"/>
          <w:szCs w:val="24"/>
          <w:rtl/>
        </w:rPr>
        <w:t>מלבד תכיפותה ההולכת וגוברת של תופעת ההסתה לגזענות ולאלימות, עלינו לתת את הדעת גם לקלות ולפשטות שבהן ניתן לפרסם - ובעיקר להפיץ - באופן המוני דברי בלע והסתה. בשנים האחרונות, הפכו הרשתות החברתיות לקרקע פורייה לפרסום דברי בלע, ולהסתה לגזענות ולאלימות מצד בעלי דעות קיצוניות. באופן פרדוכסלי, האינטרנט והרשתות החברתיות - המאפשרים נגישות בלתי מוגבלת למידע, ומהווים פלטפורמה נגישה לכל אדם החפץ במימוש חופש הביטוי שלו - דווקא הם אלו אשר מסייעים בהפצה מהירה והמונית של דעות ואמירות המסיתות לגזענות ולאלימות. סבורני, כי במציאות שבה דברי הסתה הנכתבים בעט מושחזת גוררים אחריהם לא אחת שימוש קטלני בסכין מושחזת, מוטלת עלינו החובה לשקול ביתר שאת מקרים [...] לרבות העמדה לדין והרשעה במקרים המתאימים.</w:t>
      </w:r>
      <w:r w:rsidR="002214B0" w:rsidRPr="00254096">
        <w:rPr>
          <w:rStyle w:val="a5"/>
          <w:rFonts w:cs="David"/>
          <w:sz w:val="32"/>
          <w:szCs w:val="32"/>
          <w:rtl/>
        </w:rPr>
        <w:footnoteReference w:id="274"/>
      </w:r>
    </w:p>
    <w:p w:rsidR="00267FA2" w:rsidRDefault="008337F4" w:rsidP="00512B50">
      <w:pPr>
        <w:pStyle w:val="a6"/>
        <w:spacing w:line="360" w:lineRule="auto"/>
        <w:ind w:left="0"/>
        <w:jc w:val="both"/>
        <w:rPr>
          <w:rFonts w:cs="David"/>
          <w:sz w:val="28"/>
          <w:szCs w:val="28"/>
          <w:rtl/>
        </w:rPr>
      </w:pPr>
      <w:r w:rsidRPr="00200317">
        <w:rPr>
          <w:rFonts w:cs="David" w:hint="cs"/>
          <w:b/>
          <w:bCs/>
          <w:sz w:val="28"/>
          <w:szCs w:val="28"/>
          <w:rtl/>
        </w:rPr>
        <w:t>זה בידינו</w:t>
      </w:r>
      <w:r w:rsidR="00200317">
        <w:rPr>
          <w:rFonts w:cs="David" w:hint="cs"/>
          <w:b/>
          <w:bCs/>
          <w:sz w:val="28"/>
          <w:szCs w:val="28"/>
          <w:rtl/>
        </w:rPr>
        <w:t xml:space="preserve">. </w:t>
      </w:r>
      <w:r w:rsidRPr="00200317">
        <w:rPr>
          <w:rFonts w:cs="David" w:hint="cs"/>
          <w:b/>
          <w:bCs/>
          <w:sz w:val="28"/>
          <w:szCs w:val="28"/>
          <w:rtl/>
        </w:rPr>
        <w:t>יש עוד תקווה.</w:t>
      </w:r>
    </w:p>
    <w:p w:rsidR="00645167" w:rsidRDefault="00645167" w:rsidP="00512B50">
      <w:pPr>
        <w:pStyle w:val="a6"/>
        <w:spacing w:line="360" w:lineRule="auto"/>
        <w:ind w:left="0"/>
        <w:jc w:val="both"/>
        <w:rPr>
          <w:rFonts w:cs="David"/>
          <w:sz w:val="28"/>
          <w:szCs w:val="28"/>
          <w:rtl/>
        </w:rPr>
      </w:pPr>
    </w:p>
    <w:p w:rsidR="00645167" w:rsidRDefault="00645167" w:rsidP="00512B50">
      <w:pPr>
        <w:pStyle w:val="a6"/>
        <w:spacing w:line="360" w:lineRule="auto"/>
        <w:ind w:left="0"/>
        <w:jc w:val="both"/>
        <w:rPr>
          <w:rFonts w:cs="David"/>
          <w:sz w:val="28"/>
          <w:szCs w:val="28"/>
          <w:rtl/>
        </w:rPr>
      </w:pPr>
    </w:p>
    <w:p w:rsidR="00645167" w:rsidRDefault="00645167" w:rsidP="00512B50">
      <w:pPr>
        <w:pStyle w:val="a6"/>
        <w:spacing w:line="360" w:lineRule="auto"/>
        <w:ind w:left="0"/>
        <w:jc w:val="both"/>
        <w:rPr>
          <w:rFonts w:cs="David"/>
          <w:sz w:val="28"/>
          <w:szCs w:val="28"/>
          <w:rtl/>
        </w:rPr>
      </w:pPr>
    </w:p>
    <w:p w:rsidR="00645167" w:rsidRPr="00FC77F0" w:rsidRDefault="00645167" w:rsidP="00645167">
      <w:pPr>
        <w:rPr>
          <w:rFonts w:cs="David"/>
          <w:b/>
          <w:bCs/>
          <w:sz w:val="32"/>
          <w:szCs w:val="32"/>
          <w:rtl/>
        </w:rPr>
      </w:pPr>
      <w:r w:rsidRPr="00FC77F0">
        <w:rPr>
          <w:rFonts w:cs="David" w:hint="cs"/>
          <w:b/>
          <w:bCs/>
          <w:sz w:val="32"/>
          <w:szCs w:val="32"/>
          <w:rtl/>
        </w:rPr>
        <w:t>נספח 1:</w:t>
      </w:r>
    </w:p>
    <w:p w:rsidR="00645167" w:rsidRPr="00FC77F0" w:rsidRDefault="00645167" w:rsidP="00645167">
      <w:pPr>
        <w:rPr>
          <w:rFonts w:cs="David"/>
          <w:rtl/>
        </w:rPr>
      </w:pPr>
    </w:p>
    <w:p w:rsidR="00645167" w:rsidRDefault="00645167" w:rsidP="000517EE">
      <w:pPr>
        <w:rPr>
          <w:rFonts w:cs="David"/>
          <w:sz w:val="32"/>
          <w:szCs w:val="32"/>
          <w:rtl/>
        </w:rPr>
      </w:pPr>
      <w:r w:rsidRPr="00FC77F0">
        <w:rPr>
          <w:rFonts w:cs="David" w:hint="cs"/>
          <w:sz w:val="32"/>
          <w:szCs w:val="32"/>
          <w:rtl/>
        </w:rPr>
        <w:t>דוגמאות</w:t>
      </w:r>
      <w:r w:rsidR="000517EE">
        <w:rPr>
          <w:rFonts w:cs="David" w:hint="cs"/>
          <w:sz w:val="32"/>
          <w:szCs w:val="32"/>
          <w:rtl/>
        </w:rPr>
        <w:t xml:space="preserve"> להמחשה</w:t>
      </w:r>
      <w:r>
        <w:rPr>
          <w:rFonts w:cs="David" w:hint="cs"/>
          <w:sz w:val="32"/>
          <w:szCs w:val="32"/>
          <w:rtl/>
        </w:rPr>
        <w:t>,</w:t>
      </w:r>
      <w:r w:rsidRPr="00FC77F0">
        <w:rPr>
          <w:rFonts w:cs="David" w:hint="cs"/>
          <w:sz w:val="32"/>
          <w:szCs w:val="32"/>
          <w:rtl/>
        </w:rPr>
        <w:t xml:space="preserve"> </w:t>
      </w:r>
      <w:r>
        <w:rPr>
          <w:rFonts w:cs="David" w:hint="cs"/>
          <w:sz w:val="32"/>
          <w:szCs w:val="32"/>
          <w:rtl/>
        </w:rPr>
        <w:t xml:space="preserve">שאינן חריגות כלל, </w:t>
      </w:r>
      <w:r w:rsidRPr="00FC77F0">
        <w:rPr>
          <w:rFonts w:cs="David" w:hint="cs"/>
          <w:sz w:val="32"/>
          <w:szCs w:val="32"/>
          <w:rtl/>
        </w:rPr>
        <w:t>מהרשתות החברתיות בישראל</w:t>
      </w:r>
      <w:r>
        <w:rPr>
          <w:rFonts w:cs="David" w:hint="cs"/>
          <w:sz w:val="32"/>
          <w:szCs w:val="32"/>
          <w:rtl/>
        </w:rPr>
        <w:t>:</w:t>
      </w:r>
    </w:p>
    <w:p w:rsidR="00645167" w:rsidRDefault="00645167" w:rsidP="00645167">
      <w:pPr>
        <w:rPr>
          <w:rFonts w:cs="David"/>
          <w:sz w:val="32"/>
          <w:szCs w:val="32"/>
          <w:rtl/>
        </w:rPr>
      </w:pPr>
    </w:p>
    <w:p w:rsidR="00645167" w:rsidRDefault="00645167" w:rsidP="00633618">
      <w:pPr>
        <w:rPr>
          <w:rFonts w:cs="David"/>
          <w:sz w:val="32"/>
          <w:szCs w:val="32"/>
          <w:rtl/>
        </w:rPr>
      </w:pPr>
      <w:r w:rsidRPr="008E6B81">
        <w:rPr>
          <w:rFonts w:cs="David"/>
          <w:noProof/>
          <w:sz w:val="28"/>
          <w:szCs w:val="28"/>
        </w:rPr>
        <w:drawing>
          <wp:inline distT="0" distB="0" distL="0" distR="0" wp14:anchorId="456F4052" wp14:editId="5803704A">
            <wp:extent cx="2527406" cy="1114425"/>
            <wp:effectExtent l="95250" t="114300" r="101600" b="1047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4"/>
                    <a:stretch>
                      <a:fillRect/>
                    </a:stretch>
                  </pic:blipFill>
                  <pic:spPr>
                    <a:xfrm>
                      <a:off x="0" y="0"/>
                      <a:ext cx="2531629" cy="1116287"/>
                    </a:xfrm>
                    <a:prstGeom prst="rect">
                      <a:avLst/>
                    </a:prstGeom>
                    <a:effectLst>
                      <a:glow rad="101600">
                        <a:schemeClr val="accent5">
                          <a:lumMod val="50000"/>
                          <a:alpha val="60000"/>
                        </a:schemeClr>
                      </a:glow>
                    </a:effectLst>
                  </pic:spPr>
                </pic:pic>
              </a:graphicData>
            </a:graphic>
          </wp:inline>
        </w:drawing>
      </w:r>
      <w:r w:rsidR="00633618" w:rsidRPr="00633618">
        <w:rPr>
          <w:noProof/>
        </w:rPr>
        <w:t xml:space="preserve"> </w:t>
      </w:r>
    </w:p>
    <w:p w:rsidR="00645167" w:rsidRDefault="00645167" w:rsidP="00645167">
      <w:pPr>
        <w:rPr>
          <w:rFonts w:cs="David"/>
          <w:sz w:val="32"/>
          <w:szCs w:val="32"/>
          <w:rtl/>
        </w:rPr>
      </w:pPr>
      <w:r w:rsidRPr="008E6B81">
        <w:rPr>
          <w:rFonts w:cs="David"/>
          <w:noProof/>
          <w:sz w:val="28"/>
          <w:szCs w:val="28"/>
        </w:rPr>
        <w:drawing>
          <wp:inline distT="0" distB="0" distL="0" distR="0" wp14:anchorId="16F7B34F" wp14:editId="37A68ACF">
            <wp:extent cx="2775585" cy="942975"/>
            <wp:effectExtent l="95250" t="114300" r="100965" b="1238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5"/>
                    <a:srcRect l="4831" t="20254" r="681" b="8860"/>
                    <a:stretch/>
                  </pic:blipFill>
                  <pic:spPr>
                    <a:xfrm>
                      <a:off x="0" y="0"/>
                      <a:ext cx="2779329" cy="944247"/>
                    </a:xfrm>
                    <a:prstGeom prst="rect">
                      <a:avLst/>
                    </a:prstGeom>
                    <a:effectLst>
                      <a:glow rad="101600">
                        <a:schemeClr val="accent5">
                          <a:lumMod val="50000"/>
                          <a:alpha val="60000"/>
                        </a:schemeClr>
                      </a:glow>
                    </a:effectLst>
                  </pic:spPr>
                </pic:pic>
              </a:graphicData>
            </a:graphic>
          </wp:inline>
        </w:drawing>
      </w:r>
    </w:p>
    <w:p w:rsidR="00645167" w:rsidRDefault="00645167" w:rsidP="00645167">
      <w:pPr>
        <w:rPr>
          <w:rFonts w:cs="David"/>
          <w:sz w:val="32"/>
          <w:szCs w:val="32"/>
          <w:rtl/>
        </w:rPr>
      </w:pPr>
      <w:r>
        <w:rPr>
          <w:rFonts w:cs="David"/>
          <w:noProof/>
          <w:sz w:val="28"/>
          <w:szCs w:val="28"/>
        </w:rPr>
        <mc:AlternateContent>
          <mc:Choice Requires="wps">
            <w:drawing>
              <wp:anchor distT="0" distB="0" distL="114300" distR="114300" simplePos="0" relativeHeight="251659264" behindDoc="0" locked="0" layoutInCell="1" allowOverlap="1" wp14:anchorId="0B27E804" wp14:editId="14FC9981">
                <wp:simplePos x="0" y="0"/>
                <wp:positionH relativeFrom="column">
                  <wp:posOffset>323850</wp:posOffset>
                </wp:positionH>
                <wp:positionV relativeFrom="paragraph">
                  <wp:posOffset>42545</wp:posOffset>
                </wp:positionV>
                <wp:extent cx="4950460" cy="1123950"/>
                <wp:effectExtent l="57150" t="114300" r="116840" b="57150"/>
                <wp:wrapNone/>
                <wp:docPr id="5" name="מלבן 5"/>
                <wp:cNvGraphicFramePr/>
                <a:graphic xmlns:a="http://schemas.openxmlformats.org/drawingml/2006/main">
                  <a:graphicData uri="http://schemas.microsoft.com/office/word/2010/wordprocessingShape">
                    <wps:wsp>
                      <wps:cNvSpPr/>
                      <wps:spPr>
                        <a:xfrm>
                          <a:off x="0" y="0"/>
                          <a:ext cx="4950460" cy="1123950"/>
                        </a:xfrm>
                        <a:prstGeom prst="rect">
                          <a:avLst/>
                        </a:prstGeom>
                        <a:noFill/>
                        <a:ln w="28575">
                          <a:solidFill>
                            <a:schemeClr val="accent1">
                              <a:lumMod val="60000"/>
                              <a:lumOff val="40000"/>
                            </a:schemeClr>
                          </a:solidFill>
                        </a:ln>
                        <a:effectLst>
                          <a:outerShdw blurRad="50800" dist="38100" dir="18900000" algn="b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EC85" id="מלבן 5" o:spid="_x0000_s1026" style="position:absolute;left:0;text-align:left;margin-left:25.5pt;margin-top:3.35pt;width:389.8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" filled="f" strokecolor="#9cc2e5 [1940]" strokeweight="2.25pt">
                <v:shadow on="t" color="black" opacity="26214f" origin="-.5,.5" offset=".74836mm,-.74836mm"/>
              </v:rect>
            </w:pict>
          </mc:Fallback>
        </mc:AlternateContent>
      </w:r>
      <w:r w:rsidRPr="008E6B81">
        <w:rPr>
          <w:rFonts w:cs="David"/>
          <w:noProof/>
          <w:sz w:val="28"/>
          <w:szCs w:val="28"/>
        </w:rPr>
        <w:drawing>
          <wp:inline distT="0" distB="0" distL="0" distR="0" wp14:anchorId="3999983F" wp14:editId="54726D12">
            <wp:extent cx="4943475" cy="1162050"/>
            <wp:effectExtent l="0" t="0" r="9525" b="0"/>
            <wp:docPr id="11" name="תמונה 6"/>
            <wp:cNvGraphicFramePr/>
            <a:graphic xmlns:a="http://schemas.openxmlformats.org/drawingml/2006/main">
              <a:graphicData uri="http://schemas.openxmlformats.org/drawingml/2006/picture">
                <pic:pic xmlns:pic="http://schemas.openxmlformats.org/drawingml/2006/picture">
                  <pic:nvPicPr>
                    <pic:cNvPr id="7" name="תמונה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3475" cy="1162050"/>
                    </a:xfrm>
                    <a:prstGeom prst="rect">
                      <a:avLst/>
                    </a:prstGeom>
                    <a:noFill/>
                    <a:ln>
                      <a:noFill/>
                    </a:ln>
                    <a:effectLst/>
                  </pic:spPr>
                </pic:pic>
              </a:graphicData>
            </a:graphic>
          </wp:inline>
        </w:drawing>
      </w:r>
    </w:p>
    <w:p w:rsidR="00645167" w:rsidRDefault="00645167" w:rsidP="00645167">
      <w:pPr>
        <w:rPr>
          <w:rFonts w:cs="David"/>
          <w:sz w:val="32"/>
          <w:szCs w:val="32"/>
          <w:rtl/>
        </w:rPr>
      </w:pPr>
    </w:p>
    <w:p w:rsidR="00645167" w:rsidRPr="00FC77F0" w:rsidRDefault="00645167" w:rsidP="00645167">
      <w:pPr>
        <w:rPr>
          <w:rFonts w:cs="David"/>
          <w:sz w:val="32"/>
          <w:szCs w:val="32"/>
          <w:rtl/>
        </w:rPr>
      </w:pPr>
      <w:r w:rsidRPr="00F827EC">
        <w:rPr>
          <w:rFonts w:cs="David"/>
          <w:noProof/>
          <w:sz w:val="28"/>
          <w:szCs w:val="28"/>
        </w:rPr>
        <w:drawing>
          <wp:inline distT="0" distB="0" distL="0" distR="0" wp14:anchorId="44CF309E" wp14:editId="5B88F883">
            <wp:extent cx="5093335" cy="935355"/>
            <wp:effectExtent l="0" t="0" r="0" b="0"/>
            <wp:docPr id="12" name="תמונה 4"/>
            <wp:cNvGraphicFramePr/>
            <a:graphic xmlns:a="http://schemas.openxmlformats.org/drawingml/2006/main">
              <a:graphicData uri="http://schemas.openxmlformats.org/drawingml/2006/picture">
                <pic:pic xmlns:pic="http://schemas.openxmlformats.org/drawingml/2006/picture">
                  <pic:nvPicPr>
                    <pic:cNvPr id="5" name="תמונה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3335" cy="935355"/>
                    </a:xfrm>
                    <a:prstGeom prst="rect">
                      <a:avLst/>
                    </a:prstGeom>
                    <a:noFill/>
                    <a:ln>
                      <a:noFill/>
                    </a:ln>
                    <a:effectLst/>
                  </pic:spPr>
                </pic:pic>
              </a:graphicData>
            </a:graphic>
          </wp:inline>
        </w:drawing>
      </w:r>
      <w:r>
        <w:rPr>
          <w:rFonts w:cs="David"/>
          <w:noProof/>
          <w:sz w:val="28"/>
          <w:szCs w:val="28"/>
        </w:rPr>
        <mc:AlternateContent>
          <mc:Choice Requires="wps">
            <w:drawing>
              <wp:anchor distT="0" distB="0" distL="114300" distR="114300" simplePos="0" relativeHeight="251660288" behindDoc="0" locked="0" layoutInCell="1" allowOverlap="1" wp14:anchorId="30B28EA2" wp14:editId="4D16BCE9">
                <wp:simplePos x="0" y="0"/>
                <wp:positionH relativeFrom="column">
                  <wp:posOffset>180975</wp:posOffset>
                </wp:positionH>
                <wp:positionV relativeFrom="paragraph">
                  <wp:posOffset>-635</wp:posOffset>
                </wp:positionV>
                <wp:extent cx="5093335" cy="914400"/>
                <wp:effectExtent l="0" t="0" r="12065" b="19050"/>
                <wp:wrapNone/>
                <wp:docPr id="9" name="מלבן 9"/>
                <wp:cNvGraphicFramePr/>
                <a:graphic xmlns:a="http://schemas.openxmlformats.org/drawingml/2006/main">
                  <a:graphicData uri="http://schemas.microsoft.com/office/word/2010/wordprocessingShape">
                    <wps:wsp>
                      <wps:cNvSpPr/>
                      <wps:spPr>
                        <a:xfrm>
                          <a:off x="0" y="0"/>
                          <a:ext cx="5093335" cy="914400"/>
                        </a:xfrm>
                        <a:prstGeom prst="rect">
                          <a:avLst/>
                        </a:prstGeom>
                        <a:noFill/>
                        <a:ln cmpd="sng">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9A4B6D" id="מלבן 9" o:spid="_x0000_s1026" style="position:absolute;left:0;text-align:left;margin-left:14.25pt;margin-top:-.05pt;width:401.0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" filled="f" strokecolor="#9cc2e5 [1940]" strokeweight="1pt"/>
            </w:pict>
          </mc:Fallback>
        </mc:AlternateContent>
      </w:r>
    </w:p>
    <w:p w:rsidR="00645167" w:rsidRDefault="00633618" w:rsidP="00633618">
      <w:pPr>
        <w:pStyle w:val="a6"/>
        <w:spacing w:line="360" w:lineRule="auto"/>
        <w:ind w:left="0"/>
        <w:jc w:val="both"/>
        <w:rPr>
          <w:rFonts w:cs="David"/>
          <w:sz w:val="28"/>
          <w:szCs w:val="28"/>
          <w:rtl/>
        </w:rPr>
      </w:pPr>
      <w:r w:rsidRPr="00633618">
        <w:rPr>
          <w:rFonts w:cs="David"/>
          <w:noProof/>
          <w:sz w:val="28"/>
          <w:szCs w:val="28"/>
        </w:rPr>
        <w:drawing>
          <wp:inline distT="0" distB="0" distL="0" distR="0" wp14:anchorId="1CE635B6" wp14:editId="18013095">
            <wp:extent cx="3409534" cy="1057275"/>
            <wp:effectExtent l="0" t="0" r="635" b="0"/>
            <wp:docPr id="30" name="תמונה 7"/>
            <wp:cNvGraphicFramePr/>
            <a:graphic xmlns:a="http://schemas.openxmlformats.org/drawingml/2006/main">
              <a:graphicData uri="http://schemas.openxmlformats.org/drawingml/2006/picture">
                <pic:pic xmlns:pic="http://schemas.openxmlformats.org/drawingml/2006/picture">
                  <pic:nvPicPr>
                    <pic:cNvPr id="8" name="תמונה 7"/>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0697" cy="1060736"/>
                    </a:xfrm>
                    <a:prstGeom prst="rect">
                      <a:avLst/>
                    </a:prstGeom>
                    <a:noFill/>
                    <a:ln>
                      <a:noFill/>
                    </a:ln>
                    <a:effectLst/>
                  </pic:spPr>
                </pic:pic>
              </a:graphicData>
            </a:graphic>
          </wp:inline>
        </w:drawing>
      </w:r>
      <w:r w:rsidRPr="00633618">
        <w:rPr>
          <w:noProof/>
        </w:rPr>
        <w:t xml:space="preserve"> </w:t>
      </w:r>
    </w:p>
    <w:p w:rsidR="003C69F2" w:rsidRDefault="003C69F2" w:rsidP="00633618">
      <w:pPr>
        <w:pStyle w:val="a6"/>
        <w:spacing w:line="360" w:lineRule="auto"/>
        <w:ind w:left="0"/>
        <w:jc w:val="both"/>
        <w:rPr>
          <w:rFonts w:cs="David"/>
          <w:sz w:val="28"/>
          <w:szCs w:val="28"/>
          <w:rtl/>
        </w:rPr>
      </w:pPr>
    </w:p>
    <w:p w:rsidR="003C69F2" w:rsidRDefault="003C69F2" w:rsidP="00633618">
      <w:pPr>
        <w:pStyle w:val="a6"/>
        <w:spacing w:line="360" w:lineRule="auto"/>
        <w:ind w:left="0"/>
        <w:jc w:val="both"/>
        <w:rPr>
          <w:rFonts w:cs="David"/>
          <w:sz w:val="28"/>
          <w:szCs w:val="28"/>
          <w:rtl/>
        </w:rPr>
      </w:pPr>
    </w:p>
    <w:p w:rsidR="003C69F2" w:rsidRPr="00EF4C38" w:rsidRDefault="003C69F2" w:rsidP="003C69F2">
      <w:pPr>
        <w:jc w:val="both"/>
        <w:rPr>
          <w:rFonts w:cs="David"/>
          <w:b/>
          <w:bCs/>
          <w:sz w:val="36"/>
          <w:szCs w:val="36"/>
          <w:rtl/>
        </w:rPr>
      </w:pPr>
      <w:r>
        <w:rPr>
          <w:rFonts w:cs="David" w:hint="cs"/>
          <w:b/>
          <w:bCs/>
          <w:sz w:val="36"/>
          <w:szCs w:val="36"/>
          <w:rtl/>
        </w:rPr>
        <w:lastRenderedPageBreak/>
        <w:t>מקורות</w:t>
      </w:r>
    </w:p>
    <w:p w:rsidR="003C69F2" w:rsidRPr="00003CFD" w:rsidRDefault="003C69F2" w:rsidP="003C69F2">
      <w:pPr>
        <w:jc w:val="both"/>
        <w:rPr>
          <w:rFonts w:cs="David"/>
          <w:sz w:val="28"/>
          <w:szCs w:val="28"/>
          <w:rtl/>
        </w:rPr>
      </w:pP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אגמון-גונן מיכל, האינטרנט כעיר מקלט ?! הסדרה משפטית לאור אפשרויות העקיפה הטכנולוגיות וגלובליות הרשת, עמ' 244-207, בתוך: אלקין-קורן ובירנהק מיכאל (ער'), </w:t>
      </w:r>
      <w:r w:rsidRPr="00B91731">
        <w:rPr>
          <w:rFonts w:cs="David" w:hint="cs"/>
          <w:b/>
          <w:bCs/>
          <w:sz w:val="28"/>
          <w:szCs w:val="28"/>
          <w:rtl/>
        </w:rPr>
        <w:t>רשת משפטית: משפט וטכנולוגית מידע</w:t>
      </w:r>
      <w:r w:rsidRPr="00B91731">
        <w:rPr>
          <w:rFonts w:cs="David" w:hint="cs"/>
          <w:sz w:val="28"/>
          <w:szCs w:val="28"/>
          <w:rtl/>
        </w:rPr>
        <w:t>, תל אביב: הפקולטה למשפטים, (2011)</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אלקין</w:t>
      </w:r>
      <w:r>
        <w:rPr>
          <w:rFonts w:cs="David" w:hint="cs"/>
          <w:sz w:val="28"/>
          <w:szCs w:val="28"/>
          <w:rtl/>
        </w:rPr>
        <w:t xml:space="preserve">-קורן ניבה, </w:t>
      </w:r>
      <w:r w:rsidRPr="00B91731">
        <w:rPr>
          <w:rFonts w:cs="David" w:hint="cs"/>
          <w:sz w:val="28"/>
          <w:szCs w:val="28"/>
          <w:rtl/>
        </w:rPr>
        <w:t xml:space="preserve">המתווכים החדשים "בכיכר השוק" הוירטואלית, </w:t>
      </w:r>
      <w:r w:rsidRPr="00B91731">
        <w:rPr>
          <w:rFonts w:cs="David" w:hint="cs"/>
          <w:b/>
          <w:bCs/>
          <w:sz w:val="28"/>
          <w:szCs w:val="28"/>
          <w:rtl/>
        </w:rPr>
        <w:t>משפט וממשל</w:t>
      </w:r>
      <w:r>
        <w:rPr>
          <w:rFonts w:cs="David" w:hint="cs"/>
          <w:b/>
          <w:bCs/>
          <w:sz w:val="28"/>
          <w:szCs w:val="28"/>
          <w:rtl/>
        </w:rPr>
        <w:t>,</w:t>
      </w:r>
      <w:r w:rsidRPr="00B91731">
        <w:rPr>
          <w:rFonts w:cs="David" w:hint="cs"/>
          <w:b/>
          <w:bCs/>
          <w:sz w:val="28"/>
          <w:szCs w:val="28"/>
          <w:rtl/>
        </w:rPr>
        <w:t xml:space="preserve"> </w:t>
      </w:r>
      <w:r w:rsidRPr="00A84EA7">
        <w:rPr>
          <w:rFonts w:cs="David" w:hint="cs"/>
          <w:sz w:val="28"/>
          <w:szCs w:val="28"/>
          <w:rtl/>
        </w:rPr>
        <w:t>ו</w:t>
      </w:r>
      <w:r w:rsidRPr="00B91731">
        <w:rPr>
          <w:rFonts w:cs="David" w:hint="cs"/>
          <w:sz w:val="28"/>
          <w:szCs w:val="28"/>
          <w:rtl/>
        </w:rPr>
        <w:t>, עמ' 420-381</w:t>
      </w:r>
      <w:r>
        <w:rPr>
          <w:rFonts w:cs="David" w:hint="cs"/>
          <w:sz w:val="28"/>
          <w:szCs w:val="28"/>
          <w:rtl/>
        </w:rPr>
        <w:t xml:space="preserve"> (2003).</w:t>
      </w:r>
    </w:p>
    <w:p w:rsidR="003C69F2" w:rsidRPr="00B91731" w:rsidRDefault="003C69F2" w:rsidP="003C69F2">
      <w:pPr>
        <w:spacing w:line="360" w:lineRule="auto"/>
        <w:jc w:val="both"/>
        <w:rPr>
          <w:rFonts w:cs="David"/>
          <w:sz w:val="28"/>
          <w:szCs w:val="28"/>
        </w:rPr>
      </w:pPr>
      <w:r w:rsidRPr="00B91731">
        <w:rPr>
          <w:rFonts w:cs="David" w:hint="cs"/>
          <w:sz w:val="28"/>
          <w:szCs w:val="28"/>
          <w:rtl/>
        </w:rPr>
        <w:t>בירנהק מיכאל</w:t>
      </w:r>
      <w:r>
        <w:rPr>
          <w:rFonts w:cs="David" w:hint="cs"/>
          <w:sz w:val="28"/>
          <w:szCs w:val="28"/>
          <w:rtl/>
        </w:rPr>
        <w:t xml:space="preserve">, </w:t>
      </w:r>
      <w:r w:rsidRPr="00B91731">
        <w:rPr>
          <w:rFonts w:cs="David" w:hint="cs"/>
          <w:sz w:val="28"/>
          <w:szCs w:val="28"/>
          <w:rtl/>
        </w:rPr>
        <w:t xml:space="preserve">חורים ברשת: פורנוגרפיה, מידע ועיצוב מדיניות בסביבה הדיגיטלית, </w:t>
      </w:r>
      <w:r w:rsidRPr="00632FD6">
        <w:rPr>
          <w:rFonts w:cs="David" w:hint="cs"/>
          <w:b/>
          <w:bCs/>
          <w:sz w:val="28"/>
          <w:szCs w:val="28"/>
          <w:rtl/>
        </w:rPr>
        <w:t>פוליטיקה</w:t>
      </w:r>
      <w:r w:rsidRPr="00B91731">
        <w:rPr>
          <w:rFonts w:cs="David" w:hint="cs"/>
          <w:sz w:val="28"/>
          <w:szCs w:val="28"/>
          <w:rtl/>
        </w:rPr>
        <w:t>, כתב עת ישראלי למדע המדינה ויחסים בינלאומיים, חוברת 13, חופש הביטוי</w:t>
      </w:r>
      <w:r>
        <w:rPr>
          <w:rFonts w:cs="David" w:hint="cs"/>
          <w:sz w:val="28"/>
          <w:szCs w:val="28"/>
          <w:rtl/>
        </w:rPr>
        <w:t>,</w:t>
      </w:r>
      <w:r w:rsidRPr="00B91731">
        <w:rPr>
          <w:rFonts w:cs="David" w:hint="cs"/>
          <w:sz w:val="28"/>
          <w:szCs w:val="28"/>
          <w:rtl/>
        </w:rPr>
        <w:t xml:space="preserve"> עמ' </w:t>
      </w:r>
      <w:r>
        <w:rPr>
          <w:rFonts w:cs="David" w:hint="cs"/>
          <w:sz w:val="28"/>
          <w:szCs w:val="28"/>
          <w:rtl/>
        </w:rPr>
        <w:t>125-101 (2005).</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בירנהק מיכאל, אתיקה עיתונאית ברשת: על הסדרה פרטית, חופש העיתונות, כוח ותחרות, </w:t>
      </w:r>
      <w:r w:rsidRPr="00632FD6">
        <w:rPr>
          <w:rFonts w:cs="David" w:hint="cs"/>
          <w:b/>
          <w:bCs/>
          <w:sz w:val="28"/>
          <w:szCs w:val="28"/>
          <w:rtl/>
        </w:rPr>
        <w:t>פתו"ח</w:t>
      </w:r>
      <w:r>
        <w:rPr>
          <w:rFonts w:cs="David" w:hint="cs"/>
          <w:sz w:val="28"/>
          <w:szCs w:val="28"/>
          <w:rtl/>
        </w:rPr>
        <w:t xml:space="preserve">, 5, עמ' 214-173 </w:t>
      </w:r>
      <w:r w:rsidRPr="00B91731">
        <w:rPr>
          <w:rFonts w:cs="David" w:hint="cs"/>
          <w:sz w:val="28"/>
          <w:szCs w:val="28"/>
          <w:rtl/>
        </w:rPr>
        <w:t>(2003)</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ברזילי-נהון קרין וברזילי גד, חופש הביטוי המעשי והמדומיין באינטרנט: על בטלותה והולדתה המחודשת של הצנזורה, עמ' 510-483, בתוך: בירנהק מיכאל (ער'), </w:t>
      </w:r>
      <w:r w:rsidRPr="00B91731">
        <w:rPr>
          <w:rFonts w:cs="David" w:hint="cs"/>
          <w:b/>
          <w:bCs/>
          <w:sz w:val="28"/>
          <w:szCs w:val="28"/>
          <w:rtl/>
        </w:rPr>
        <w:t>שקט, מדברים! התרבות המשפטית של חופש הביטוי בישראל</w:t>
      </w:r>
      <w:r w:rsidRPr="00B91731">
        <w:rPr>
          <w:rFonts w:cs="David" w:hint="cs"/>
          <w:sz w:val="28"/>
          <w:szCs w:val="28"/>
          <w:rtl/>
        </w:rPr>
        <w:t>, תל אביב: הפקולטה למשפטים ע"ש בוכמן (2006).</w:t>
      </w:r>
    </w:p>
    <w:p w:rsidR="003C69F2" w:rsidRPr="00B91731" w:rsidRDefault="003C69F2" w:rsidP="003C69F2">
      <w:pPr>
        <w:spacing w:line="360" w:lineRule="auto"/>
        <w:jc w:val="both"/>
        <w:rPr>
          <w:rFonts w:cs="David"/>
          <w:sz w:val="28"/>
          <w:szCs w:val="28"/>
        </w:rPr>
      </w:pPr>
      <w:r w:rsidRPr="00B91731">
        <w:rPr>
          <w:rFonts w:cs="David" w:hint="cs"/>
          <w:sz w:val="28"/>
          <w:szCs w:val="28"/>
          <w:rtl/>
        </w:rPr>
        <w:t>ברק אהרון</w:t>
      </w:r>
      <w:r>
        <w:rPr>
          <w:rFonts w:cs="David" w:hint="cs"/>
          <w:sz w:val="28"/>
          <w:szCs w:val="28"/>
          <w:rtl/>
        </w:rPr>
        <w:t>,</w:t>
      </w:r>
      <w:r w:rsidRPr="00B91731">
        <w:rPr>
          <w:rFonts w:cs="David" w:hint="cs"/>
          <w:sz w:val="28"/>
          <w:szCs w:val="28"/>
          <w:rtl/>
        </w:rPr>
        <w:t xml:space="preserve"> המסורת של חופש הביטוי בישראל ובעיותיה, </w:t>
      </w:r>
      <w:r w:rsidRPr="00632FD6">
        <w:rPr>
          <w:rFonts w:cs="David" w:hint="cs"/>
          <w:b/>
          <w:bCs/>
          <w:sz w:val="28"/>
          <w:szCs w:val="28"/>
          <w:rtl/>
        </w:rPr>
        <w:t>משפטים</w:t>
      </w:r>
      <w:r>
        <w:rPr>
          <w:rFonts w:cs="David" w:hint="cs"/>
          <w:b/>
          <w:bCs/>
          <w:sz w:val="28"/>
          <w:szCs w:val="28"/>
          <w:rtl/>
        </w:rPr>
        <w:t>,</w:t>
      </w:r>
      <w:r w:rsidRPr="00632FD6">
        <w:rPr>
          <w:rFonts w:cs="David" w:hint="cs"/>
          <w:b/>
          <w:bCs/>
          <w:sz w:val="28"/>
          <w:szCs w:val="28"/>
          <w:rtl/>
        </w:rPr>
        <w:t xml:space="preserve"> </w:t>
      </w:r>
      <w:r w:rsidRPr="00A84EA7">
        <w:rPr>
          <w:rFonts w:cs="David" w:hint="cs"/>
          <w:sz w:val="28"/>
          <w:szCs w:val="28"/>
          <w:rtl/>
        </w:rPr>
        <w:t>כ"ז</w:t>
      </w:r>
      <w:r w:rsidRPr="00B91731">
        <w:rPr>
          <w:rFonts w:cs="David" w:hint="cs"/>
          <w:sz w:val="28"/>
          <w:szCs w:val="28"/>
          <w:rtl/>
        </w:rPr>
        <w:t xml:space="preserve">, </w:t>
      </w:r>
      <w:r>
        <w:rPr>
          <w:rFonts w:cs="David"/>
          <w:sz w:val="28"/>
          <w:szCs w:val="28"/>
          <w:rtl/>
        </w:rPr>
        <w:br/>
      </w:r>
      <w:r w:rsidRPr="00B91731">
        <w:rPr>
          <w:rFonts w:cs="David" w:hint="cs"/>
          <w:sz w:val="28"/>
          <w:szCs w:val="28"/>
          <w:rtl/>
        </w:rPr>
        <w:t>עמ' 248-223</w:t>
      </w:r>
      <w:r>
        <w:rPr>
          <w:rFonts w:cs="David" w:hint="cs"/>
          <w:sz w:val="28"/>
          <w:szCs w:val="28"/>
          <w:rtl/>
        </w:rPr>
        <w:t xml:space="preserve"> (1996).</w:t>
      </w:r>
    </w:p>
    <w:p w:rsidR="003C69F2" w:rsidRPr="00B91731" w:rsidRDefault="003C69F2" w:rsidP="003C69F2">
      <w:pPr>
        <w:spacing w:line="360" w:lineRule="auto"/>
        <w:jc w:val="both"/>
        <w:rPr>
          <w:rFonts w:cs="David"/>
          <w:sz w:val="28"/>
          <w:szCs w:val="28"/>
        </w:rPr>
      </w:pPr>
      <w:r w:rsidRPr="00B91731">
        <w:rPr>
          <w:rFonts w:cs="David" w:hint="cs"/>
          <w:sz w:val="28"/>
          <w:szCs w:val="28"/>
          <w:rtl/>
        </w:rPr>
        <w:t>ברק-ארז דפנה וזכריה דודי, הסתה לטרור וגבולות חופש הביטוי: בין הגבלות ישירות להגבלות עקי</w:t>
      </w:r>
      <w:r>
        <w:rPr>
          <w:rFonts w:cs="David" w:hint="cs"/>
          <w:sz w:val="28"/>
          <w:szCs w:val="28"/>
          <w:rtl/>
        </w:rPr>
        <w:t xml:space="preserve">פות, </w:t>
      </w:r>
      <w:r w:rsidRPr="00A84EA7">
        <w:rPr>
          <w:rFonts w:cs="David" w:hint="cs"/>
          <w:b/>
          <w:bCs/>
          <w:sz w:val="28"/>
          <w:szCs w:val="28"/>
          <w:rtl/>
        </w:rPr>
        <w:t>עיוני משפט</w:t>
      </w:r>
      <w:r>
        <w:rPr>
          <w:rFonts w:cs="David" w:hint="cs"/>
          <w:b/>
          <w:bCs/>
          <w:sz w:val="28"/>
          <w:szCs w:val="28"/>
          <w:rtl/>
        </w:rPr>
        <w:t>,</w:t>
      </w:r>
      <w:r>
        <w:rPr>
          <w:rFonts w:cs="David" w:hint="cs"/>
          <w:sz w:val="28"/>
          <w:szCs w:val="28"/>
          <w:rtl/>
        </w:rPr>
        <w:t xml:space="preserve"> לה, עמ' 586-555 (2012).</w:t>
      </w:r>
    </w:p>
    <w:p w:rsidR="003C69F2" w:rsidRDefault="003C69F2" w:rsidP="003C69F2">
      <w:pPr>
        <w:spacing w:line="360" w:lineRule="auto"/>
        <w:jc w:val="both"/>
        <w:rPr>
          <w:rFonts w:cs="David"/>
          <w:sz w:val="28"/>
          <w:szCs w:val="28"/>
          <w:rtl/>
        </w:rPr>
      </w:pPr>
      <w:r w:rsidRPr="00B91731">
        <w:rPr>
          <w:rFonts w:cs="David" w:hint="cs"/>
          <w:sz w:val="28"/>
          <w:szCs w:val="28"/>
          <w:rtl/>
        </w:rPr>
        <w:t>גולדשמידט רועי</w:t>
      </w:r>
      <w:r>
        <w:rPr>
          <w:rFonts w:cs="David" w:hint="cs"/>
          <w:sz w:val="28"/>
          <w:szCs w:val="28"/>
          <w:rtl/>
        </w:rPr>
        <w:t>,</w:t>
      </w:r>
      <w:r w:rsidRPr="00B91731">
        <w:rPr>
          <w:rFonts w:cs="David" w:hint="cs"/>
          <w:sz w:val="28"/>
          <w:szCs w:val="28"/>
          <w:rtl/>
        </w:rPr>
        <w:t xml:space="preserve"> מקומם של הטוקבקים בשיח הציבורי</w:t>
      </w:r>
      <w:r>
        <w:rPr>
          <w:rFonts w:cs="David" w:hint="cs"/>
          <w:sz w:val="28"/>
          <w:szCs w:val="28"/>
          <w:rtl/>
        </w:rPr>
        <w:t xml:space="preserve"> בישראל, </w:t>
      </w:r>
      <w:r>
        <w:rPr>
          <w:rFonts w:cs="David" w:hint="cs"/>
          <w:b/>
          <w:bCs/>
          <w:sz w:val="28"/>
          <w:szCs w:val="28"/>
          <w:rtl/>
        </w:rPr>
        <w:t xml:space="preserve">ירושלים: </w:t>
      </w:r>
      <w:r w:rsidRPr="007E22AE">
        <w:rPr>
          <w:rFonts w:cs="David" w:hint="cs"/>
          <w:b/>
          <w:bCs/>
          <w:sz w:val="28"/>
          <w:szCs w:val="28"/>
          <w:rtl/>
        </w:rPr>
        <w:t>הכנסת-מחלקת מחקר ומידע</w:t>
      </w:r>
      <w:r>
        <w:rPr>
          <w:rFonts w:cs="David" w:hint="cs"/>
          <w:sz w:val="28"/>
          <w:szCs w:val="28"/>
          <w:rtl/>
        </w:rPr>
        <w:t>, (2006).</w:t>
      </w:r>
    </w:p>
    <w:p w:rsidR="003C69F2" w:rsidRPr="00B91731" w:rsidRDefault="003C69F2" w:rsidP="003C69F2">
      <w:pPr>
        <w:spacing w:line="360" w:lineRule="auto"/>
        <w:jc w:val="both"/>
        <w:rPr>
          <w:rFonts w:cs="David"/>
          <w:sz w:val="28"/>
          <w:szCs w:val="28"/>
        </w:rPr>
      </w:pPr>
      <w:r w:rsidRPr="00B91731">
        <w:rPr>
          <w:rFonts w:cs="David" w:hint="cs"/>
          <w:sz w:val="28"/>
          <w:szCs w:val="28"/>
          <w:rtl/>
        </w:rPr>
        <w:t>טל</w:t>
      </w:r>
      <w:r>
        <w:rPr>
          <w:rFonts w:cs="David" w:hint="cs"/>
          <w:sz w:val="28"/>
          <w:szCs w:val="28"/>
          <w:rtl/>
        </w:rPr>
        <w:t xml:space="preserve"> רביב</w:t>
      </w:r>
      <w:r w:rsidRPr="00B91731">
        <w:rPr>
          <w:rFonts w:cs="David" w:hint="cs"/>
          <w:sz w:val="28"/>
          <w:szCs w:val="28"/>
          <w:rtl/>
        </w:rPr>
        <w:t xml:space="preserve">, שיח שנאה ברשת, בתוך: מן רפי ולב-און אזי(ער'), </w:t>
      </w:r>
      <w:r w:rsidRPr="004202CA">
        <w:rPr>
          <w:rFonts w:cs="David" w:hint="cs"/>
          <w:b/>
          <w:bCs/>
          <w:sz w:val="28"/>
          <w:szCs w:val="28"/>
          <w:rtl/>
        </w:rPr>
        <w:t>דוח שנתי: התקשורת בישראל 2015 סדרי יום, שימושים ומגמות</w:t>
      </w:r>
      <w:r w:rsidRPr="00B91731">
        <w:rPr>
          <w:rFonts w:cs="David" w:hint="cs"/>
          <w:sz w:val="28"/>
          <w:szCs w:val="28"/>
          <w:rtl/>
        </w:rPr>
        <w:t xml:space="preserve">, </w:t>
      </w:r>
      <w:r>
        <w:rPr>
          <w:rFonts w:cs="David" w:hint="cs"/>
          <w:sz w:val="28"/>
          <w:szCs w:val="28"/>
          <w:rtl/>
        </w:rPr>
        <w:t xml:space="preserve">אריאל: </w:t>
      </w:r>
      <w:r w:rsidRPr="004202CA">
        <w:rPr>
          <w:rFonts w:cs="David" w:hint="cs"/>
          <w:sz w:val="28"/>
          <w:szCs w:val="28"/>
          <w:rtl/>
        </w:rPr>
        <w:t>אוניברסיטת אריאל בשומרון</w:t>
      </w:r>
      <w:r w:rsidRPr="00B91731">
        <w:rPr>
          <w:rFonts w:cs="David" w:hint="cs"/>
          <w:sz w:val="28"/>
          <w:szCs w:val="28"/>
          <w:rtl/>
        </w:rPr>
        <w:t xml:space="preserve"> (2015)</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כהן-אלמגור רפאל</w:t>
      </w:r>
      <w:r>
        <w:rPr>
          <w:rFonts w:cs="David" w:hint="cs"/>
          <w:sz w:val="28"/>
          <w:szCs w:val="28"/>
          <w:rtl/>
        </w:rPr>
        <w:t xml:space="preserve">, </w:t>
      </w:r>
      <w:r w:rsidRPr="007E22AE">
        <w:rPr>
          <w:rFonts w:cs="David" w:hint="cs"/>
          <w:b/>
          <w:bCs/>
          <w:sz w:val="28"/>
          <w:szCs w:val="28"/>
          <w:rtl/>
        </w:rPr>
        <w:t>המלכוד הדמוקרטי: חופש הביטוי וסייגיו</w:t>
      </w:r>
      <w:r w:rsidRPr="00B91731">
        <w:rPr>
          <w:rFonts w:cs="David" w:hint="cs"/>
          <w:sz w:val="28"/>
          <w:szCs w:val="28"/>
          <w:rtl/>
        </w:rPr>
        <w:t>, תל-אביב: ספריית מעריב</w:t>
      </w:r>
      <w:r>
        <w:rPr>
          <w:rFonts w:cs="David" w:hint="cs"/>
          <w:sz w:val="28"/>
          <w:szCs w:val="28"/>
          <w:rtl/>
        </w:rPr>
        <w:t xml:space="preserve"> (2007).</w:t>
      </w:r>
    </w:p>
    <w:p w:rsidR="003C69F2" w:rsidRPr="00B91731" w:rsidRDefault="003C69F2" w:rsidP="003C69F2">
      <w:pPr>
        <w:spacing w:line="360" w:lineRule="auto"/>
        <w:jc w:val="both"/>
        <w:rPr>
          <w:rFonts w:cs="David"/>
          <w:sz w:val="28"/>
          <w:szCs w:val="28"/>
        </w:rPr>
      </w:pPr>
      <w:r w:rsidRPr="00B91731">
        <w:rPr>
          <w:rFonts w:cs="David" w:hint="cs"/>
          <w:sz w:val="28"/>
          <w:szCs w:val="28"/>
          <w:rtl/>
        </w:rPr>
        <w:lastRenderedPageBreak/>
        <w:t>כהן-אלמגור רפאל</w:t>
      </w:r>
      <w:r>
        <w:rPr>
          <w:rFonts w:cs="David" w:hint="cs"/>
          <w:sz w:val="28"/>
          <w:szCs w:val="28"/>
          <w:rtl/>
        </w:rPr>
        <w:t>,</w:t>
      </w:r>
      <w:r w:rsidRPr="00B91731">
        <w:rPr>
          <w:rFonts w:cs="David" w:hint="cs"/>
          <w:sz w:val="28"/>
          <w:szCs w:val="28"/>
          <w:rtl/>
        </w:rPr>
        <w:t xml:space="preserve"> מדוע יש להוציא דברי הסתה מגדר עקרון חופש הביטוי, </w:t>
      </w:r>
      <w:r w:rsidRPr="007E22AE">
        <w:rPr>
          <w:rFonts w:cs="David" w:hint="cs"/>
          <w:b/>
          <w:bCs/>
          <w:sz w:val="28"/>
          <w:szCs w:val="28"/>
          <w:rtl/>
        </w:rPr>
        <w:t>מדינה וחברה</w:t>
      </w:r>
      <w:r w:rsidRPr="00B91731">
        <w:rPr>
          <w:rFonts w:cs="David" w:hint="cs"/>
          <w:sz w:val="28"/>
          <w:szCs w:val="28"/>
          <w:rtl/>
        </w:rPr>
        <w:t>, 3 (1) 584-561</w:t>
      </w:r>
      <w:r>
        <w:rPr>
          <w:rFonts w:cs="David" w:hint="cs"/>
          <w:sz w:val="28"/>
          <w:szCs w:val="28"/>
          <w:rtl/>
        </w:rPr>
        <w:t>, (2003).</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כהן אדר, מה עלינו לעשות כדי להיאבק בעמדות קיצוניות וגזעניות במערכת החינוך? </w:t>
      </w:r>
      <w:r w:rsidRPr="00B91731">
        <w:rPr>
          <w:rFonts w:cs="David" w:hint="cs"/>
          <w:b/>
          <w:bCs/>
          <w:sz w:val="28"/>
          <w:szCs w:val="28"/>
          <w:rtl/>
        </w:rPr>
        <w:t>בתוך: כנס דב לאוטמן למדיניות החינוך</w:t>
      </w:r>
      <w:r w:rsidRPr="00B91731">
        <w:rPr>
          <w:rFonts w:cs="David" w:hint="cs"/>
          <w:sz w:val="28"/>
          <w:szCs w:val="28"/>
          <w:rtl/>
        </w:rPr>
        <w:t>, ירושלים: המכון הישראלי לדמוקרטיה (2015)</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לביא אפרים, אלרן מאיר ואבו</w:t>
      </w:r>
      <w:r>
        <w:rPr>
          <w:rFonts w:cs="David" w:hint="cs"/>
          <w:sz w:val="28"/>
          <w:szCs w:val="28"/>
          <w:rtl/>
        </w:rPr>
        <w:t>-</w:t>
      </w:r>
      <w:r w:rsidRPr="00B91731">
        <w:rPr>
          <w:rFonts w:cs="David" w:hint="cs"/>
          <w:sz w:val="28"/>
          <w:szCs w:val="28"/>
          <w:rtl/>
        </w:rPr>
        <w:t xml:space="preserve">נסרה מחמד, תופעות שנאה וגזענות בין יהודים וערבים בישראל: מאפיינים, השלכות ודרכי התמודדות, הערכה אסטרטגית לישראל 2017-2016, </w:t>
      </w:r>
      <w:r>
        <w:rPr>
          <w:rFonts w:cs="David" w:hint="cs"/>
          <w:b/>
          <w:bCs/>
          <w:sz w:val="28"/>
          <w:szCs w:val="28"/>
          <w:rtl/>
        </w:rPr>
        <w:t xml:space="preserve">תל אביב: </w:t>
      </w:r>
      <w:r w:rsidRPr="00B91731">
        <w:rPr>
          <w:rFonts w:cs="David" w:hint="cs"/>
          <w:b/>
          <w:bCs/>
          <w:sz w:val="28"/>
          <w:szCs w:val="28"/>
          <w:rtl/>
        </w:rPr>
        <w:t>המכון למחקרי ביטחון לאומי</w:t>
      </w:r>
      <w:r w:rsidRPr="00B91731">
        <w:rPr>
          <w:rFonts w:cs="David" w:hint="cs"/>
          <w:sz w:val="28"/>
          <w:szCs w:val="28"/>
          <w:rtl/>
        </w:rPr>
        <w:t>, אוניברסיטת תל אביב (2016)</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מצא אליהו, ההסתברות שמילים תהרוגנה, יום עיון בנושא "חופש הביטוי על רקע תכנית ההתנתקות (עזה תחילה)", </w:t>
      </w:r>
      <w:r>
        <w:rPr>
          <w:rFonts w:cs="David" w:hint="cs"/>
          <w:b/>
          <w:bCs/>
          <w:sz w:val="28"/>
          <w:szCs w:val="28"/>
          <w:rtl/>
        </w:rPr>
        <w:t xml:space="preserve">חיפה: </w:t>
      </w:r>
      <w:r w:rsidRPr="00396EA7">
        <w:rPr>
          <w:rFonts w:cs="David" w:hint="cs"/>
          <w:b/>
          <w:bCs/>
          <w:sz w:val="28"/>
          <w:szCs w:val="28"/>
          <w:rtl/>
        </w:rPr>
        <w:t>אוניברסיטת חיפה</w:t>
      </w:r>
      <w:r w:rsidRPr="00B91731">
        <w:rPr>
          <w:rFonts w:cs="David" w:hint="cs"/>
          <w:sz w:val="28"/>
          <w:szCs w:val="28"/>
          <w:rtl/>
        </w:rPr>
        <w:t xml:space="preserve"> (2005)</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נגבי עירית</w:t>
      </w:r>
      <w:r>
        <w:rPr>
          <w:rFonts w:cs="David" w:hint="cs"/>
          <w:sz w:val="28"/>
          <w:szCs w:val="28"/>
          <w:rtl/>
        </w:rPr>
        <w:t xml:space="preserve">, </w:t>
      </w:r>
      <w:r w:rsidRPr="00B91731">
        <w:rPr>
          <w:rFonts w:cs="David" w:hint="cs"/>
          <w:sz w:val="28"/>
          <w:szCs w:val="28"/>
          <w:rtl/>
        </w:rPr>
        <w:t xml:space="preserve">המרשתת, מיזוגיניה וחופש הביטוי, </w:t>
      </w:r>
      <w:r w:rsidRPr="00B91731">
        <w:rPr>
          <w:rFonts w:cs="David" w:hint="cs"/>
          <w:b/>
          <w:bCs/>
          <w:sz w:val="28"/>
          <w:szCs w:val="28"/>
          <w:rtl/>
        </w:rPr>
        <w:t>משפט וממשל</w:t>
      </w:r>
      <w:r w:rsidRPr="00B91731">
        <w:rPr>
          <w:rFonts w:cs="David" w:hint="cs"/>
          <w:sz w:val="28"/>
          <w:szCs w:val="28"/>
          <w:rtl/>
        </w:rPr>
        <w:t xml:space="preserve">, 15, </w:t>
      </w:r>
      <w:r>
        <w:rPr>
          <w:rFonts w:cs="David"/>
          <w:sz w:val="28"/>
          <w:szCs w:val="28"/>
          <w:rtl/>
        </w:rPr>
        <w:br/>
      </w:r>
      <w:r w:rsidRPr="00B91731">
        <w:rPr>
          <w:rFonts w:cs="David" w:hint="cs"/>
          <w:sz w:val="28"/>
          <w:szCs w:val="28"/>
          <w:rtl/>
        </w:rPr>
        <w:t xml:space="preserve">עמ' </w:t>
      </w:r>
      <w:r>
        <w:rPr>
          <w:rFonts w:cs="David" w:hint="cs"/>
          <w:sz w:val="28"/>
          <w:szCs w:val="28"/>
          <w:rtl/>
        </w:rPr>
        <w:t>541-499 (2013).</w:t>
      </w:r>
    </w:p>
    <w:p w:rsidR="003C69F2" w:rsidRPr="00B91731" w:rsidRDefault="003C69F2" w:rsidP="003C69F2">
      <w:pPr>
        <w:spacing w:line="360" w:lineRule="auto"/>
        <w:jc w:val="both"/>
        <w:rPr>
          <w:rFonts w:cs="David"/>
          <w:sz w:val="28"/>
          <w:szCs w:val="28"/>
        </w:rPr>
      </w:pPr>
      <w:r w:rsidRPr="00B91731">
        <w:rPr>
          <w:rFonts w:cs="David" w:hint="cs"/>
          <w:sz w:val="28"/>
          <w:szCs w:val="28"/>
          <w:rtl/>
        </w:rPr>
        <w:t>עידן אשר</w:t>
      </w:r>
      <w:r>
        <w:rPr>
          <w:rFonts w:cs="David" w:hint="cs"/>
          <w:sz w:val="28"/>
          <w:szCs w:val="28"/>
          <w:rtl/>
        </w:rPr>
        <w:t>,</w:t>
      </w:r>
      <w:r w:rsidRPr="00B91731">
        <w:rPr>
          <w:rFonts w:cs="David" w:hint="cs"/>
          <w:sz w:val="28"/>
          <w:szCs w:val="28"/>
          <w:rtl/>
        </w:rPr>
        <w:t xml:space="preserve"> ההמון המסתער, מהפכת הרשת החברתית, </w:t>
      </w:r>
      <w:r w:rsidRPr="00B91731">
        <w:rPr>
          <w:rFonts w:cs="David" w:hint="cs"/>
          <w:b/>
          <w:bCs/>
          <w:sz w:val="28"/>
          <w:szCs w:val="28"/>
          <w:rtl/>
        </w:rPr>
        <w:t>אודיסאה</w:t>
      </w:r>
      <w:r w:rsidRPr="00B91731">
        <w:rPr>
          <w:rFonts w:cs="David" w:hint="cs"/>
          <w:sz w:val="28"/>
          <w:szCs w:val="28"/>
          <w:rtl/>
        </w:rPr>
        <w:t xml:space="preserve">, גיליון 16, </w:t>
      </w:r>
      <w:r>
        <w:rPr>
          <w:rFonts w:cs="David"/>
          <w:sz w:val="28"/>
          <w:szCs w:val="28"/>
          <w:rtl/>
        </w:rPr>
        <w:br/>
      </w:r>
      <w:r w:rsidRPr="00B91731">
        <w:rPr>
          <w:rFonts w:cs="David" w:hint="cs"/>
          <w:sz w:val="28"/>
          <w:szCs w:val="28"/>
          <w:rtl/>
        </w:rPr>
        <w:t xml:space="preserve">עמ' </w:t>
      </w:r>
      <w:r>
        <w:rPr>
          <w:rFonts w:cs="David" w:hint="cs"/>
          <w:sz w:val="28"/>
          <w:szCs w:val="28"/>
          <w:rtl/>
        </w:rPr>
        <w:t>19-10 (2012)</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עציוני לימור, בריונות במגרש המשחקים המקוון </w:t>
      </w:r>
      <w:r w:rsidRPr="00B91731">
        <w:rPr>
          <w:rFonts w:cs="David"/>
          <w:sz w:val="28"/>
          <w:szCs w:val="28"/>
          <w:rtl/>
        </w:rPr>
        <w:t>–</w:t>
      </w:r>
      <w:r w:rsidRPr="00B91731">
        <w:rPr>
          <w:rFonts w:cs="David" w:hint="cs"/>
          <w:sz w:val="28"/>
          <w:szCs w:val="28"/>
          <w:rtl/>
        </w:rPr>
        <w:t xml:space="preserve"> אחריות ספקיות התוכן ומפעילות האתרים על הנעשה בשטחן, </w:t>
      </w:r>
      <w:r w:rsidRPr="00683EF9">
        <w:rPr>
          <w:rFonts w:cs="David" w:hint="cs"/>
          <w:b/>
          <w:bCs/>
          <w:sz w:val="28"/>
          <w:szCs w:val="28"/>
          <w:rtl/>
        </w:rPr>
        <w:t>המשפט</w:t>
      </w:r>
      <w:r>
        <w:rPr>
          <w:rFonts w:cs="David" w:hint="cs"/>
          <w:b/>
          <w:bCs/>
          <w:sz w:val="28"/>
          <w:szCs w:val="28"/>
          <w:rtl/>
        </w:rPr>
        <w:t>,</w:t>
      </w:r>
      <w:r w:rsidRPr="00683EF9">
        <w:rPr>
          <w:rFonts w:cs="David" w:hint="cs"/>
          <w:b/>
          <w:bCs/>
          <w:sz w:val="28"/>
          <w:szCs w:val="28"/>
          <w:rtl/>
        </w:rPr>
        <w:t xml:space="preserve"> </w:t>
      </w:r>
      <w:r w:rsidRPr="00B91731">
        <w:rPr>
          <w:rFonts w:cs="David" w:hint="cs"/>
          <w:sz w:val="28"/>
          <w:szCs w:val="28"/>
          <w:rtl/>
        </w:rPr>
        <w:t>יז</w:t>
      </w:r>
      <w:r>
        <w:rPr>
          <w:rFonts w:cs="David" w:hint="cs"/>
          <w:sz w:val="28"/>
          <w:szCs w:val="28"/>
          <w:rtl/>
        </w:rPr>
        <w:t xml:space="preserve"> (2), עמ' 513-463</w:t>
      </w:r>
      <w:r w:rsidRPr="00B91731">
        <w:rPr>
          <w:rFonts w:cs="David" w:hint="cs"/>
          <w:sz w:val="28"/>
          <w:szCs w:val="28"/>
          <w:rtl/>
        </w:rPr>
        <w:t xml:space="preserve"> (2014).</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קירקפטריק דיוויד, </w:t>
      </w:r>
      <w:r w:rsidRPr="00683EF9">
        <w:rPr>
          <w:rFonts w:cs="David" w:hint="cs"/>
          <w:b/>
          <w:bCs/>
          <w:sz w:val="28"/>
          <w:szCs w:val="28"/>
          <w:rtl/>
        </w:rPr>
        <w:t>אפקט הפייסבוק, מבט מבפנים על החברה שמחברת את העולם</w:t>
      </w:r>
      <w:r w:rsidRPr="00B91731">
        <w:rPr>
          <w:rFonts w:cs="David" w:hint="cs"/>
          <w:sz w:val="28"/>
          <w:szCs w:val="28"/>
          <w:rtl/>
        </w:rPr>
        <w:t xml:space="preserve"> (2011).</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קרמניצר מרדכי, מהי הסתה אסורה, בתוך: קונפינו מיכאל (ער'), </w:t>
      </w:r>
      <w:r w:rsidRPr="00B91731">
        <w:rPr>
          <w:rFonts w:cs="David" w:hint="cs"/>
          <w:b/>
          <w:bCs/>
          <w:sz w:val="28"/>
          <w:szCs w:val="28"/>
          <w:rtl/>
        </w:rPr>
        <w:t>כוח המילים וחולשת הדעת, תעמולה, הסתה וחופש הביטוי</w:t>
      </w:r>
      <w:r w:rsidRPr="00B91731">
        <w:rPr>
          <w:rFonts w:cs="David" w:hint="cs"/>
          <w:sz w:val="28"/>
          <w:szCs w:val="28"/>
          <w:rtl/>
        </w:rPr>
        <w:t>, תל אביב: עם עובד, מרכז רבין לחקר ישראל</w:t>
      </w:r>
      <w:r>
        <w:rPr>
          <w:rFonts w:cs="David" w:hint="cs"/>
          <w:sz w:val="28"/>
          <w:szCs w:val="28"/>
          <w:rtl/>
        </w:rPr>
        <w:t xml:space="preserve"> (2002).</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קרמניצר מרדכי ולבנון-מורג ליאת, הגבלת חופש הביטוי בשל חשש לאלימות </w:t>
      </w:r>
      <w:r w:rsidRPr="00B91731">
        <w:rPr>
          <w:rFonts w:cs="David"/>
          <w:sz w:val="28"/>
          <w:szCs w:val="28"/>
          <w:rtl/>
        </w:rPr>
        <w:t>–</w:t>
      </w:r>
      <w:r w:rsidRPr="00B91731">
        <w:rPr>
          <w:rFonts w:cs="David" w:hint="cs"/>
          <w:sz w:val="28"/>
          <w:szCs w:val="28"/>
          <w:rtl/>
        </w:rPr>
        <w:t xml:space="preserve"> על ערכים מוגנים ומבחני הסתברות של הסתה להמרדה והסתה לאלימות, בעקבות פרשת כהנא, </w:t>
      </w:r>
      <w:r w:rsidRPr="00B91731">
        <w:rPr>
          <w:rFonts w:cs="David" w:hint="cs"/>
          <w:b/>
          <w:bCs/>
          <w:sz w:val="28"/>
          <w:szCs w:val="28"/>
          <w:rtl/>
        </w:rPr>
        <w:t>משפט וממשל</w:t>
      </w:r>
      <w:r>
        <w:rPr>
          <w:rFonts w:cs="David" w:hint="cs"/>
          <w:b/>
          <w:bCs/>
          <w:sz w:val="28"/>
          <w:szCs w:val="28"/>
          <w:rtl/>
        </w:rPr>
        <w:t>,</w:t>
      </w:r>
      <w:r w:rsidRPr="00B91731">
        <w:rPr>
          <w:rFonts w:cs="David" w:hint="cs"/>
          <w:b/>
          <w:bCs/>
          <w:sz w:val="28"/>
          <w:szCs w:val="28"/>
          <w:rtl/>
        </w:rPr>
        <w:t xml:space="preserve"> </w:t>
      </w:r>
      <w:r w:rsidRPr="00B77BAB">
        <w:rPr>
          <w:rFonts w:cs="David" w:hint="cs"/>
          <w:sz w:val="28"/>
          <w:szCs w:val="28"/>
          <w:rtl/>
        </w:rPr>
        <w:t>ז</w:t>
      </w:r>
      <w:r w:rsidRPr="00B91731">
        <w:rPr>
          <w:rFonts w:cs="David" w:hint="cs"/>
          <w:sz w:val="28"/>
          <w:szCs w:val="28"/>
          <w:rtl/>
        </w:rPr>
        <w:t>, עמ'</w:t>
      </w:r>
      <w:r>
        <w:rPr>
          <w:rFonts w:cs="David" w:hint="cs"/>
          <w:sz w:val="28"/>
          <w:szCs w:val="28"/>
          <w:rtl/>
        </w:rPr>
        <w:t xml:space="preserve"> </w:t>
      </w:r>
      <w:r w:rsidRPr="00B91731">
        <w:rPr>
          <w:rFonts w:cs="David" w:hint="cs"/>
          <w:sz w:val="28"/>
          <w:szCs w:val="28"/>
          <w:rtl/>
        </w:rPr>
        <w:t>354-305</w:t>
      </w:r>
      <w:r>
        <w:rPr>
          <w:rFonts w:cs="David" w:hint="cs"/>
          <w:sz w:val="28"/>
          <w:szCs w:val="28"/>
          <w:rtl/>
        </w:rPr>
        <w:t xml:space="preserve"> </w:t>
      </w:r>
      <w:r w:rsidRPr="00B91731">
        <w:rPr>
          <w:rFonts w:cs="David" w:hint="cs"/>
          <w:sz w:val="28"/>
          <w:szCs w:val="28"/>
          <w:rtl/>
        </w:rPr>
        <w:t>(2004).</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קרמניצר מרדכי, פרשת אלבה: ברור הלכות הסתה לגזענות", </w:t>
      </w:r>
      <w:r w:rsidRPr="00B91731">
        <w:rPr>
          <w:rFonts w:cs="David" w:hint="cs"/>
          <w:b/>
          <w:bCs/>
          <w:sz w:val="28"/>
          <w:szCs w:val="28"/>
          <w:rtl/>
        </w:rPr>
        <w:t>משפטים</w:t>
      </w:r>
      <w:r>
        <w:rPr>
          <w:rFonts w:cs="David" w:hint="cs"/>
          <w:b/>
          <w:bCs/>
          <w:sz w:val="28"/>
          <w:szCs w:val="28"/>
          <w:rtl/>
        </w:rPr>
        <w:t>,</w:t>
      </w:r>
      <w:r>
        <w:rPr>
          <w:rFonts w:cs="David" w:hint="cs"/>
          <w:sz w:val="28"/>
          <w:szCs w:val="28"/>
          <w:rtl/>
        </w:rPr>
        <w:t xml:space="preserve"> </w:t>
      </w:r>
      <w:r w:rsidRPr="004C60F1">
        <w:rPr>
          <w:rFonts w:cs="David" w:hint="cs"/>
          <w:sz w:val="28"/>
          <w:szCs w:val="28"/>
          <w:rtl/>
        </w:rPr>
        <w:t>ל</w:t>
      </w:r>
      <w:r w:rsidRPr="00B91731">
        <w:rPr>
          <w:rFonts w:cs="David" w:hint="cs"/>
          <w:sz w:val="28"/>
          <w:szCs w:val="28"/>
          <w:rtl/>
        </w:rPr>
        <w:t>,</w:t>
      </w:r>
      <w:r w:rsidRPr="00B91731">
        <w:rPr>
          <w:rFonts w:cs="David"/>
          <w:sz w:val="28"/>
          <w:szCs w:val="28"/>
          <w:rtl/>
        </w:rPr>
        <w:br/>
      </w:r>
      <w:r w:rsidRPr="00B91731">
        <w:rPr>
          <w:rFonts w:cs="David" w:hint="cs"/>
          <w:sz w:val="28"/>
          <w:szCs w:val="28"/>
          <w:rtl/>
        </w:rPr>
        <w:t xml:space="preserve"> 143-105 (1999).</w:t>
      </w:r>
    </w:p>
    <w:p w:rsidR="003C69F2" w:rsidRPr="00B91731" w:rsidRDefault="003C69F2" w:rsidP="003C69F2">
      <w:pPr>
        <w:spacing w:line="360" w:lineRule="auto"/>
        <w:jc w:val="both"/>
        <w:rPr>
          <w:rFonts w:cs="David"/>
          <w:sz w:val="28"/>
          <w:szCs w:val="28"/>
        </w:rPr>
      </w:pPr>
      <w:r w:rsidRPr="00B91731">
        <w:rPr>
          <w:rFonts w:cs="David" w:hint="cs"/>
          <w:sz w:val="28"/>
          <w:szCs w:val="28"/>
          <w:rtl/>
        </w:rPr>
        <w:t>קרמניצר מרדכי ופוקס עמיר, חינוך לערכים דמוקרט</w:t>
      </w:r>
      <w:r>
        <w:rPr>
          <w:rFonts w:cs="David" w:hint="cs"/>
          <w:sz w:val="28"/>
          <w:szCs w:val="28"/>
          <w:rtl/>
        </w:rPr>
        <w:t>י</w:t>
      </w:r>
      <w:r w:rsidRPr="00B91731">
        <w:rPr>
          <w:rFonts w:cs="David" w:hint="cs"/>
          <w:sz w:val="28"/>
          <w:szCs w:val="28"/>
          <w:rtl/>
        </w:rPr>
        <w:t xml:space="preserve">ים ומאבק בגזענות באמצעות חינוך, </w:t>
      </w:r>
      <w:r w:rsidRPr="00B91731">
        <w:rPr>
          <w:rFonts w:cs="David" w:hint="cs"/>
          <w:b/>
          <w:bCs/>
          <w:sz w:val="28"/>
          <w:szCs w:val="28"/>
          <w:rtl/>
        </w:rPr>
        <w:t>בתוך: כנס דב לאוטמן למדיניות החינוך</w:t>
      </w:r>
      <w:r w:rsidRPr="00B91731">
        <w:rPr>
          <w:rFonts w:cs="David" w:hint="cs"/>
          <w:sz w:val="28"/>
          <w:szCs w:val="28"/>
          <w:rtl/>
        </w:rPr>
        <w:t>, ירושלים: המכון הישראלי לדמוקרטיה (2015)</w:t>
      </w:r>
      <w:r>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lastRenderedPageBreak/>
        <w:t>קרניאל יובל ועידן שניר</w:t>
      </w:r>
      <w:r>
        <w:rPr>
          <w:rFonts w:cs="David" w:hint="cs"/>
          <w:sz w:val="28"/>
          <w:szCs w:val="28"/>
          <w:rtl/>
        </w:rPr>
        <w:t>,</w:t>
      </w:r>
      <w:r w:rsidRPr="00B91731">
        <w:rPr>
          <w:rFonts w:cs="David" w:hint="cs"/>
          <w:sz w:val="28"/>
          <w:szCs w:val="28"/>
          <w:rtl/>
        </w:rPr>
        <w:t xml:space="preserve"> חוק חופש המידע והאינטרנט האם הגיעה העת לשינוי חקיקתי ? </w:t>
      </w:r>
      <w:r w:rsidRPr="004C60F1">
        <w:rPr>
          <w:rFonts w:cs="David" w:hint="cs"/>
          <w:b/>
          <w:bCs/>
          <w:sz w:val="28"/>
          <w:szCs w:val="28"/>
          <w:rtl/>
        </w:rPr>
        <w:t>מאזני משפט</w:t>
      </w:r>
      <w:r>
        <w:rPr>
          <w:rFonts w:cs="David" w:hint="cs"/>
          <w:sz w:val="28"/>
          <w:szCs w:val="28"/>
          <w:rtl/>
        </w:rPr>
        <w:t>,</w:t>
      </w:r>
      <w:r w:rsidRPr="00B91731">
        <w:rPr>
          <w:rFonts w:cs="David" w:hint="cs"/>
          <w:sz w:val="28"/>
          <w:szCs w:val="28"/>
          <w:rtl/>
        </w:rPr>
        <w:t xml:space="preserve"> ז, תש"ע, עמ' 354-307</w:t>
      </w:r>
      <w:r>
        <w:rPr>
          <w:rFonts w:cs="David" w:hint="cs"/>
          <w:sz w:val="28"/>
          <w:szCs w:val="28"/>
          <w:rtl/>
        </w:rPr>
        <w:t xml:space="preserve"> (2009).</w:t>
      </w:r>
    </w:p>
    <w:p w:rsidR="003C69F2" w:rsidRPr="004518FD" w:rsidRDefault="003C69F2" w:rsidP="003C69F2">
      <w:pPr>
        <w:spacing w:line="360" w:lineRule="auto"/>
        <w:jc w:val="both"/>
        <w:rPr>
          <w:rFonts w:cs="David"/>
          <w:sz w:val="28"/>
          <w:szCs w:val="28"/>
          <w:rtl/>
        </w:rPr>
      </w:pPr>
      <w:r w:rsidRPr="004518FD">
        <w:rPr>
          <w:rFonts w:cs="David" w:hint="cs"/>
          <w:sz w:val="28"/>
          <w:szCs w:val="28"/>
          <w:rtl/>
        </w:rPr>
        <w:t xml:space="preserve">רבין יורם, ואקי יניב, </w:t>
      </w:r>
      <w:r w:rsidRPr="004518FD">
        <w:rPr>
          <w:rFonts w:cs="David" w:hint="cs"/>
          <w:b/>
          <w:bCs/>
          <w:sz w:val="28"/>
          <w:szCs w:val="28"/>
          <w:rtl/>
        </w:rPr>
        <w:t>דיני עונשין</w:t>
      </w:r>
      <w:r w:rsidRPr="004518FD">
        <w:rPr>
          <w:rFonts w:cs="David" w:hint="cs"/>
          <w:sz w:val="28"/>
          <w:szCs w:val="28"/>
          <w:rtl/>
        </w:rPr>
        <w:t xml:space="preserve">, </w:t>
      </w:r>
      <w:r>
        <w:rPr>
          <w:rFonts w:cs="David" w:hint="cs"/>
          <w:sz w:val="28"/>
          <w:szCs w:val="28"/>
          <w:rtl/>
        </w:rPr>
        <w:t xml:space="preserve">תל אביב: ההוצאה לאור של לשכת עורכי הדין, </w:t>
      </w:r>
      <w:r w:rsidRPr="004518FD">
        <w:rPr>
          <w:rFonts w:cs="David" w:hint="cs"/>
          <w:sz w:val="28"/>
          <w:szCs w:val="28"/>
          <w:rtl/>
        </w:rPr>
        <w:t xml:space="preserve">מהדורה שלישית, כרך א' </w:t>
      </w:r>
      <w:r>
        <w:rPr>
          <w:rFonts w:cs="David" w:hint="cs"/>
          <w:sz w:val="28"/>
          <w:szCs w:val="28"/>
          <w:rtl/>
        </w:rPr>
        <w:t>(2014)</w:t>
      </w:r>
      <w:r w:rsidRPr="004518FD">
        <w:rPr>
          <w:rFonts w:cs="David" w:hint="cs"/>
          <w:sz w:val="28"/>
          <w:szCs w:val="28"/>
          <w:rtl/>
        </w:rPr>
        <w:t>.</w:t>
      </w:r>
    </w:p>
    <w:p w:rsidR="003C69F2" w:rsidRPr="00B91731" w:rsidRDefault="003C69F2" w:rsidP="003C69F2">
      <w:pPr>
        <w:spacing w:line="360" w:lineRule="auto"/>
        <w:jc w:val="both"/>
        <w:rPr>
          <w:rFonts w:cs="David"/>
          <w:sz w:val="28"/>
          <w:szCs w:val="28"/>
        </w:rPr>
      </w:pPr>
      <w:r w:rsidRPr="00B91731">
        <w:rPr>
          <w:rFonts w:cs="David" w:hint="cs"/>
          <w:sz w:val="28"/>
          <w:szCs w:val="28"/>
          <w:rtl/>
        </w:rPr>
        <w:t xml:space="preserve">רובינשטיין אליקים, על חופש הביטוי ועל מדיניות התביעה בעבירות של הסתה לאלימות, </w:t>
      </w:r>
      <w:r w:rsidRPr="00B91731">
        <w:rPr>
          <w:rFonts w:cs="David" w:hint="cs"/>
          <w:b/>
          <w:bCs/>
          <w:sz w:val="28"/>
          <w:szCs w:val="28"/>
          <w:rtl/>
        </w:rPr>
        <w:t>הפרקליט</w:t>
      </w:r>
      <w:r>
        <w:rPr>
          <w:rFonts w:cs="David" w:hint="cs"/>
          <w:b/>
          <w:bCs/>
          <w:sz w:val="28"/>
          <w:szCs w:val="28"/>
          <w:rtl/>
        </w:rPr>
        <w:t>,</w:t>
      </w:r>
      <w:r w:rsidRPr="00B91731">
        <w:rPr>
          <w:rFonts w:cs="David" w:hint="cs"/>
          <w:b/>
          <w:bCs/>
          <w:sz w:val="28"/>
          <w:szCs w:val="28"/>
          <w:rtl/>
        </w:rPr>
        <w:t xml:space="preserve"> </w:t>
      </w:r>
      <w:r w:rsidRPr="004202CA">
        <w:rPr>
          <w:rFonts w:cs="David" w:hint="cs"/>
          <w:sz w:val="28"/>
          <w:szCs w:val="28"/>
          <w:rtl/>
        </w:rPr>
        <w:t>מד</w:t>
      </w:r>
      <w:r>
        <w:rPr>
          <w:rFonts w:cs="David" w:hint="cs"/>
          <w:sz w:val="28"/>
          <w:szCs w:val="28"/>
          <w:rtl/>
        </w:rPr>
        <w:t>,</w:t>
      </w:r>
      <w:r w:rsidRPr="004202CA">
        <w:rPr>
          <w:rFonts w:cs="David" w:hint="cs"/>
          <w:sz w:val="28"/>
          <w:szCs w:val="28"/>
          <w:rtl/>
        </w:rPr>
        <w:t xml:space="preserve"> א</w:t>
      </w:r>
      <w:r>
        <w:rPr>
          <w:rFonts w:cs="David" w:hint="cs"/>
          <w:sz w:val="28"/>
          <w:szCs w:val="28"/>
          <w:rtl/>
        </w:rPr>
        <w:t>, עמ' 10-5</w:t>
      </w:r>
      <w:r w:rsidRPr="00B91731">
        <w:rPr>
          <w:rFonts w:cs="David" w:hint="cs"/>
          <w:sz w:val="28"/>
          <w:szCs w:val="28"/>
          <w:rtl/>
        </w:rPr>
        <w:t xml:space="preserve"> (1997).</w:t>
      </w:r>
    </w:p>
    <w:p w:rsidR="003C69F2" w:rsidRPr="00B91731" w:rsidRDefault="003C69F2" w:rsidP="003C69F2">
      <w:pPr>
        <w:spacing w:line="360" w:lineRule="auto"/>
        <w:jc w:val="both"/>
        <w:rPr>
          <w:rFonts w:cs="David"/>
          <w:sz w:val="28"/>
          <w:szCs w:val="28"/>
        </w:rPr>
      </w:pPr>
      <w:r w:rsidRPr="00B91731">
        <w:rPr>
          <w:rFonts w:cs="David" w:hint="cs"/>
          <w:sz w:val="28"/>
          <w:szCs w:val="28"/>
          <w:rtl/>
        </w:rPr>
        <w:t>רוזנפלד מישל</w:t>
      </w:r>
      <w:r>
        <w:rPr>
          <w:rFonts w:cs="David" w:hint="cs"/>
          <w:sz w:val="28"/>
          <w:szCs w:val="28"/>
          <w:rtl/>
        </w:rPr>
        <w:t>,</w:t>
      </w:r>
      <w:r w:rsidRPr="00B91731">
        <w:rPr>
          <w:rFonts w:cs="David" w:hint="cs"/>
          <w:sz w:val="28"/>
          <w:szCs w:val="28"/>
          <w:rtl/>
        </w:rPr>
        <w:t xml:space="preserve"> דברי שטנה במשפט החוקתי: ניתוח משווה בתוך: קונפינו מיכאל (ער'), </w:t>
      </w:r>
      <w:r w:rsidRPr="00B91731">
        <w:rPr>
          <w:rFonts w:cs="David" w:hint="cs"/>
          <w:b/>
          <w:bCs/>
          <w:sz w:val="28"/>
          <w:szCs w:val="28"/>
          <w:rtl/>
        </w:rPr>
        <w:t>כוח המילים וחולשת הדעת, תעמולה, הסתה וחופש הביטוי</w:t>
      </w:r>
      <w:r w:rsidRPr="00B91731">
        <w:rPr>
          <w:rFonts w:cs="David" w:hint="cs"/>
          <w:sz w:val="28"/>
          <w:szCs w:val="28"/>
          <w:rtl/>
        </w:rPr>
        <w:t>, תל אביב: עם עובד, מרכז רבין לחקר ישראל</w:t>
      </w:r>
      <w:r>
        <w:rPr>
          <w:rFonts w:cs="David" w:hint="cs"/>
          <w:sz w:val="28"/>
          <w:szCs w:val="28"/>
          <w:rtl/>
        </w:rPr>
        <w:t xml:space="preserve"> (2002).</w:t>
      </w:r>
    </w:p>
    <w:p w:rsidR="003C69F2" w:rsidRPr="00B91731" w:rsidRDefault="003C69F2" w:rsidP="003C69F2">
      <w:pPr>
        <w:spacing w:line="360" w:lineRule="auto"/>
        <w:jc w:val="both"/>
        <w:rPr>
          <w:rFonts w:cs="David"/>
          <w:sz w:val="28"/>
          <w:szCs w:val="28"/>
        </w:rPr>
      </w:pPr>
      <w:r w:rsidRPr="00B91731">
        <w:rPr>
          <w:rFonts w:cs="David" w:hint="cs"/>
          <w:sz w:val="28"/>
          <w:szCs w:val="28"/>
          <w:rtl/>
        </w:rPr>
        <w:t>שגב ראם</w:t>
      </w:r>
      <w:r>
        <w:rPr>
          <w:rFonts w:cs="David" w:hint="cs"/>
          <w:sz w:val="28"/>
          <w:szCs w:val="28"/>
          <w:rtl/>
        </w:rPr>
        <w:t>,</w:t>
      </w:r>
      <w:r w:rsidRPr="00B91731">
        <w:rPr>
          <w:rFonts w:cs="David" w:hint="cs"/>
          <w:sz w:val="28"/>
          <w:szCs w:val="28"/>
          <w:rtl/>
        </w:rPr>
        <w:t xml:space="preserve"> </w:t>
      </w:r>
      <w:r w:rsidRPr="004202CA">
        <w:rPr>
          <w:rFonts w:cs="David" w:hint="cs"/>
          <w:b/>
          <w:bCs/>
          <w:sz w:val="28"/>
          <w:szCs w:val="28"/>
          <w:rtl/>
        </w:rPr>
        <w:t>חופש הביטוי הצדקות וסייגים</w:t>
      </w:r>
      <w:r>
        <w:rPr>
          <w:rFonts w:cs="David" w:hint="cs"/>
          <w:b/>
          <w:bCs/>
          <w:sz w:val="28"/>
          <w:szCs w:val="28"/>
          <w:rtl/>
        </w:rPr>
        <w:t xml:space="preserve">, </w:t>
      </w:r>
      <w:r>
        <w:rPr>
          <w:rFonts w:cs="David" w:hint="cs"/>
          <w:sz w:val="28"/>
          <w:szCs w:val="28"/>
          <w:rtl/>
        </w:rPr>
        <w:t>ירושלים: המכון הישראלי לדמוקרטיה (2008).</w:t>
      </w:r>
    </w:p>
    <w:p w:rsidR="003C69F2" w:rsidRPr="00003CFD" w:rsidRDefault="003C69F2" w:rsidP="003C69F2">
      <w:pPr>
        <w:spacing w:line="360" w:lineRule="auto"/>
        <w:jc w:val="both"/>
        <w:rPr>
          <w:rFonts w:cs="David"/>
          <w:sz w:val="28"/>
          <w:szCs w:val="28"/>
          <w:rtl/>
        </w:rPr>
      </w:pPr>
      <w:r w:rsidRPr="00B91731">
        <w:rPr>
          <w:rFonts w:cs="David" w:hint="cs"/>
          <w:sz w:val="28"/>
          <w:szCs w:val="28"/>
          <w:rtl/>
        </w:rPr>
        <w:t xml:space="preserve">שטרן ידידיה, </w:t>
      </w:r>
      <w:r w:rsidRPr="00F26BE0">
        <w:rPr>
          <w:rFonts w:cs="David" w:hint="cs"/>
          <w:b/>
          <w:bCs/>
          <w:sz w:val="28"/>
          <w:szCs w:val="28"/>
          <w:rtl/>
        </w:rPr>
        <w:t xml:space="preserve">גזענות וחופש הביטוי </w:t>
      </w:r>
      <w:r w:rsidRPr="00F26BE0">
        <w:rPr>
          <w:rFonts w:cs="David"/>
          <w:b/>
          <w:bCs/>
          <w:sz w:val="28"/>
          <w:szCs w:val="28"/>
          <w:rtl/>
        </w:rPr>
        <w:t>–</w:t>
      </w:r>
      <w:r w:rsidRPr="00F26BE0">
        <w:rPr>
          <w:rFonts w:cs="David" w:hint="cs"/>
          <w:b/>
          <w:bCs/>
          <w:sz w:val="28"/>
          <w:szCs w:val="28"/>
          <w:rtl/>
        </w:rPr>
        <w:t xml:space="preserve"> כיצד נאזן בין המלחמה בגזענות לבין השמירה על חופש הביטוי?</w:t>
      </w:r>
      <w:r>
        <w:rPr>
          <w:rFonts w:cs="David" w:hint="cs"/>
          <w:sz w:val="28"/>
          <w:szCs w:val="28"/>
          <w:rtl/>
        </w:rPr>
        <w:t xml:space="preserve"> אוניברסיטת בר-אילן, בר אילן בוגרים</w:t>
      </w:r>
      <w:r w:rsidRPr="00B91731">
        <w:rPr>
          <w:rFonts w:cs="David" w:hint="cs"/>
          <w:sz w:val="28"/>
          <w:szCs w:val="28"/>
          <w:rtl/>
        </w:rPr>
        <w:t xml:space="preserve"> (2015).</w:t>
      </w:r>
    </w:p>
    <w:p w:rsidR="003C69F2" w:rsidRPr="00D141D5" w:rsidRDefault="003C69F2" w:rsidP="003C69F2">
      <w:pPr>
        <w:spacing w:line="360" w:lineRule="auto"/>
        <w:jc w:val="both"/>
        <w:rPr>
          <w:rFonts w:cs="David"/>
          <w:b/>
          <w:bCs/>
          <w:sz w:val="32"/>
          <w:szCs w:val="32"/>
          <w:rtl/>
        </w:rPr>
      </w:pPr>
      <w:r w:rsidRPr="00D141D5">
        <w:rPr>
          <w:rFonts w:cs="David" w:hint="cs"/>
          <w:b/>
          <w:bCs/>
          <w:sz w:val="32"/>
          <w:szCs w:val="32"/>
          <w:rtl/>
        </w:rPr>
        <w:t>פסיקות ב</w:t>
      </w:r>
      <w:r>
        <w:rPr>
          <w:rFonts w:cs="David" w:hint="cs"/>
          <w:b/>
          <w:bCs/>
          <w:sz w:val="32"/>
          <w:szCs w:val="32"/>
          <w:rtl/>
        </w:rPr>
        <w:t>י</w:t>
      </w:r>
      <w:r w:rsidRPr="00D141D5">
        <w:rPr>
          <w:rFonts w:cs="David" w:hint="cs"/>
          <w:b/>
          <w:bCs/>
          <w:sz w:val="32"/>
          <w:szCs w:val="32"/>
          <w:rtl/>
        </w:rPr>
        <w:t>ת המשפט</w:t>
      </w:r>
      <w:r>
        <w:rPr>
          <w:rFonts w:cs="David" w:hint="cs"/>
          <w:b/>
          <w:bCs/>
          <w:sz w:val="32"/>
          <w:szCs w:val="32"/>
          <w:rtl/>
        </w:rPr>
        <w:t xml:space="preserve"> העליון</w:t>
      </w:r>
    </w:p>
    <w:p w:rsidR="003C69F2" w:rsidRPr="00E45F41" w:rsidRDefault="003C69F2" w:rsidP="008051E6">
      <w:pPr>
        <w:spacing w:line="360" w:lineRule="auto"/>
        <w:rPr>
          <w:rFonts w:cs="David"/>
          <w:sz w:val="28"/>
          <w:szCs w:val="28"/>
          <w:rtl/>
        </w:rPr>
      </w:pPr>
      <w:r w:rsidRPr="00E45F41">
        <w:rPr>
          <w:rFonts w:cs="David" w:hint="cs"/>
          <w:sz w:val="28"/>
          <w:szCs w:val="28"/>
          <w:rtl/>
        </w:rPr>
        <w:t xml:space="preserve">בג"צ 344/81 </w:t>
      </w:r>
      <w:r w:rsidRPr="00E45F41">
        <w:rPr>
          <w:rFonts w:cs="David" w:hint="cs"/>
          <w:b/>
          <w:bCs/>
          <w:sz w:val="28"/>
          <w:szCs w:val="28"/>
          <w:rtl/>
        </w:rPr>
        <w:t>נגבי ואח' נ' ועדת הבחירות המרכזית לכנסת העשירית ואח'</w:t>
      </w:r>
      <w:r w:rsidRPr="00E45F41">
        <w:rPr>
          <w:rFonts w:cs="David" w:hint="cs"/>
          <w:sz w:val="28"/>
          <w:szCs w:val="28"/>
          <w:rtl/>
        </w:rPr>
        <w:t>, פ"ד לה (4) 837 (1981)</w:t>
      </w:r>
      <w:r>
        <w:rPr>
          <w:rFonts w:cs="David" w:hint="cs"/>
          <w:sz w:val="28"/>
          <w:szCs w:val="28"/>
          <w:rtl/>
        </w:rPr>
        <w:t>.</w:t>
      </w:r>
      <w:r w:rsidRPr="00E45F41">
        <w:rPr>
          <w:rFonts w:cs="David"/>
          <w:sz w:val="28"/>
          <w:szCs w:val="28"/>
          <w:rtl/>
        </w:rPr>
        <w:br/>
      </w:r>
      <w:r w:rsidRPr="00E45F41">
        <w:rPr>
          <w:rFonts w:cs="David" w:hint="cs"/>
          <w:sz w:val="28"/>
          <w:szCs w:val="28"/>
          <w:rtl/>
        </w:rPr>
        <w:t xml:space="preserve">בג"צ 399/85 </w:t>
      </w:r>
      <w:r w:rsidRPr="00E45F41">
        <w:rPr>
          <w:rFonts w:cs="David" w:hint="cs"/>
          <w:b/>
          <w:bCs/>
          <w:sz w:val="28"/>
          <w:szCs w:val="28"/>
          <w:rtl/>
        </w:rPr>
        <w:t>כהנא נ' הועד המנהל של רשות השידור</w:t>
      </w:r>
      <w:r w:rsidRPr="00E45F41">
        <w:rPr>
          <w:rFonts w:cs="David" w:hint="cs"/>
          <w:sz w:val="28"/>
          <w:szCs w:val="28"/>
          <w:rtl/>
        </w:rPr>
        <w:t>, פ"ד מא(3), 255 (1987).</w:t>
      </w:r>
      <w:r w:rsidRPr="00E45F41">
        <w:rPr>
          <w:rFonts w:cs="David"/>
          <w:sz w:val="28"/>
          <w:szCs w:val="28"/>
          <w:rtl/>
        </w:rPr>
        <w:br/>
      </w:r>
      <w:r w:rsidRPr="00E45F41">
        <w:rPr>
          <w:rFonts w:cs="David" w:hint="cs"/>
          <w:sz w:val="28"/>
          <w:szCs w:val="28"/>
          <w:rtl/>
        </w:rPr>
        <w:t xml:space="preserve">בג"צ 14/86 </w:t>
      </w:r>
      <w:r w:rsidRPr="00E45F41">
        <w:rPr>
          <w:rFonts w:cs="David" w:hint="cs"/>
          <w:b/>
          <w:bCs/>
          <w:sz w:val="28"/>
          <w:szCs w:val="28"/>
          <w:rtl/>
        </w:rPr>
        <w:t>לאור נ' המועצה לביקורת סרטים ומחזות</w:t>
      </w:r>
      <w:r w:rsidRPr="00E45F41">
        <w:rPr>
          <w:rFonts w:cs="David" w:hint="cs"/>
          <w:sz w:val="28"/>
          <w:szCs w:val="28"/>
          <w:rtl/>
        </w:rPr>
        <w:t>, פ"ד מא(1) 421 (1987).</w:t>
      </w:r>
      <w:r w:rsidRPr="00E45F41">
        <w:rPr>
          <w:rFonts w:cs="David"/>
          <w:sz w:val="28"/>
          <w:szCs w:val="28"/>
          <w:rtl/>
        </w:rPr>
        <w:br/>
      </w:r>
      <w:r w:rsidRPr="00E45F41">
        <w:rPr>
          <w:rFonts w:cs="David" w:hint="cs"/>
          <w:sz w:val="28"/>
          <w:szCs w:val="28"/>
          <w:rtl/>
        </w:rPr>
        <w:t xml:space="preserve">בג"צ 588/94 </w:t>
      </w:r>
      <w:r w:rsidRPr="00E45F41">
        <w:rPr>
          <w:rFonts w:cs="David" w:hint="cs"/>
          <w:b/>
          <w:bCs/>
          <w:sz w:val="28"/>
          <w:szCs w:val="28"/>
          <w:rtl/>
        </w:rPr>
        <w:t>שלננגר נ' היועץ המשפטי לממשלה</w:t>
      </w:r>
      <w:r w:rsidRPr="00E45F41">
        <w:rPr>
          <w:rFonts w:cs="David" w:hint="cs"/>
          <w:sz w:val="28"/>
          <w:szCs w:val="28"/>
          <w:rtl/>
        </w:rPr>
        <w:t>, פ"ד מח(3) 40 (1994).</w:t>
      </w:r>
      <w:r w:rsidRPr="00E45F41">
        <w:rPr>
          <w:rFonts w:cs="David"/>
          <w:sz w:val="28"/>
          <w:szCs w:val="28"/>
          <w:rtl/>
        </w:rPr>
        <w:br/>
      </w:r>
      <w:r w:rsidRPr="00E45F41">
        <w:rPr>
          <w:rFonts w:cs="David" w:hint="cs"/>
          <w:sz w:val="28"/>
          <w:szCs w:val="28"/>
          <w:rtl/>
        </w:rPr>
        <w:t xml:space="preserve">בג"צ 2684/12 </w:t>
      </w:r>
      <w:r w:rsidRPr="00E45F41">
        <w:rPr>
          <w:rFonts w:cs="David" w:hint="cs"/>
          <w:b/>
          <w:bCs/>
          <w:sz w:val="28"/>
          <w:szCs w:val="28"/>
          <w:rtl/>
        </w:rPr>
        <w:t xml:space="preserve">התנועה לחיזוק הסובלנות בחינוך הדתי ואח' נ' היועץ המשפטי לממשלה, </w:t>
      </w:r>
      <w:r w:rsidRPr="00E45F41">
        <w:rPr>
          <w:rFonts w:cs="David" w:hint="cs"/>
          <w:sz w:val="28"/>
          <w:szCs w:val="28"/>
          <w:rtl/>
        </w:rPr>
        <w:t>פדאור 15 (63) 227, (2015).</w:t>
      </w:r>
      <w:r w:rsidRPr="00E45F41">
        <w:rPr>
          <w:rFonts w:cs="David"/>
          <w:sz w:val="28"/>
          <w:szCs w:val="28"/>
          <w:rtl/>
        </w:rPr>
        <w:br/>
      </w:r>
      <w:r w:rsidRPr="00E45F41">
        <w:rPr>
          <w:rFonts w:cs="David" w:hint="cs"/>
          <w:sz w:val="28"/>
          <w:szCs w:val="28"/>
          <w:rtl/>
        </w:rPr>
        <w:t xml:space="preserve">ע"א 73/53 </w:t>
      </w:r>
      <w:r w:rsidRPr="00E45F41">
        <w:rPr>
          <w:rFonts w:cs="David" w:hint="cs"/>
          <w:b/>
          <w:bCs/>
          <w:sz w:val="28"/>
          <w:szCs w:val="28"/>
          <w:rtl/>
        </w:rPr>
        <w:t>קול העם נ' שר הפנים</w:t>
      </w:r>
      <w:r w:rsidRPr="00E45F41">
        <w:rPr>
          <w:rFonts w:cs="David" w:hint="cs"/>
          <w:sz w:val="28"/>
          <w:szCs w:val="28"/>
          <w:rtl/>
        </w:rPr>
        <w:t>, פ"ד ז(2) 871, 878 (1953).</w:t>
      </w:r>
      <w:r w:rsidRPr="00E45F41">
        <w:rPr>
          <w:rFonts w:cs="David"/>
          <w:sz w:val="28"/>
          <w:szCs w:val="28"/>
          <w:rtl/>
        </w:rPr>
        <w:br/>
      </w:r>
      <w:r w:rsidRPr="00E45F41">
        <w:rPr>
          <w:rFonts w:cs="David" w:hint="cs"/>
          <w:sz w:val="28"/>
          <w:szCs w:val="28"/>
          <w:rtl/>
        </w:rPr>
        <w:t xml:space="preserve">ע"א 723/74 </w:t>
      </w:r>
      <w:r w:rsidRPr="00E45F41">
        <w:rPr>
          <w:rFonts w:cs="David" w:hint="cs"/>
          <w:b/>
          <w:bCs/>
          <w:sz w:val="28"/>
          <w:szCs w:val="28"/>
          <w:rtl/>
        </w:rPr>
        <w:t>הוצאת עיתון 'הארץ' נ' חברת החשמל לישראל</w:t>
      </w:r>
      <w:r w:rsidRPr="00E45F41">
        <w:rPr>
          <w:rFonts w:cs="David" w:hint="cs"/>
          <w:sz w:val="28"/>
          <w:szCs w:val="28"/>
          <w:rtl/>
        </w:rPr>
        <w:t>, פ"ד לא(2) 295 (1977).</w:t>
      </w:r>
      <w:r w:rsidRPr="00E45F41">
        <w:rPr>
          <w:rFonts w:cs="David"/>
          <w:sz w:val="28"/>
          <w:szCs w:val="28"/>
          <w:rtl/>
        </w:rPr>
        <w:br/>
      </w:r>
      <w:r w:rsidRPr="00E45F41">
        <w:rPr>
          <w:rFonts w:cs="David" w:hint="cs"/>
          <w:sz w:val="28"/>
          <w:szCs w:val="28"/>
          <w:rtl/>
        </w:rPr>
        <w:t xml:space="preserve">ע"א 6821/93 </w:t>
      </w:r>
      <w:r w:rsidRPr="00E45F41">
        <w:rPr>
          <w:rFonts w:cs="David" w:hint="cs"/>
          <w:b/>
          <w:bCs/>
          <w:sz w:val="28"/>
          <w:szCs w:val="28"/>
          <w:rtl/>
        </w:rPr>
        <w:t>בנק המזרחי המאוחד נ' מגדל כפר שיתופי</w:t>
      </w:r>
      <w:r w:rsidRPr="00E45F41">
        <w:rPr>
          <w:rFonts w:cs="David" w:hint="cs"/>
          <w:sz w:val="28"/>
          <w:szCs w:val="28"/>
          <w:rtl/>
        </w:rPr>
        <w:t>, פ"ד מט(4) 221 (1995).</w:t>
      </w:r>
      <w:r w:rsidRPr="00E45F41">
        <w:rPr>
          <w:rFonts w:cs="David"/>
          <w:sz w:val="28"/>
          <w:szCs w:val="28"/>
          <w:rtl/>
        </w:rPr>
        <w:br/>
      </w:r>
      <w:r w:rsidRPr="00E45F41">
        <w:rPr>
          <w:rFonts w:cs="David" w:hint="cs"/>
          <w:sz w:val="28"/>
          <w:szCs w:val="28"/>
          <w:rtl/>
        </w:rPr>
        <w:t xml:space="preserve">ע"א 4463/94 </w:t>
      </w:r>
      <w:r w:rsidRPr="00E45F41">
        <w:rPr>
          <w:rFonts w:cs="David" w:hint="cs"/>
          <w:b/>
          <w:bCs/>
          <w:sz w:val="28"/>
          <w:szCs w:val="28"/>
          <w:rtl/>
        </w:rPr>
        <w:t>גולן נ' שירות בתי הסוהר</w:t>
      </w:r>
      <w:r w:rsidRPr="00E45F41">
        <w:rPr>
          <w:rFonts w:cs="David" w:hint="cs"/>
          <w:sz w:val="28"/>
          <w:szCs w:val="28"/>
          <w:rtl/>
        </w:rPr>
        <w:t>, פ"ד נ(4) 136 (1996).</w:t>
      </w:r>
      <w:r w:rsidRPr="00E45F41">
        <w:rPr>
          <w:rFonts w:cs="David"/>
          <w:sz w:val="28"/>
          <w:szCs w:val="28"/>
          <w:rtl/>
        </w:rPr>
        <w:br/>
      </w:r>
      <w:r w:rsidRPr="00E45F41">
        <w:rPr>
          <w:rFonts w:cs="David" w:hint="cs"/>
          <w:sz w:val="28"/>
          <w:szCs w:val="28"/>
          <w:rtl/>
        </w:rPr>
        <w:t xml:space="preserve">ע"פ  2831/95 </w:t>
      </w:r>
      <w:r w:rsidRPr="00E45F41">
        <w:rPr>
          <w:rFonts w:cs="David" w:hint="cs"/>
          <w:b/>
          <w:bCs/>
          <w:sz w:val="28"/>
          <w:szCs w:val="28"/>
          <w:rtl/>
        </w:rPr>
        <w:t>הרב עידו אלבה נ' מדינת ישראל</w:t>
      </w:r>
      <w:r w:rsidRPr="00E45F41">
        <w:rPr>
          <w:rFonts w:cs="David" w:hint="cs"/>
          <w:sz w:val="28"/>
          <w:szCs w:val="28"/>
          <w:rtl/>
        </w:rPr>
        <w:t>, פ"ד נ(5), 221 (1996).</w:t>
      </w:r>
      <w:r w:rsidRPr="00E45F41">
        <w:rPr>
          <w:rFonts w:cs="David"/>
          <w:sz w:val="28"/>
          <w:szCs w:val="28"/>
          <w:rtl/>
        </w:rPr>
        <w:br/>
      </w:r>
      <w:r w:rsidRPr="00E45F41">
        <w:rPr>
          <w:rFonts w:cs="David" w:hint="cs"/>
          <w:sz w:val="28"/>
          <w:szCs w:val="28"/>
          <w:rtl/>
        </w:rPr>
        <w:t xml:space="preserve">בש"פ 537/95 </w:t>
      </w:r>
      <w:r w:rsidRPr="00E45F41">
        <w:rPr>
          <w:rFonts w:cs="David" w:hint="cs"/>
          <w:b/>
          <w:bCs/>
          <w:sz w:val="28"/>
          <w:szCs w:val="28"/>
          <w:rtl/>
        </w:rPr>
        <w:t>גנימאת נ' מדינת ישראל</w:t>
      </w:r>
      <w:r w:rsidRPr="00E45F41">
        <w:rPr>
          <w:rFonts w:cs="David" w:hint="cs"/>
          <w:sz w:val="28"/>
          <w:szCs w:val="28"/>
          <w:rtl/>
        </w:rPr>
        <w:t>, פ"ד מט(3) 355 (1995)</w:t>
      </w:r>
      <w:r>
        <w:rPr>
          <w:rFonts w:cs="David" w:hint="cs"/>
          <w:sz w:val="28"/>
          <w:szCs w:val="28"/>
          <w:rtl/>
        </w:rPr>
        <w:t>.</w:t>
      </w:r>
      <w:r w:rsidRPr="00E45F41">
        <w:rPr>
          <w:rFonts w:cs="David"/>
          <w:sz w:val="28"/>
          <w:szCs w:val="28"/>
          <w:rtl/>
        </w:rPr>
        <w:br/>
      </w:r>
      <w:r w:rsidRPr="00E45F41">
        <w:rPr>
          <w:rFonts w:cs="David" w:hint="cs"/>
          <w:sz w:val="28"/>
          <w:szCs w:val="28"/>
          <w:rtl/>
        </w:rPr>
        <w:t xml:space="preserve">רע"פ 2533/10 </w:t>
      </w:r>
      <w:r w:rsidRPr="00E45F41">
        <w:rPr>
          <w:rFonts w:cs="David" w:hint="cs"/>
          <w:b/>
          <w:bCs/>
          <w:sz w:val="28"/>
          <w:szCs w:val="28"/>
          <w:rtl/>
        </w:rPr>
        <w:t>מדינת ישראל נ' מיכאל בן-חורין</w:t>
      </w:r>
      <w:r w:rsidRPr="00E45F41">
        <w:rPr>
          <w:rFonts w:cs="David" w:hint="cs"/>
          <w:sz w:val="28"/>
          <w:szCs w:val="28"/>
          <w:rtl/>
        </w:rPr>
        <w:t>, תק-על 2011</w:t>
      </w:r>
      <w:r w:rsidRPr="00E45F41">
        <w:rPr>
          <w:rFonts w:cs="David"/>
          <w:sz w:val="28"/>
          <w:szCs w:val="28"/>
        </w:rPr>
        <w:t xml:space="preserve"> </w:t>
      </w:r>
      <w:r w:rsidRPr="00E45F41">
        <w:rPr>
          <w:rFonts w:cs="David" w:hint="cs"/>
          <w:sz w:val="28"/>
          <w:szCs w:val="28"/>
          <w:rtl/>
        </w:rPr>
        <w:t>(4) 3974, (2011).</w:t>
      </w:r>
      <w:r w:rsidRPr="00E45F41">
        <w:rPr>
          <w:rFonts w:cs="David"/>
          <w:sz w:val="28"/>
          <w:szCs w:val="28"/>
          <w:rtl/>
        </w:rPr>
        <w:br/>
      </w:r>
      <w:r w:rsidRPr="00E45F41">
        <w:rPr>
          <w:rFonts w:cs="David" w:hint="cs"/>
          <w:sz w:val="28"/>
          <w:szCs w:val="28"/>
          <w:rtl/>
        </w:rPr>
        <w:t xml:space="preserve">רע"פ 7669/15 </w:t>
      </w:r>
      <w:r w:rsidRPr="00E45F41">
        <w:rPr>
          <w:rFonts w:cs="David" w:hint="cs"/>
          <w:b/>
          <w:bCs/>
          <w:sz w:val="28"/>
          <w:szCs w:val="28"/>
          <w:rtl/>
        </w:rPr>
        <w:t>ראאד סלאח מחאג'נה נ' מדינת ישראל</w:t>
      </w:r>
      <w:r w:rsidRPr="00E45F41">
        <w:rPr>
          <w:rFonts w:cs="David" w:hint="cs"/>
          <w:sz w:val="28"/>
          <w:szCs w:val="28"/>
          <w:rtl/>
        </w:rPr>
        <w:t>, פדאור 15 (62) 473 (2016).</w:t>
      </w:r>
      <w:r w:rsidRPr="00E45F41">
        <w:rPr>
          <w:rFonts w:cs="David"/>
          <w:b/>
          <w:bCs/>
          <w:sz w:val="28"/>
          <w:szCs w:val="28"/>
          <w:rtl/>
        </w:rPr>
        <w:br/>
      </w:r>
      <w:r w:rsidRPr="00E45F41">
        <w:rPr>
          <w:rFonts w:cs="David" w:hint="cs"/>
          <w:sz w:val="28"/>
          <w:szCs w:val="28"/>
          <w:rtl/>
        </w:rPr>
        <w:t xml:space="preserve">ע"ב 1/65 </w:t>
      </w:r>
      <w:r w:rsidRPr="00E45F41">
        <w:rPr>
          <w:rFonts w:cs="David" w:hint="cs"/>
          <w:b/>
          <w:bCs/>
          <w:sz w:val="28"/>
          <w:szCs w:val="28"/>
          <w:rtl/>
        </w:rPr>
        <w:t>ירדור נ' יו"ר ועדת הבחירות לכנסת השישית</w:t>
      </w:r>
      <w:r w:rsidRPr="00E45F41">
        <w:rPr>
          <w:rFonts w:cs="David" w:hint="cs"/>
          <w:sz w:val="28"/>
          <w:szCs w:val="28"/>
          <w:rtl/>
        </w:rPr>
        <w:t>, פ"ד יט(3) 365 (1965)</w:t>
      </w:r>
      <w:r>
        <w:rPr>
          <w:rFonts w:cs="David" w:hint="cs"/>
          <w:sz w:val="28"/>
          <w:szCs w:val="28"/>
          <w:rtl/>
        </w:rPr>
        <w:t>.</w:t>
      </w:r>
      <w:r w:rsidRPr="00E45F41">
        <w:rPr>
          <w:rFonts w:cs="David"/>
          <w:sz w:val="28"/>
          <w:szCs w:val="28"/>
          <w:rtl/>
        </w:rPr>
        <w:br/>
      </w:r>
      <w:r w:rsidRPr="00E45F41">
        <w:rPr>
          <w:rFonts w:cs="David" w:hint="cs"/>
          <w:sz w:val="28"/>
          <w:szCs w:val="28"/>
          <w:rtl/>
        </w:rPr>
        <w:lastRenderedPageBreak/>
        <w:t xml:space="preserve">ע"ב 2/84 </w:t>
      </w:r>
      <w:r w:rsidRPr="00E45F41">
        <w:rPr>
          <w:rFonts w:cs="David" w:hint="cs"/>
          <w:b/>
          <w:bCs/>
          <w:sz w:val="28"/>
          <w:szCs w:val="28"/>
          <w:rtl/>
        </w:rPr>
        <w:t>ניימן נ' יו"ר ועדת הבחירות המרכזית לכנסת האחת-עשרה ואבנרי נ' יו"ר ועדת הבחירות המרכזית לכנסת האחת-עשרה</w:t>
      </w:r>
      <w:r w:rsidRPr="00E45F41">
        <w:rPr>
          <w:rFonts w:cs="David" w:hint="cs"/>
          <w:sz w:val="28"/>
          <w:szCs w:val="28"/>
          <w:rtl/>
        </w:rPr>
        <w:t>, פ"ד ל"ט(2) 225 (1984)</w:t>
      </w:r>
      <w:r>
        <w:rPr>
          <w:rFonts w:cs="David" w:hint="cs"/>
          <w:sz w:val="28"/>
          <w:szCs w:val="28"/>
          <w:rtl/>
        </w:rPr>
        <w:t>.</w:t>
      </w:r>
      <w:r w:rsidRPr="00E45F41">
        <w:rPr>
          <w:rFonts w:cs="David"/>
          <w:sz w:val="28"/>
          <w:szCs w:val="28"/>
          <w:rtl/>
        </w:rPr>
        <w:br/>
      </w:r>
      <w:r w:rsidRPr="00E45F41">
        <w:rPr>
          <w:rFonts w:cs="David" w:hint="cs"/>
          <w:sz w:val="28"/>
          <w:szCs w:val="28"/>
          <w:rtl/>
        </w:rPr>
        <w:t xml:space="preserve">ע"ב 1/88 </w:t>
      </w:r>
      <w:r w:rsidRPr="00E45F41">
        <w:rPr>
          <w:rFonts w:cs="David" w:hint="cs"/>
          <w:b/>
          <w:bCs/>
          <w:sz w:val="28"/>
          <w:szCs w:val="28"/>
          <w:rtl/>
        </w:rPr>
        <w:t>ניימן ואח' נ' יו"ר ועדת הבחירות לכנסת השתיים עשרה</w:t>
      </w:r>
      <w:r w:rsidRPr="00E45F41">
        <w:rPr>
          <w:rFonts w:cs="David" w:hint="cs"/>
          <w:sz w:val="28"/>
          <w:szCs w:val="28"/>
          <w:rtl/>
        </w:rPr>
        <w:t>, פ"ד מב(4) 177 (1988)</w:t>
      </w:r>
      <w:r>
        <w:rPr>
          <w:rFonts w:cs="David" w:hint="cs"/>
          <w:sz w:val="28"/>
          <w:szCs w:val="28"/>
          <w:rtl/>
        </w:rPr>
        <w:t>.</w:t>
      </w:r>
      <w:r w:rsidRPr="00E45F41">
        <w:rPr>
          <w:rFonts w:cs="David"/>
          <w:sz w:val="28"/>
          <w:szCs w:val="28"/>
          <w:rtl/>
        </w:rPr>
        <w:br/>
      </w:r>
      <w:r w:rsidRPr="00E45F41">
        <w:rPr>
          <w:rFonts w:cs="David" w:hint="cs"/>
          <w:sz w:val="28"/>
          <w:szCs w:val="28"/>
          <w:rtl/>
        </w:rPr>
        <w:t xml:space="preserve">דנ"פ 1789/98 </w:t>
      </w:r>
      <w:r w:rsidRPr="00E45F41">
        <w:rPr>
          <w:rFonts w:cs="David" w:hint="cs"/>
          <w:b/>
          <w:bCs/>
          <w:sz w:val="28"/>
          <w:szCs w:val="28"/>
          <w:rtl/>
        </w:rPr>
        <w:t>מדינת ישראל נ' בנימין כהנא</w:t>
      </w:r>
      <w:r w:rsidRPr="00E45F41">
        <w:rPr>
          <w:rFonts w:cs="David" w:hint="cs"/>
          <w:sz w:val="28"/>
          <w:szCs w:val="28"/>
          <w:rtl/>
        </w:rPr>
        <w:t>, פ"ד נד(5) 145 (2000).</w:t>
      </w:r>
      <w:r w:rsidRPr="00E45F41">
        <w:rPr>
          <w:rFonts w:cs="David"/>
          <w:sz w:val="28"/>
          <w:szCs w:val="28"/>
          <w:rtl/>
        </w:rPr>
        <w:br/>
      </w:r>
      <w:r w:rsidRPr="00E45F41">
        <w:rPr>
          <w:rFonts w:cs="David" w:hint="cs"/>
          <w:sz w:val="28"/>
          <w:szCs w:val="28"/>
          <w:rtl/>
        </w:rPr>
        <w:t xml:space="preserve"> דנ"פ 8613/96 </w:t>
      </w:r>
      <w:r w:rsidRPr="00E45F41">
        <w:rPr>
          <w:rFonts w:cs="David" w:hint="cs"/>
          <w:b/>
          <w:bCs/>
          <w:sz w:val="28"/>
          <w:szCs w:val="28"/>
          <w:rtl/>
        </w:rPr>
        <w:t>ג'בארין נ' מדינת ישראל</w:t>
      </w:r>
      <w:r w:rsidRPr="00E45F41">
        <w:rPr>
          <w:rFonts w:cs="David" w:hint="cs"/>
          <w:sz w:val="28"/>
          <w:szCs w:val="28"/>
          <w:rtl/>
        </w:rPr>
        <w:t>, פ"ד נ"ד(5) 193 (2000).</w:t>
      </w:r>
      <w:r w:rsidRPr="00E45F41">
        <w:rPr>
          <w:rFonts w:cs="David"/>
          <w:sz w:val="28"/>
          <w:szCs w:val="28"/>
          <w:rtl/>
        </w:rPr>
        <w:br/>
      </w:r>
      <w:r w:rsidRPr="00E45F41">
        <w:rPr>
          <w:rFonts w:cs="David" w:hint="cs"/>
          <w:sz w:val="28"/>
          <w:szCs w:val="28"/>
          <w:rtl/>
        </w:rPr>
        <w:t xml:space="preserve">דנ"פ 7383/08 </w:t>
      </w:r>
      <w:r w:rsidRPr="00E45F41">
        <w:rPr>
          <w:rFonts w:cs="David" w:hint="cs"/>
          <w:b/>
          <w:bCs/>
          <w:sz w:val="28"/>
          <w:szCs w:val="28"/>
          <w:rtl/>
        </w:rPr>
        <w:t>אונגרפלד נ' מדינת ישראל</w:t>
      </w:r>
      <w:r w:rsidRPr="00E45F41">
        <w:rPr>
          <w:rFonts w:cs="David" w:hint="cs"/>
          <w:sz w:val="28"/>
          <w:szCs w:val="28"/>
          <w:rtl/>
        </w:rPr>
        <w:t>, פ"ד ס"ה(1) 23 (2009)</w:t>
      </w:r>
      <w:r>
        <w:rPr>
          <w:rFonts w:cs="David" w:hint="cs"/>
          <w:sz w:val="28"/>
          <w:szCs w:val="28"/>
          <w:rtl/>
        </w:rPr>
        <w:t>.</w:t>
      </w:r>
    </w:p>
    <w:p w:rsidR="003C69F2" w:rsidRPr="00276870" w:rsidRDefault="003C69F2" w:rsidP="003C69F2">
      <w:pPr>
        <w:spacing w:line="360" w:lineRule="auto"/>
        <w:rPr>
          <w:rFonts w:cs="David"/>
          <w:b/>
          <w:bCs/>
          <w:sz w:val="32"/>
          <w:szCs w:val="32"/>
          <w:rtl/>
        </w:rPr>
      </w:pPr>
      <w:r>
        <w:rPr>
          <w:rFonts w:cs="David" w:hint="cs"/>
          <w:b/>
          <w:bCs/>
          <w:sz w:val="32"/>
          <w:szCs w:val="32"/>
          <w:rtl/>
        </w:rPr>
        <w:t>חוקים</w:t>
      </w:r>
    </w:p>
    <w:p w:rsidR="003C69F2" w:rsidRPr="005E514C" w:rsidRDefault="003C69F2" w:rsidP="003C69F2">
      <w:pPr>
        <w:pStyle w:val="a3"/>
        <w:spacing w:line="360" w:lineRule="auto"/>
        <w:jc w:val="both"/>
        <w:rPr>
          <w:rFonts w:cs="David"/>
          <w:b/>
          <w:bCs/>
          <w:sz w:val="28"/>
          <w:szCs w:val="28"/>
          <w:u w:val="single"/>
          <w:rtl/>
        </w:rPr>
      </w:pPr>
      <w:r>
        <w:rPr>
          <w:rFonts w:cs="David" w:hint="cs"/>
          <w:b/>
          <w:bCs/>
          <w:sz w:val="28"/>
          <w:szCs w:val="28"/>
          <w:rtl/>
        </w:rPr>
        <w:t>פקודת מניעת טרור, תש"ח-1948</w:t>
      </w:r>
    </w:p>
    <w:p w:rsidR="003C69F2" w:rsidRPr="005E514C" w:rsidRDefault="003C69F2" w:rsidP="003C69F2">
      <w:pPr>
        <w:pStyle w:val="a3"/>
        <w:spacing w:line="360" w:lineRule="auto"/>
        <w:jc w:val="both"/>
        <w:rPr>
          <w:rFonts w:cs="David"/>
          <w:b/>
          <w:bCs/>
          <w:sz w:val="28"/>
          <w:szCs w:val="28"/>
          <w:rtl/>
        </w:rPr>
      </w:pPr>
      <w:r w:rsidRPr="005E514C">
        <w:rPr>
          <w:rFonts w:cs="David" w:hint="cs"/>
          <w:b/>
          <w:bCs/>
          <w:sz w:val="28"/>
          <w:szCs w:val="28"/>
          <w:rtl/>
        </w:rPr>
        <w:t>חוק העונשין, התשל"</w:t>
      </w:r>
      <w:r>
        <w:rPr>
          <w:rFonts w:cs="David" w:hint="cs"/>
          <w:b/>
          <w:bCs/>
          <w:sz w:val="28"/>
          <w:szCs w:val="28"/>
          <w:rtl/>
        </w:rPr>
        <w:t>ז-1977</w:t>
      </w:r>
    </w:p>
    <w:p w:rsidR="003C69F2" w:rsidRPr="005E514C" w:rsidRDefault="003C69F2" w:rsidP="003C69F2">
      <w:pPr>
        <w:pStyle w:val="a3"/>
        <w:spacing w:line="360" w:lineRule="auto"/>
        <w:jc w:val="both"/>
        <w:rPr>
          <w:b/>
          <w:bCs/>
          <w:sz w:val="28"/>
          <w:szCs w:val="28"/>
          <w:rtl/>
        </w:rPr>
      </w:pPr>
      <w:r w:rsidRPr="005E514C">
        <w:rPr>
          <w:rFonts w:cs="David" w:hint="cs"/>
          <w:b/>
          <w:bCs/>
          <w:sz w:val="28"/>
          <w:szCs w:val="28"/>
          <w:rtl/>
        </w:rPr>
        <w:t xml:space="preserve">חוק יסוד: כבוד האדם </w:t>
      </w:r>
      <w:r>
        <w:rPr>
          <w:rFonts w:cs="David" w:hint="cs"/>
          <w:b/>
          <w:bCs/>
          <w:sz w:val="28"/>
          <w:szCs w:val="28"/>
          <w:rtl/>
        </w:rPr>
        <w:t>וחרותו, התשנ"ב-1992</w:t>
      </w:r>
    </w:p>
    <w:p w:rsidR="003C69F2" w:rsidRPr="005E514C" w:rsidRDefault="003C69F2" w:rsidP="003C69F2">
      <w:pPr>
        <w:pStyle w:val="a3"/>
        <w:spacing w:line="360" w:lineRule="auto"/>
        <w:jc w:val="both"/>
        <w:rPr>
          <w:rFonts w:cs="David"/>
          <w:b/>
          <w:bCs/>
          <w:sz w:val="28"/>
          <w:szCs w:val="28"/>
          <w:u w:val="single"/>
          <w:rtl/>
        </w:rPr>
      </w:pPr>
      <w:r w:rsidRPr="005E514C">
        <w:rPr>
          <w:rFonts w:cs="David" w:hint="cs"/>
          <w:b/>
          <w:bCs/>
          <w:sz w:val="28"/>
          <w:szCs w:val="28"/>
          <w:rtl/>
        </w:rPr>
        <w:t>חוק איסור אלימות בספורט, התשס"ח-2008</w:t>
      </w:r>
    </w:p>
    <w:p w:rsidR="003C69F2" w:rsidRPr="005E514C" w:rsidRDefault="003C69F2" w:rsidP="003C69F2">
      <w:pPr>
        <w:pStyle w:val="a3"/>
        <w:spacing w:line="360" w:lineRule="auto"/>
        <w:jc w:val="both"/>
        <w:rPr>
          <w:rFonts w:cs="David"/>
          <w:b/>
          <w:bCs/>
          <w:sz w:val="32"/>
          <w:szCs w:val="32"/>
          <w:rtl/>
        </w:rPr>
      </w:pPr>
      <w:r>
        <w:rPr>
          <w:rFonts w:cs="David" w:hint="cs"/>
          <w:b/>
          <w:bCs/>
          <w:sz w:val="28"/>
          <w:szCs w:val="28"/>
          <w:rtl/>
        </w:rPr>
        <w:t>חוק המאבק בטרור, התשע"ו-2016</w:t>
      </w:r>
    </w:p>
    <w:p w:rsidR="003C69F2" w:rsidRDefault="003C69F2" w:rsidP="003C69F2">
      <w:pPr>
        <w:pStyle w:val="a3"/>
        <w:spacing w:line="360" w:lineRule="auto"/>
        <w:jc w:val="both"/>
        <w:rPr>
          <w:rFonts w:cs="David"/>
          <w:b/>
          <w:bCs/>
          <w:sz w:val="32"/>
          <w:szCs w:val="32"/>
          <w:rtl/>
        </w:rPr>
      </w:pPr>
    </w:p>
    <w:p w:rsidR="003C69F2" w:rsidRDefault="003C69F2" w:rsidP="003C69F2">
      <w:pPr>
        <w:pStyle w:val="a3"/>
        <w:spacing w:line="360" w:lineRule="auto"/>
        <w:jc w:val="both"/>
        <w:rPr>
          <w:rFonts w:cs="David"/>
          <w:b/>
          <w:bCs/>
          <w:sz w:val="32"/>
          <w:szCs w:val="32"/>
          <w:rtl/>
        </w:rPr>
      </w:pPr>
      <w:r>
        <w:rPr>
          <w:rFonts w:cs="David" w:hint="cs"/>
          <w:b/>
          <w:bCs/>
          <w:sz w:val="32"/>
          <w:szCs w:val="32"/>
          <w:rtl/>
        </w:rPr>
        <w:t>אינטרנט</w:t>
      </w:r>
    </w:p>
    <w:p w:rsidR="003C69F2" w:rsidRPr="004D1D6E" w:rsidRDefault="003C69F2" w:rsidP="003C69F2">
      <w:pPr>
        <w:rPr>
          <w:rFonts w:cs="David"/>
          <w:sz w:val="28"/>
          <w:szCs w:val="28"/>
          <w:rtl/>
        </w:rPr>
      </w:pPr>
      <w:r w:rsidRPr="00216255">
        <w:rPr>
          <w:rFonts w:cs="David" w:hint="cs"/>
          <w:sz w:val="28"/>
          <w:szCs w:val="28"/>
          <w:rtl/>
        </w:rPr>
        <w:t xml:space="preserve">'דוח אינפוגרפיקה </w:t>
      </w:r>
      <w:r w:rsidRPr="00216255">
        <w:rPr>
          <w:rFonts w:cs="David"/>
          <w:sz w:val="28"/>
          <w:szCs w:val="28"/>
          <w:rtl/>
        </w:rPr>
        <w:t>–</w:t>
      </w:r>
      <w:r w:rsidRPr="00216255">
        <w:rPr>
          <w:rFonts w:cs="David" w:hint="cs"/>
          <w:sz w:val="28"/>
          <w:szCs w:val="28"/>
          <w:rtl/>
        </w:rPr>
        <w:t xml:space="preserve"> סטטיסטיקות משתמשי 'פייסבוק' בישראל 2</w:t>
      </w:r>
      <w:r>
        <w:rPr>
          <w:rFonts w:cs="David" w:hint="cs"/>
          <w:sz w:val="28"/>
          <w:szCs w:val="28"/>
          <w:rtl/>
        </w:rPr>
        <w:t xml:space="preserve">016 </w:t>
      </w:r>
      <w:hyperlink r:id="rId29" w:history="1">
        <w:r w:rsidRPr="004D1D6E">
          <w:rPr>
            <w:rStyle w:val="Hyperlink"/>
            <w:rFonts w:asciiTheme="majorBidi" w:hAnsiTheme="majorBidi" w:cstheme="majorBidi"/>
            <w:sz w:val="28"/>
            <w:szCs w:val="28"/>
          </w:rPr>
          <w:t>http://www.fialkov.co.il/facebook/infographic-facebookisrael-2016</w:t>
        </w:r>
      </w:hyperlink>
    </w:p>
    <w:p w:rsidR="003C69F2" w:rsidRDefault="003C69F2" w:rsidP="003C69F2">
      <w:pPr>
        <w:pStyle w:val="a3"/>
        <w:rPr>
          <w:rFonts w:cs="David"/>
          <w:sz w:val="28"/>
          <w:szCs w:val="28"/>
          <w:rtl/>
        </w:rPr>
      </w:pPr>
    </w:p>
    <w:p w:rsidR="003C69F2" w:rsidRPr="004D1D6E" w:rsidRDefault="003C69F2" w:rsidP="003C69F2">
      <w:pPr>
        <w:spacing w:line="240" w:lineRule="auto"/>
        <w:rPr>
          <w:rFonts w:cs="David"/>
          <w:sz w:val="32"/>
          <w:szCs w:val="32"/>
          <w:rtl/>
        </w:rPr>
      </w:pPr>
      <w:r w:rsidRPr="00B91731">
        <w:rPr>
          <w:rFonts w:cs="David" w:hint="cs"/>
          <w:sz w:val="28"/>
          <w:szCs w:val="28"/>
          <w:rtl/>
        </w:rPr>
        <w:t>הכט יעקב</w:t>
      </w:r>
      <w:r>
        <w:rPr>
          <w:rFonts w:cs="David" w:hint="cs"/>
          <w:sz w:val="28"/>
          <w:szCs w:val="28"/>
          <w:rtl/>
        </w:rPr>
        <w:t>,</w:t>
      </w:r>
      <w:r w:rsidRPr="00B91731">
        <w:rPr>
          <w:rFonts w:cs="David" w:hint="cs"/>
          <w:sz w:val="28"/>
          <w:szCs w:val="28"/>
          <w:rtl/>
        </w:rPr>
        <w:t xml:space="preserve"> המאבק על ההגמוניה בשוק התוכן המקוון - המקרה של הטוקבק ברשת, </w:t>
      </w:r>
      <w:r w:rsidRPr="007E22AE">
        <w:rPr>
          <w:rFonts w:cs="David" w:hint="cs"/>
          <w:b/>
          <w:bCs/>
          <w:sz w:val="28"/>
          <w:szCs w:val="28"/>
          <w:rtl/>
        </w:rPr>
        <w:t>איגוד האינטרנט הישראלי</w:t>
      </w:r>
      <w:r>
        <w:rPr>
          <w:rFonts w:cs="David" w:hint="cs"/>
          <w:sz w:val="28"/>
          <w:szCs w:val="28"/>
          <w:rtl/>
        </w:rPr>
        <w:t xml:space="preserve"> (2004). </w:t>
      </w:r>
      <w:r w:rsidRPr="004D1D6E">
        <w:rPr>
          <w:rStyle w:val="Hyperlink"/>
          <w:rFonts w:asciiTheme="majorBidi" w:hAnsiTheme="majorBidi" w:cstheme="majorBidi"/>
          <w:sz w:val="28"/>
          <w:szCs w:val="28"/>
        </w:rPr>
        <w:t>http://www.isoc.org.il/internet-il/articles-and-research/magazine/the-struggle-for-hegemony-over-online-content-market-the-case-of-talkback</w:t>
      </w:r>
    </w:p>
    <w:p w:rsidR="003C69F2" w:rsidRPr="00003CFD" w:rsidRDefault="003C69F2" w:rsidP="003C69F2">
      <w:pPr>
        <w:pStyle w:val="a6"/>
        <w:ind w:left="0"/>
        <w:rPr>
          <w:rFonts w:cs="David"/>
          <w:sz w:val="28"/>
          <w:szCs w:val="28"/>
        </w:rPr>
      </w:pPr>
      <w:r w:rsidRPr="00003CFD">
        <w:rPr>
          <w:rFonts w:cs="David" w:hint="cs"/>
          <w:sz w:val="28"/>
          <w:szCs w:val="28"/>
          <w:rtl/>
        </w:rPr>
        <w:t xml:space="preserve">החיים בעידן הדיגיטאלי </w:t>
      </w:r>
      <w:r w:rsidRPr="00003CFD">
        <w:rPr>
          <w:rFonts w:cs="David"/>
          <w:sz w:val="28"/>
          <w:szCs w:val="28"/>
          <w:rtl/>
        </w:rPr>
        <w:t>–</w:t>
      </w:r>
      <w:r w:rsidRPr="00003CFD">
        <w:rPr>
          <w:rFonts w:cs="David" w:hint="cs"/>
          <w:sz w:val="28"/>
          <w:szCs w:val="28"/>
          <w:rtl/>
        </w:rPr>
        <w:t xml:space="preserve"> סיכום שנת 2016, </w:t>
      </w:r>
      <w:r w:rsidRPr="00610D33">
        <w:rPr>
          <w:rFonts w:cs="David" w:hint="cs"/>
          <w:b/>
          <w:bCs/>
          <w:sz w:val="28"/>
          <w:szCs w:val="28"/>
          <w:rtl/>
        </w:rPr>
        <w:t>דוח בזק</w:t>
      </w:r>
      <w:r w:rsidRPr="00003CFD">
        <w:rPr>
          <w:rFonts w:cs="David" w:hint="cs"/>
          <w:sz w:val="28"/>
          <w:szCs w:val="28"/>
          <w:rtl/>
        </w:rPr>
        <w:t xml:space="preserve"> 7.12.16</w:t>
      </w:r>
      <w:r>
        <w:rPr>
          <w:rFonts w:cs="David" w:hint="cs"/>
          <w:sz w:val="28"/>
          <w:szCs w:val="28"/>
          <w:rtl/>
        </w:rPr>
        <w:t xml:space="preserve"> </w:t>
      </w:r>
      <w:r w:rsidRPr="007C6420">
        <w:rPr>
          <w:rStyle w:val="Hyperlink"/>
          <w:rFonts w:asciiTheme="majorBidi" w:hAnsiTheme="majorBidi" w:cstheme="majorBidi"/>
          <w:sz w:val="28"/>
          <w:szCs w:val="28"/>
        </w:rPr>
        <w:t>www.bezeq.co.il</w:t>
      </w:r>
    </w:p>
    <w:p w:rsidR="003C69F2" w:rsidRDefault="003C69F2" w:rsidP="003C69F2">
      <w:pPr>
        <w:rPr>
          <w:rFonts w:cs="David"/>
          <w:sz w:val="28"/>
          <w:szCs w:val="28"/>
          <w:rtl/>
        </w:rPr>
      </w:pPr>
      <w:r w:rsidRPr="00FB5F2A">
        <w:rPr>
          <w:rFonts w:cs="David" w:hint="cs"/>
          <w:sz w:val="28"/>
          <w:szCs w:val="28"/>
          <w:rtl/>
        </w:rPr>
        <w:t xml:space="preserve">הנחיה 14.12 להנחיות פרקליט המדינה (2009) </w:t>
      </w:r>
      <w:hyperlink r:id="rId30" w:history="1">
        <w:r w:rsidRPr="004D1D6E">
          <w:rPr>
            <w:rStyle w:val="Hyperlink"/>
            <w:rFonts w:asciiTheme="majorBidi" w:hAnsiTheme="majorBidi" w:cstheme="majorBidi"/>
            <w:sz w:val="28"/>
            <w:szCs w:val="28"/>
          </w:rPr>
          <w:t>http://www.justice.gov.il/Units/StateAttorney/Guidelines/14.12.pdf</w:t>
        </w:r>
      </w:hyperlink>
    </w:p>
    <w:p w:rsidR="003C69F2" w:rsidRDefault="003C69F2" w:rsidP="003C69F2">
      <w:pPr>
        <w:pStyle w:val="a3"/>
        <w:rPr>
          <w:rFonts w:cs="David"/>
          <w:sz w:val="28"/>
          <w:szCs w:val="28"/>
          <w:rtl/>
        </w:rPr>
      </w:pPr>
    </w:p>
    <w:p w:rsidR="003C69F2" w:rsidRPr="004D1D6E" w:rsidRDefault="003C69F2" w:rsidP="003C69F2">
      <w:pPr>
        <w:pStyle w:val="a3"/>
        <w:rPr>
          <w:rStyle w:val="Hyperlink"/>
          <w:rFonts w:asciiTheme="majorBidi" w:hAnsiTheme="majorBidi" w:cstheme="majorBidi"/>
          <w:rtl/>
        </w:rPr>
      </w:pPr>
      <w:r w:rsidRPr="00003CFD">
        <w:rPr>
          <w:rFonts w:cs="David" w:hint="cs"/>
          <w:sz w:val="28"/>
          <w:szCs w:val="28"/>
          <w:rtl/>
        </w:rPr>
        <w:t xml:space="preserve">כהן ניצן, פייסבוק: הכנסות של 7 מיליארד  דולר ורווח של 82 סנט למניה, </w:t>
      </w:r>
      <w:r w:rsidRPr="00610D33">
        <w:rPr>
          <w:rFonts w:cs="David" w:hint="cs"/>
          <w:b/>
          <w:bCs/>
          <w:sz w:val="28"/>
          <w:szCs w:val="28"/>
          <w:rtl/>
        </w:rPr>
        <w:t>גלובס</w:t>
      </w:r>
      <w:r>
        <w:rPr>
          <w:rFonts w:cs="David" w:hint="cs"/>
          <w:sz w:val="28"/>
          <w:szCs w:val="28"/>
          <w:rtl/>
        </w:rPr>
        <w:t xml:space="preserve"> </w:t>
      </w:r>
      <w:r w:rsidRPr="00003CFD">
        <w:rPr>
          <w:rFonts w:cs="David" w:hint="cs"/>
          <w:sz w:val="28"/>
          <w:szCs w:val="28"/>
          <w:rtl/>
        </w:rPr>
        <w:t>(2.11.16)</w:t>
      </w:r>
      <w:hyperlink r:id="rId31" w:history="1">
        <w:r w:rsidRPr="004D1D6E">
          <w:rPr>
            <w:rStyle w:val="Hyperlink"/>
            <w:rFonts w:asciiTheme="majorBidi" w:hAnsiTheme="majorBidi" w:cstheme="majorBidi"/>
            <w:sz w:val="28"/>
            <w:szCs w:val="28"/>
          </w:rPr>
          <w:t>http://www.globes.co.il/news/article.aspx?did=100115881</w:t>
        </w:r>
      </w:hyperlink>
    </w:p>
    <w:p w:rsidR="003C69F2" w:rsidRPr="00A12AEA" w:rsidRDefault="003C69F2" w:rsidP="003C69F2">
      <w:pPr>
        <w:pStyle w:val="a3"/>
        <w:rPr>
          <w:rFonts w:cs="David"/>
          <w:sz w:val="28"/>
          <w:szCs w:val="28"/>
          <w:rtl/>
        </w:rPr>
      </w:pPr>
    </w:p>
    <w:p w:rsidR="003C69F2" w:rsidRPr="00216255" w:rsidRDefault="003C69F2" w:rsidP="003C69F2">
      <w:pPr>
        <w:rPr>
          <w:rFonts w:cs="David"/>
          <w:sz w:val="28"/>
          <w:szCs w:val="28"/>
          <w:rtl/>
        </w:rPr>
      </w:pPr>
      <w:r>
        <w:rPr>
          <w:rFonts w:cs="David" w:hint="cs"/>
          <w:sz w:val="28"/>
          <w:szCs w:val="28"/>
          <w:rtl/>
        </w:rPr>
        <w:t xml:space="preserve">נתוני הגלישה במרשתת בישראל - איגוד האינטרנט הישראלי </w:t>
      </w:r>
      <w:hyperlink r:id="rId32" w:history="1">
        <w:r w:rsidRPr="004D1D6E">
          <w:rPr>
            <w:rStyle w:val="Hyperlink"/>
            <w:rFonts w:asciiTheme="majorBidi" w:hAnsiTheme="majorBidi" w:cstheme="majorBidi"/>
            <w:sz w:val="28"/>
            <w:szCs w:val="28"/>
          </w:rPr>
          <w:t>http://www.isoc.org.il/sts-data/11216</w:t>
        </w:r>
      </w:hyperlink>
    </w:p>
    <w:p w:rsidR="003C69F2" w:rsidRPr="00003CFD" w:rsidRDefault="003C69F2" w:rsidP="003C69F2">
      <w:pPr>
        <w:rPr>
          <w:rFonts w:cs="David"/>
          <w:sz w:val="28"/>
          <w:szCs w:val="28"/>
          <w:rtl/>
        </w:rPr>
      </w:pPr>
      <w:r>
        <w:rPr>
          <w:rFonts w:cs="David" w:hint="cs"/>
          <w:sz w:val="28"/>
          <w:szCs w:val="28"/>
          <w:rtl/>
        </w:rPr>
        <w:t xml:space="preserve">נתוני השימוש במרשתת וברשתות החברתיות בעולם - </w:t>
      </w:r>
      <w:r w:rsidRPr="00003CFD">
        <w:rPr>
          <w:rFonts w:cs="David" w:hint="cs"/>
          <w:sz w:val="28"/>
          <w:szCs w:val="28"/>
          <w:rtl/>
        </w:rPr>
        <w:t xml:space="preserve">אתר </w:t>
      </w:r>
      <w:r w:rsidRPr="006C6F03">
        <w:rPr>
          <w:rFonts w:asciiTheme="majorBidi" w:hAnsiTheme="majorBidi" w:cstheme="majorBidi"/>
          <w:sz w:val="28"/>
          <w:szCs w:val="28"/>
        </w:rPr>
        <w:t>Internet World Stats</w:t>
      </w:r>
      <w:r w:rsidRPr="006C6F03">
        <w:rPr>
          <w:rFonts w:asciiTheme="majorBidi" w:hAnsiTheme="majorBidi" w:cstheme="majorBidi"/>
          <w:sz w:val="28"/>
          <w:szCs w:val="28"/>
          <w:rtl/>
        </w:rPr>
        <w:t xml:space="preserve"> </w:t>
      </w:r>
      <w:hyperlink r:id="rId33" w:history="1">
        <w:r w:rsidRPr="004D1D6E">
          <w:rPr>
            <w:rStyle w:val="Hyperlink"/>
            <w:rFonts w:asciiTheme="majorBidi" w:hAnsiTheme="majorBidi" w:cstheme="majorBidi"/>
            <w:sz w:val="28"/>
            <w:szCs w:val="28"/>
          </w:rPr>
          <w:t>www.internetworldstats.com</w:t>
        </w:r>
      </w:hyperlink>
    </w:p>
    <w:p w:rsidR="003C69F2" w:rsidRDefault="003C69F2" w:rsidP="003C69F2">
      <w:pPr>
        <w:pStyle w:val="a3"/>
        <w:rPr>
          <w:rFonts w:cs="David"/>
          <w:sz w:val="28"/>
          <w:szCs w:val="28"/>
          <w:rtl/>
        </w:rPr>
      </w:pPr>
    </w:p>
    <w:p w:rsidR="003C69F2" w:rsidRPr="00003CFD" w:rsidRDefault="003C69F2" w:rsidP="003C69F2">
      <w:pPr>
        <w:pStyle w:val="a3"/>
        <w:rPr>
          <w:rFonts w:cs="David"/>
          <w:sz w:val="28"/>
          <w:szCs w:val="28"/>
          <w:rtl/>
        </w:rPr>
      </w:pPr>
      <w:r w:rsidRPr="00003CFD">
        <w:rPr>
          <w:rFonts w:cs="David" w:hint="cs"/>
          <w:sz w:val="28"/>
          <w:szCs w:val="28"/>
          <w:rtl/>
        </w:rPr>
        <w:lastRenderedPageBreak/>
        <w:t xml:space="preserve">קודנר ליאור, היד המעלימה ברשת, </w:t>
      </w:r>
      <w:r w:rsidRPr="00121DFA">
        <w:rPr>
          <w:rFonts w:cs="David" w:hint="cs"/>
          <w:b/>
          <w:bCs/>
          <w:sz w:val="28"/>
          <w:szCs w:val="28"/>
          <w:rtl/>
        </w:rPr>
        <w:t>מגזין 'דה-מרקר'</w:t>
      </w:r>
      <w:r w:rsidRPr="00003CFD">
        <w:rPr>
          <w:rFonts w:cs="David" w:hint="cs"/>
          <w:sz w:val="28"/>
          <w:szCs w:val="28"/>
          <w:rtl/>
        </w:rPr>
        <w:t xml:space="preserve"> (22.8.11),</w:t>
      </w:r>
      <w:r w:rsidRPr="004D1D6E">
        <w:rPr>
          <w:rStyle w:val="Hyperlink"/>
          <w:rFonts w:asciiTheme="majorBidi" w:hAnsiTheme="majorBidi" w:cstheme="majorBidi"/>
          <w:sz w:val="28"/>
          <w:szCs w:val="28"/>
        </w:rPr>
        <w:t>http://www.themarker.com/magazine/1.892448</w:t>
      </w:r>
      <w:r>
        <w:rPr>
          <w:rFonts w:cs="David"/>
          <w:sz w:val="28"/>
          <w:szCs w:val="28"/>
          <w:rtl/>
        </w:rPr>
        <w:br/>
      </w:r>
    </w:p>
    <w:p w:rsidR="003C69F2" w:rsidRDefault="003C69F2" w:rsidP="003C69F2">
      <w:pPr>
        <w:pStyle w:val="a6"/>
        <w:ind w:left="0"/>
        <w:rPr>
          <w:rFonts w:cs="David"/>
          <w:sz w:val="28"/>
          <w:szCs w:val="28"/>
          <w:rtl/>
        </w:rPr>
      </w:pPr>
      <w:r w:rsidRPr="00003CFD">
        <w:rPr>
          <w:rFonts w:cs="David" w:hint="cs"/>
          <w:sz w:val="28"/>
          <w:szCs w:val="28"/>
          <w:rtl/>
        </w:rPr>
        <w:t xml:space="preserve">רבנר דניאל, איך האינטרנט הפר את ההבטחה שלו, </w:t>
      </w:r>
      <w:r w:rsidRPr="00121DFA">
        <w:rPr>
          <w:rFonts w:cs="David" w:hint="cs"/>
          <w:b/>
          <w:bCs/>
          <w:sz w:val="28"/>
          <w:szCs w:val="28"/>
          <w:rtl/>
        </w:rPr>
        <w:t>מדיה קרוס</w:t>
      </w:r>
      <w:r w:rsidRPr="00003CFD">
        <w:rPr>
          <w:rFonts w:cs="David" w:hint="cs"/>
          <w:sz w:val="28"/>
          <w:szCs w:val="28"/>
          <w:rtl/>
        </w:rPr>
        <w:t xml:space="preserve"> (18.12.16) </w:t>
      </w:r>
      <w:hyperlink r:id="rId34" w:history="1">
        <w:r w:rsidRPr="007C6420">
          <w:rPr>
            <w:rStyle w:val="Hyperlink"/>
            <w:rFonts w:asciiTheme="majorBidi" w:hAnsiTheme="majorBidi" w:cstheme="majorBidi"/>
            <w:sz w:val="28"/>
            <w:szCs w:val="28"/>
          </w:rPr>
          <w:t>http://www.ravner.tv/?p=2789</w:t>
        </w:r>
      </w:hyperlink>
    </w:p>
    <w:p w:rsidR="003C69F2" w:rsidRDefault="003C69F2" w:rsidP="003C69F2">
      <w:pPr>
        <w:pStyle w:val="a6"/>
        <w:ind w:left="0"/>
        <w:rPr>
          <w:rFonts w:cs="David"/>
          <w:sz w:val="28"/>
          <w:szCs w:val="28"/>
          <w:rtl/>
        </w:rPr>
      </w:pPr>
    </w:p>
    <w:p w:rsidR="003C69F2" w:rsidRDefault="003C69F2" w:rsidP="003C69F2">
      <w:pPr>
        <w:pStyle w:val="a6"/>
        <w:ind w:left="0"/>
        <w:rPr>
          <w:rFonts w:cs="David"/>
          <w:sz w:val="28"/>
          <w:szCs w:val="28"/>
          <w:rtl/>
        </w:rPr>
      </w:pPr>
      <w:r w:rsidRPr="00C855A1">
        <w:rPr>
          <w:rFonts w:asciiTheme="majorBidi" w:hAnsiTheme="majorBidi" w:cstheme="majorBidi"/>
          <w:sz w:val="28"/>
          <w:szCs w:val="28"/>
        </w:rPr>
        <w:t xml:space="preserve">Raviner Daniel </w:t>
      </w:r>
      <w:r>
        <w:rPr>
          <w:rFonts w:asciiTheme="majorBidi" w:hAnsiTheme="majorBidi" w:cstheme="majorBidi"/>
          <w:b/>
          <w:bCs/>
          <w:sz w:val="28"/>
          <w:szCs w:val="28"/>
        </w:rPr>
        <w:t>,</w:t>
      </w:r>
      <w:r>
        <w:rPr>
          <w:rFonts w:asciiTheme="majorBidi" w:hAnsiTheme="majorBidi" w:cstheme="majorBidi" w:hint="cs"/>
          <w:sz w:val="28"/>
          <w:szCs w:val="28"/>
        </w:rPr>
        <w:t>W</w:t>
      </w:r>
      <w:r>
        <w:rPr>
          <w:rFonts w:asciiTheme="majorBidi" w:hAnsiTheme="majorBidi" w:cstheme="majorBidi"/>
          <w:sz w:val="28"/>
          <w:szCs w:val="28"/>
        </w:rPr>
        <w:t xml:space="preserve">hy are we missing the bigger picture of just about everything? </w:t>
      </w:r>
      <w:r w:rsidRPr="00C855A1">
        <w:rPr>
          <w:rFonts w:asciiTheme="majorBidi" w:hAnsiTheme="majorBidi" w:cstheme="majorBidi"/>
          <w:b/>
          <w:bCs/>
          <w:sz w:val="28"/>
          <w:szCs w:val="28"/>
        </w:rPr>
        <w:t>The HUFFINGTON POST</w:t>
      </w:r>
      <w:r>
        <w:rPr>
          <w:rFonts w:asciiTheme="majorBidi" w:hAnsiTheme="majorBidi" w:cstheme="majorBidi"/>
          <w:b/>
          <w:bCs/>
          <w:sz w:val="28"/>
          <w:szCs w:val="28"/>
        </w:rPr>
        <w:t xml:space="preserve"> </w:t>
      </w:r>
      <w:r w:rsidRPr="00C855A1">
        <w:rPr>
          <w:rFonts w:asciiTheme="majorBidi" w:hAnsiTheme="majorBidi" w:cstheme="majorBidi"/>
          <w:sz w:val="28"/>
          <w:szCs w:val="28"/>
        </w:rPr>
        <w:t>(14/7/16)</w:t>
      </w:r>
      <w:r w:rsidRPr="00C855A1">
        <w:rPr>
          <w:rFonts w:cs="David"/>
          <w:sz w:val="28"/>
          <w:szCs w:val="28"/>
        </w:rPr>
        <w:t xml:space="preserve"> </w:t>
      </w:r>
      <w:hyperlink r:id="rId35" w:history="1">
        <w:r w:rsidRPr="007C6420">
          <w:rPr>
            <w:rStyle w:val="Hyperlink"/>
            <w:rFonts w:asciiTheme="majorBidi" w:hAnsiTheme="majorBidi" w:cstheme="majorBidi"/>
            <w:sz w:val="28"/>
            <w:szCs w:val="28"/>
          </w:rPr>
          <w:t>http://www.huffingtonpost.com/entry/why-are-we-missing-the-bigger-picture-of-just-about_us_5787609be4b0e7c8734f82f8</w:t>
        </w:r>
      </w:hyperlink>
    </w:p>
    <w:p w:rsidR="003C69F2" w:rsidRPr="00A12AEA" w:rsidRDefault="003C69F2" w:rsidP="003C69F2">
      <w:pPr>
        <w:pStyle w:val="a6"/>
        <w:ind w:left="0"/>
        <w:rPr>
          <w:rFonts w:cs="David"/>
          <w:sz w:val="28"/>
          <w:szCs w:val="28"/>
          <w:rtl/>
        </w:rPr>
      </w:pPr>
    </w:p>
    <w:p w:rsidR="003C69F2" w:rsidRDefault="003C69F2" w:rsidP="003C69F2">
      <w:pPr>
        <w:rPr>
          <w:rFonts w:cs="David"/>
          <w:sz w:val="28"/>
          <w:szCs w:val="28"/>
          <w:rtl/>
        </w:rPr>
      </w:pPr>
      <w:r w:rsidRPr="007D4C85">
        <w:rPr>
          <w:rFonts w:cs="David" w:hint="cs"/>
          <w:sz w:val="28"/>
          <w:szCs w:val="28"/>
          <w:rtl/>
        </w:rPr>
        <w:t>שוורץ-אלטשולר תהילה, מכתב ל</w:t>
      </w:r>
      <w:r>
        <w:rPr>
          <w:rFonts w:cs="David" w:hint="cs"/>
          <w:sz w:val="28"/>
          <w:szCs w:val="28"/>
          <w:rtl/>
        </w:rPr>
        <w:t>שרת המשפטים, לשר לביטחון פנים ולוועדת השרים לחקיקה</w:t>
      </w:r>
      <w:r w:rsidRPr="007C6420">
        <w:rPr>
          <w:rStyle w:val="Hyperlink"/>
          <w:rFonts w:asciiTheme="majorBidi" w:hAnsiTheme="majorBidi" w:cstheme="majorBidi" w:hint="cs"/>
          <w:color w:val="auto"/>
          <w:sz w:val="28"/>
          <w:szCs w:val="28"/>
          <w:u w:val="none"/>
          <w:rtl/>
        </w:rPr>
        <w:t>,</w:t>
      </w:r>
      <w:r>
        <w:rPr>
          <w:rStyle w:val="Hyperlink"/>
          <w:rFonts w:asciiTheme="majorBidi" w:hAnsiTheme="majorBidi" w:cstheme="majorBidi" w:hint="cs"/>
          <w:sz w:val="28"/>
          <w:szCs w:val="28"/>
          <w:rtl/>
        </w:rPr>
        <w:t xml:space="preserve"> </w:t>
      </w:r>
      <w:hyperlink r:id="rId36" w:history="1">
        <w:r w:rsidRPr="007C6420">
          <w:rPr>
            <w:rStyle w:val="Hyperlink"/>
            <w:rFonts w:asciiTheme="majorBidi" w:hAnsiTheme="majorBidi" w:cstheme="majorBidi"/>
            <w:sz w:val="28"/>
            <w:szCs w:val="28"/>
          </w:rPr>
          <w:t>https://www.idi.org.il/media/7872/opinion_internet.pdf</w:t>
        </w:r>
      </w:hyperlink>
    </w:p>
    <w:p w:rsidR="003C69F2" w:rsidRPr="00A12AEA" w:rsidRDefault="003C69F2" w:rsidP="003C69F2">
      <w:pPr>
        <w:jc w:val="both"/>
        <w:rPr>
          <w:rFonts w:cs="David"/>
          <w:b/>
          <w:bCs/>
          <w:sz w:val="32"/>
          <w:szCs w:val="32"/>
          <w:rtl/>
        </w:rPr>
      </w:pPr>
      <w:r>
        <w:rPr>
          <w:rFonts w:cs="David" w:hint="cs"/>
          <w:b/>
          <w:bCs/>
          <w:sz w:val="32"/>
          <w:szCs w:val="32"/>
          <w:rtl/>
        </w:rPr>
        <w:t>ראיונות</w:t>
      </w:r>
    </w:p>
    <w:p w:rsidR="003C69F2" w:rsidRDefault="003C69F2" w:rsidP="003C69F2">
      <w:pPr>
        <w:jc w:val="both"/>
        <w:rPr>
          <w:rFonts w:cs="David"/>
          <w:sz w:val="36"/>
          <w:szCs w:val="36"/>
          <w:rtl/>
        </w:rPr>
      </w:pPr>
      <w:r>
        <w:rPr>
          <w:rFonts w:cs="David" w:hint="cs"/>
          <w:sz w:val="28"/>
          <w:szCs w:val="28"/>
          <w:rtl/>
        </w:rPr>
        <w:t xml:space="preserve">אברמזון שלומי, (2016) </w:t>
      </w:r>
      <w:r w:rsidRPr="005B6BF8">
        <w:rPr>
          <w:rFonts w:cs="David" w:hint="cs"/>
          <w:b/>
          <w:bCs/>
          <w:sz w:val="28"/>
          <w:szCs w:val="28"/>
          <w:rtl/>
        </w:rPr>
        <w:t>ראש צוות הסתה ועבירות ביטוי בפרקליטות המדינה</w:t>
      </w:r>
      <w:r>
        <w:rPr>
          <w:rFonts w:cs="David" w:hint="cs"/>
          <w:sz w:val="36"/>
          <w:szCs w:val="36"/>
          <w:rtl/>
        </w:rPr>
        <w:t xml:space="preserve">, </w:t>
      </w:r>
      <w:r w:rsidRPr="0037428D">
        <w:rPr>
          <w:rFonts w:cs="David" w:hint="cs"/>
          <w:sz w:val="28"/>
          <w:szCs w:val="28"/>
          <w:rtl/>
        </w:rPr>
        <w:t>8.1.2016</w:t>
      </w:r>
      <w:r>
        <w:rPr>
          <w:rFonts w:cs="David" w:hint="cs"/>
          <w:sz w:val="36"/>
          <w:szCs w:val="36"/>
          <w:rtl/>
        </w:rPr>
        <w:t>.</w:t>
      </w:r>
    </w:p>
    <w:p w:rsidR="003C69F2" w:rsidRDefault="003C69F2" w:rsidP="003C69F2">
      <w:pPr>
        <w:jc w:val="both"/>
        <w:rPr>
          <w:rFonts w:cs="David"/>
          <w:sz w:val="28"/>
          <w:szCs w:val="28"/>
          <w:rtl/>
        </w:rPr>
      </w:pPr>
      <w:r>
        <w:rPr>
          <w:rFonts w:cs="David" w:hint="cs"/>
          <w:sz w:val="28"/>
          <w:szCs w:val="28"/>
          <w:rtl/>
        </w:rPr>
        <w:t xml:space="preserve">אלישר איילת, (2016), נצ"ם, </w:t>
      </w:r>
      <w:r w:rsidRPr="005B6BF8">
        <w:rPr>
          <w:rFonts w:cs="David" w:hint="cs"/>
          <w:b/>
          <w:bCs/>
          <w:sz w:val="28"/>
          <w:szCs w:val="28"/>
          <w:rtl/>
        </w:rPr>
        <w:t>ראש מערך 'מניעה מצבית' במשטרת ישראל</w:t>
      </w:r>
      <w:r>
        <w:rPr>
          <w:rFonts w:cs="David" w:hint="cs"/>
          <w:sz w:val="28"/>
          <w:szCs w:val="28"/>
          <w:rtl/>
        </w:rPr>
        <w:t>, 7.2.2016.</w:t>
      </w:r>
    </w:p>
    <w:p w:rsidR="003C69F2" w:rsidRDefault="003C69F2" w:rsidP="003C69F2">
      <w:pPr>
        <w:jc w:val="both"/>
        <w:rPr>
          <w:rFonts w:cs="David"/>
          <w:sz w:val="28"/>
          <w:szCs w:val="28"/>
          <w:rtl/>
        </w:rPr>
      </w:pPr>
      <w:r>
        <w:rPr>
          <w:rFonts w:cs="David" w:hint="cs"/>
          <w:sz w:val="28"/>
          <w:szCs w:val="28"/>
          <w:rtl/>
        </w:rPr>
        <w:t xml:space="preserve">גורצקי איה, (2016), רפ"ק, </w:t>
      </w:r>
      <w:r w:rsidRPr="005B6BF8">
        <w:rPr>
          <w:rFonts w:cs="David" w:hint="cs"/>
          <w:b/>
          <w:bCs/>
          <w:sz w:val="28"/>
          <w:szCs w:val="28"/>
          <w:rtl/>
        </w:rPr>
        <w:t>ראש מדור יועמ"ש במטה הארצי</w:t>
      </w:r>
      <w:r>
        <w:rPr>
          <w:rFonts w:cs="David" w:hint="cs"/>
          <w:sz w:val="28"/>
          <w:szCs w:val="28"/>
          <w:rtl/>
        </w:rPr>
        <w:t xml:space="preserve"> </w:t>
      </w:r>
      <w:r w:rsidRPr="005B6BF8">
        <w:rPr>
          <w:rFonts w:cs="David" w:hint="cs"/>
          <w:b/>
          <w:bCs/>
          <w:sz w:val="28"/>
          <w:szCs w:val="28"/>
          <w:rtl/>
        </w:rPr>
        <w:t>משטרת ישראל</w:t>
      </w:r>
      <w:r>
        <w:rPr>
          <w:rFonts w:cs="David" w:hint="cs"/>
          <w:sz w:val="28"/>
          <w:szCs w:val="28"/>
          <w:rtl/>
        </w:rPr>
        <w:t>, 29.1.2016.</w:t>
      </w:r>
    </w:p>
    <w:p w:rsidR="003C69F2" w:rsidRPr="00F37AC6" w:rsidRDefault="003C69F2" w:rsidP="003C69F2">
      <w:pPr>
        <w:jc w:val="both"/>
        <w:rPr>
          <w:rFonts w:cs="David"/>
          <w:sz w:val="28"/>
          <w:szCs w:val="28"/>
          <w:rtl/>
        </w:rPr>
      </w:pPr>
      <w:r>
        <w:rPr>
          <w:rFonts w:cs="David" w:hint="cs"/>
          <w:sz w:val="28"/>
          <w:szCs w:val="28"/>
          <w:rtl/>
        </w:rPr>
        <w:t xml:space="preserve">ויסמונסקי חיים, (2016), ד"ר, </w:t>
      </w:r>
      <w:r w:rsidRPr="005B6BF8">
        <w:rPr>
          <w:rFonts w:cs="David" w:hint="cs"/>
          <w:b/>
          <w:bCs/>
          <w:sz w:val="28"/>
          <w:szCs w:val="28"/>
          <w:rtl/>
        </w:rPr>
        <w:t>מנהל מחלקת הסייבר בפרקליטות המדינה</w:t>
      </w:r>
      <w:r w:rsidRPr="002C764B">
        <w:rPr>
          <w:rFonts w:cs="David" w:hint="cs"/>
          <w:rtl/>
        </w:rPr>
        <w:t>,</w:t>
      </w:r>
      <w:r>
        <w:rPr>
          <w:rFonts w:cs="David" w:hint="cs"/>
          <w:sz w:val="28"/>
          <w:szCs w:val="28"/>
          <w:rtl/>
        </w:rPr>
        <w:t xml:space="preserve"> 16.3.2016.</w:t>
      </w:r>
    </w:p>
    <w:p w:rsidR="003C69F2" w:rsidRDefault="003C69F2" w:rsidP="003C69F2">
      <w:pPr>
        <w:jc w:val="both"/>
        <w:rPr>
          <w:rFonts w:cs="David"/>
          <w:sz w:val="28"/>
          <w:szCs w:val="28"/>
          <w:rtl/>
        </w:rPr>
      </w:pPr>
      <w:r>
        <w:rPr>
          <w:rFonts w:cs="David" w:hint="cs"/>
          <w:sz w:val="28"/>
          <w:szCs w:val="28"/>
          <w:rtl/>
        </w:rPr>
        <w:t xml:space="preserve">טל רביב, (2016) </w:t>
      </w:r>
      <w:r w:rsidRPr="00605E53">
        <w:rPr>
          <w:rFonts w:cs="David" w:hint="cs"/>
          <w:b/>
          <w:bCs/>
          <w:sz w:val="28"/>
          <w:szCs w:val="28"/>
          <w:rtl/>
        </w:rPr>
        <w:t xml:space="preserve">מנכ"ל חברת </w:t>
      </w:r>
      <w:r w:rsidRPr="00CD227A">
        <w:rPr>
          <w:rFonts w:asciiTheme="majorBidi" w:hAnsiTheme="majorBidi" w:cstheme="majorBidi"/>
          <w:b/>
          <w:bCs/>
          <w:sz w:val="28"/>
          <w:szCs w:val="28"/>
        </w:rPr>
        <w:t>Vigo</w:t>
      </w:r>
      <w:r>
        <w:rPr>
          <w:rFonts w:cs="David" w:hint="cs"/>
          <w:sz w:val="28"/>
          <w:szCs w:val="28"/>
          <w:rtl/>
        </w:rPr>
        <w:t>, 4.12.2016.</w:t>
      </w:r>
    </w:p>
    <w:p w:rsidR="003C69F2" w:rsidRDefault="003C69F2" w:rsidP="003C69F2">
      <w:pPr>
        <w:jc w:val="both"/>
        <w:rPr>
          <w:rFonts w:cs="David"/>
          <w:sz w:val="28"/>
          <w:szCs w:val="28"/>
          <w:rtl/>
        </w:rPr>
      </w:pPr>
      <w:r>
        <w:rPr>
          <w:rFonts w:cs="David" w:hint="cs"/>
          <w:sz w:val="28"/>
          <w:szCs w:val="28"/>
          <w:rtl/>
        </w:rPr>
        <w:t xml:space="preserve">י', (2016) </w:t>
      </w:r>
      <w:r w:rsidRPr="00605E53">
        <w:rPr>
          <w:rFonts w:cs="David" w:hint="cs"/>
          <w:b/>
          <w:bCs/>
          <w:sz w:val="28"/>
          <w:szCs w:val="28"/>
          <w:rtl/>
        </w:rPr>
        <w:t>איש מחקר בשירות הביטחון הכללי</w:t>
      </w:r>
      <w:r>
        <w:rPr>
          <w:rFonts w:cs="David" w:hint="cs"/>
          <w:sz w:val="28"/>
          <w:szCs w:val="28"/>
          <w:rtl/>
        </w:rPr>
        <w:t>, 20.11.2016.</w:t>
      </w:r>
    </w:p>
    <w:p w:rsidR="003C69F2" w:rsidRDefault="003C69F2" w:rsidP="003C69F2">
      <w:pPr>
        <w:jc w:val="both"/>
        <w:rPr>
          <w:rFonts w:cs="David"/>
          <w:sz w:val="28"/>
          <w:szCs w:val="28"/>
          <w:rtl/>
        </w:rPr>
      </w:pPr>
      <w:r>
        <w:rPr>
          <w:rFonts w:cs="David" w:hint="cs"/>
          <w:sz w:val="28"/>
          <w:szCs w:val="28"/>
          <w:rtl/>
        </w:rPr>
        <w:t xml:space="preserve">כהן איציק, (2016), אל"ם (במיל'), </w:t>
      </w:r>
      <w:r w:rsidRPr="00605E53">
        <w:rPr>
          <w:rFonts w:cs="David" w:hint="cs"/>
          <w:b/>
          <w:bCs/>
          <w:sz w:val="28"/>
          <w:szCs w:val="28"/>
          <w:rtl/>
        </w:rPr>
        <w:t>דוקטורנט לחקר הרשת</w:t>
      </w:r>
      <w:r>
        <w:rPr>
          <w:rFonts w:cs="David" w:hint="cs"/>
          <w:sz w:val="28"/>
          <w:szCs w:val="28"/>
          <w:rtl/>
        </w:rPr>
        <w:t>, 7.11.2016.</w:t>
      </w:r>
    </w:p>
    <w:p w:rsidR="003C69F2" w:rsidRDefault="003C69F2" w:rsidP="003C69F2">
      <w:pPr>
        <w:jc w:val="both"/>
        <w:rPr>
          <w:rFonts w:cs="David"/>
          <w:sz w:val="28"/>
          <w:szCs w:val="28"/>
          <w:rtl/>
        </w:rPr>
      </w:pPr>
      <w:r>
        <w:rPr>
          <w:rFonts w:cs="David" w:hint="cs"/>
          <w:sz w:val="28"/>
          <w:szCs w:val="28"/>
          <w:rtl/>
        </w:rPr>
        <w:t xml:space="preserve">פוקס עמיר, (2016), ד"ר, </w:t>
      </w:r>
      <w:r w:rsidRPr="000022DF">
        <w:rPr>
          <w:rFonts w:cs="David" w:hint="cs"/>
          <w:b/>
          <w:bCs/>
          <w:sz w:val="28"/>
          <w:szCs w:val="28"/>
          <w:rtl/>
        </w:rPr>
        <w:t>עמית במכון לדמוקרטיה ישראלית</w:t>
      </w:r>
      <w:r>
        <w:rPr>
          <w:rFonts w:cs="David" w:hint="cs"/>
          <w:sz w:val="28"/>
          <w:szCs w:val="28"/>
          <w:rtl/>
        </w:rPr>
        <w:t>, 6.2.2016.</w:t>
      </w:r>
    </w:p>
    <w:p w:rsidR="003C69F2" w:rsidRDefault="003C69F2" w:rsidP="003C69F2">
      <w:pPr>
        <w:jc w:val="both"/>
        <w:rPr>
          <w:rFonts w:cs="David"/>
          <w:sz w:val="28"/>
          <w:szCs w:val="28"/>
          <w:rtl/>
        </w:rPr>
      </w:pPr>
      <w:r>
        <w:rPr>
          <w:rFonts w:cs="David" w:hint="cs"/>
          <w:sz w:val="28"/>
          <w:szCs w:val="28"/>
          <w:rtl/>
        </w:rPr>
        <w:t xml:space="preserve">רוטנברג ליאת, (2016), רפ"ק, </w:t>
      </w:r>
      <w:r w:rsidRPr="000D5B51">
        <w:rPr>
          <w:rFonts w:cs="David" w:hint="cs"/>
          <w:b/>
          <w:bCs/>
          <w:sz w:val="28"/>
          <w:szCs w:val="28"/>
          <w:rtl/>
        </w:rPr>
        <w:t>ראש חולית מידע גלוי במטה הארצי משטרת ישראל</w:t>
      </w:r>
      <w:r>
        <w:rPr>
          <w:rFonts w:cs="David" w:hint="cs"/>
          <w:sz w:val="28"/>
          <w:szCs w:val="28"/>
          <w:rtl/>
        </w:rPr>
        <w:t>, 29.1.2016.</w:t>
      </w:r>
    </w:p>
    <w:p w:rsidR="003C69F2" w:rsidRDefault="003C69F2" w:rsidP="003C69F2">
      <w:pPr>
        <w:jc w:val="both"/>
        <w:rPr>
          <w:rFonts w:cs="David"/>
          <w:sz w:val="28"/>
          <w:szCs w:val="28"/>
          <w:rtl/>
        </w:rPr>
      </w:pPr>
      <w:r>
        <w:rPr>
          <w:rFonts w:cs="David" w:hint="cs"/>
          <w:sz w:val="28"/>
          <w:szCs w:val="28"/>
          <w:rtl/>
        </w:rPr>
        <w:t xml:space="preserve">שגיא זיו, (2016), רפ"ק, </w:t>
      </w:r>
      <w:r w:rsidRPr="00C85EF1">
        <w:rPr>
          <w:rFonts w:cs="David" w:hint="cs"/>
          <w:b/>
          <w:bCs/>
          <w:sz w:val="28"/>
          <w:szCs w:val="28"/>
          <w:rtl/>
        </w:rPr>
        <w:t>ראש תחום מודיעין</w:t>
      </w:r>
      <w:r>
        <w:rPr>
          <w:rFonts w:cs="David" w:hint="cs"/>
          <w:sz w:val="28"/>
          <w:szCs w:val="28"/>
          <w:rtl/>
        </w:rPr>
        <w:t xml:space="preserve"> וחיון אודליה, רפ"ק, </w:t>
      </w:r>
      <w:r w:rsidRPr="00C85EF1">
        <w:rPr>
          <w:rFonts w:cs="David" w:hint="cs"/>
          <w:b/>
          <w:bCs/>
          <w:sz w:val="28"/>
          <w:szCs w:val="28"/>
          <w:rtl/>
        </w:rPr>
        <w:t>ראש מחלק הערכה</w:t>
      </w:r>
      <w:r>
        <w:rPr>
          <w:rFonts w:cs="David" w:hint="cs"/>
          <w:sz w:val="28"/>
          <w:szCs w:val="28"/>
          <w:rtl/>
        </w:rPr>
        <w:t xml:space="preserve"> </w:t>
      </w:r>
      <w:r w:rsidRPr="00C85EF1">
        <w:rPr>
          <w:rFonts w:cs="David" w:hint="cs"/>
          <w:b/>
          <w:bCs/>
          <w:sz w:val="28"/>
          <w:szCs w:val="28"/>
          <w:rtl/>
        </w:rPr>
        <w:t>יחידת סייבר 433</w:t>
      </w:r>
      <w:r>
        <w:rPr>
          <w:rFonts w:cs="David" w:hint="cs"/>
          <w:sz w:val="28"/>
          <w:szCs w:val="28"/>
          <w:rtl/>
        </w:rPr>
        <w:t>, 18.12.2016.</w:t>
      </w:r>
    </w:p>
    <w:p w:rsidR="003C69F2" w:rsidRDefault="003C69F2" w:rsidP="003C69F2">
      <w:pPr>
        <w:jc w:val="both"/>
        <w:rPr>
          <w:rFonts w:cs="David"/>
          <w:sz w:val="28"/>
          <w:szCs w:val="28"/>
          <w:rtl/>
        </w:rPr>
      </w:pPr>
      <w:r>
        <w:rPr>
          <w:rFonts w:cs="David" w:hint="cs"/>
          <w:sz w:val="28"/>
          <w:szCs w:val="28"/>
          <w:rtl/>
        </w:rPr>
        <w:t xml:space="preserve">שטרן ירון, (2016), רפ"ק, </w:t>
      </w:r>
      <w:r w:rsidRPr="00C85EF1">
        <w:rPr>
          <w:rFonts w:cs="David" w:hint="cs"/>
          <w:b/>
          <w:bCs/>
          <w:sz w:val="28"/>
          <w:szCs w:val="28"/>
          <w:rtl/>
        </w:rPr>
        <w:t>ראש חולית סייבר חטיבת החקירות במשטרת ישראל</w:t>
      </w:r>
      <w:r>
        <w:rPr>
          <w:rFonts w:cs="David" w:hint="cs"/>
          <w:sz w:val="28"/>
          <w:szCs w:val="28"/>
          <w:rtl/>
        </w:rPr>
        <w:t>, 15.1.2016.</w:t>
      </w:r>
    </w:p>
    <w:p w:rsidR="003C69F2" w:rsidRPr="00267FA2" w:rsidRDefault="003C69F2" w:rsidP="00633618">
      <w:pPr>
        <w:pStyle w:val="a6"/>
        <w:spacing w:line="360" w:lineRule="auto"/>
        <w:ind w:left="0"/>
        <w:jc w:val="both"/>
        <w:rPr>
          <w:rFonts w:cs="David"/>
          <w:sz w:val="28"/>
          <w:szCs w:val="28"/>
          <w:rtl/>
        </w:rPr>
      </w:pPr>
    </w:p>
    <w:sectPr w:rsidR="003C69F2" w:rsidRPr="00267FA2" w:rsidSect="0053053C">
      <w:footerReference w:type="default" r:id="rId3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ED9" w:rsidRDefault="00C67ED9" w:rsidP="007634BC">
      <w:pPr>
        <w:spacing w:after="0" w:line="240" w:lineRule="auto"/>
      </w:pPr>
      <w:r>
        <w:separator/>
      </w:r>
    </w:p>
  </w:endnote>
  <w:endnote w:type="continuationSeparator" w:id="0">
    <w:p w:rsidR="00C67ED9" w:rsidRDefault="00C67ED9" w:rsidP="00763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48856691"/>
      <w:docPartObj>
        <w:docPartGallery w:val="Page Numbers (Bottom of Page)"/>
        <w:docPartUnique/>
      </w:docPartObj>
    </w:sdtPr>
    <w:sdtEndPr>
      <w:rPr>
        <w:cs/>
      </w:rPr>
    </w:sdtEndPr>
    <w:sdtContent>
      <w:p w:rsidR="0014770C" w:rsidRDefault="0014770C">
        <w:pPr>
          <w:pStyle w:val="ab"/>
          <w:jc w:val="right"/>
          <w:rPr>
            <w:rtl/>
            <w:cs/>
          </w:rPr>
        </w:pPr>
        <w:r>
          <w:fldChar w:fldCharType="begin"/>
        </w:r>
        <w:r>
          <w:rPr>
            <w:rtl/>
            <w:cs/>
          </w:rPr>
          <w:instrText>PAGE   \* MERGEFORMAT</w:instrText>
        </w:r>
        <w:r>
          <w:fldChar w:fldCharType="separate"/>
        </w:r>
        <w:r w:rsidR="002D767A" w:rsidRPr="002D767A">
          <w:rPr>
            <w:noProof/>
            <w:rtl/>
            <w:lang w:val="he-IL"/>
          </w:rPr>
          <w:t>1</w:t>
        </w:r>
        <w:r>
          <w:fldChar w:fldCharType="end"/>
        </w:r>
      </w:p>
    </w:sdtContent>
  </w:sdt>
  <w:p w:rsidR="0014770C" w:rsidRDefault="0014770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ED9" w:rsidRDefault="00C67ED9" w:rsidP="007634BC">
      <w:pPr>
        <w:spacing w:after="0" w:line="240" w:lineRule="auto"/>
      </w:pPr>
      <w:r>
        <w:separator/>
      </w:r>
    </w:p>
  </w:footnote>
  <w:footnote w:type="continuationSeparator" w:id="0">
    <w:p w:rsidR="00C67ED9" w:rsidRDefault="00C67ED9" w:rsidP="007634BC">
      <w:pPr>
        <w:spacing w:after="0" w:line="240" w:lineRule="auto"/>
      </w:pPr>
      <w:r>
        <w:continuationSeparator/>
      </w:r>
    </w:p>
  </w:footnote>
  <w:footnote w:id="1">
    <w:p w:rsidR="0014770C" w:rsidRDefault="0014770C" w:rsidP="002652B1">
      <w:pPr>
        <w:pStyle w:val="a3"/>
      </w:pPr>
      <w:r>
        <w:rPr>
          <w:rStyle w:val="a5"/>
        </w:rPr>
        <w:footnoteRef/>
      </w:r>
      <w:r>
        <w:rPr>
          <w:rtl/>
        </w:rPr>
        <w:t xml:space="preserve"> </w:t>
      </w:r>
      <w:r w:rsidRPr="004C168A">
        <w:rPr>
          <w:rFonts w:cs="David" w:hint="cs"/>
          <w:rtl/>
        </w:rPr>
        <w:t xml:space="preserve">עידן אשר, </w:t>
      </w:r>
      <w:r w:rsidRPr="004C168A">
        <w:rPr>
          <w:rFonts w:cs="David" w:hint="cs"/>
          <w:b/>
          <w:bCs/>
          <w:rtl/>
        </w:rPr>
        <w:t xml:space="preserve">ההמון מסתער </w:t>
      </w:r>
      <w:r w:rsidRPr="004C168A">
        <w:rPr>
          <w:rFonts w:cs="David"/>
          <w:b/>
          <w:bCs/>
          <w:rtl/>
        </w:rPr>
        <w:t>–</w:t>
      </w:r>
      <w:r w:rsidRPr="004C168A">
        <w:rPr>
          <w:rFonts w:cs="David" w:hint="cs"/>
          <w:b/>
          <w:bCs/>
          <w:rtl/>
        </w:rPr>
        <w:t xml:space="preserve"> מהפכת הרשת החברתית</w:t>
      </w:r>
      <w:r w:rsidRPr="004C168A">
        <w:rPr>
          <w:rFonts w:cs="David" w:hint="cs"/>
          <w:rtl/>
        </w:rPr>
        <w:t xml:space="preserve">, עמ' </w:t>
      </w:r>
      <w:r>
        <w:rPr>
          <w:rFonts w:cs="David" w:hint="cs"/>
          <w:rtl/>
        </w:rPr>
        <w:t xml:space="preserve">11, </w:t>
      </w:r>
      <w:r w:rsidRPr="004C168A">
        <w:rPr>
          <w:rFonts w:cs="David" w:hint="cs"/>
          <w:rtl/>
        </w:rPr>
        <w:t>(2012).</w:t>
      </w:r>
    </w:p>
  </w:footnote>
  <w:footnote w:id="2">
    <w:p w:rsidR="0014770C" w:rsidRDefault="0014770C" w:rsidP="002652B1">
      <w:pPr>
        <w:pStyle w:val="a3"/>
        <w:rPr>
          <w:rtl/>
        </w:rPr>
      </w:pPr>
      <w:r>
        <w:rPr>
          <w:rStyle w:val="a5"/>
        </w:rPr>
        <w:footnoteRef/>
      </w:r>
      <w:r>
        <w:rPr>
          <w:rtl/>
        </w:rPr>
        <w:t xml:space="preserve"> </w:t>
      </w:r>
      <w:r w:rsidRPr="0049359B">
        <w:rPr>
          <w:rFonts w:cs="David" w:hint="cs"/>
          <w:rtl/>
        </w:rPr>
        <w:t>שם.</w:t>
      </w:r>
    </w:p>
  </w:footnote>
  <w:footnote w:id="3">
    <w:p w:rsidR="0014770C" w:rsidRDefault="0014770C" w:rsidP="002652B1">
      <w:pPr>
        <w:pStyle w:val="a3"/>
        <w:rPr>
          <w:rtl/>
        </w:rPr>
      </w:pPr>
      <w:r>
        <w:rPr>
          <w:rStyle w:val="a5"/>
        </w:rPr>
        <w:footnoteRef/>
      </w:r>
      <w:r>
        <w:rPr>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50</w:t>
      </w:r>
      <w:r>
        <w:rPr>
          <w:rFonts w:cs="David" w:hint="cs"/>
          <w:rtl/>
        </w:rPr>
        <w:t>0</w:t>
      </w:r>
      <w:r w:rsidRPr="004C168A">
        <w:rPr>
          <w:rFonts w:cs="David" w:hint="cs"/>
          <w:rtl/>
        </w:rPr>
        <w:t xml:space="preserve"> (2013).</w:t>
      </w:r>
    </w:p>
  </w:footnote>
  <w:footnote w:id="4">
    <w:p w:rsidR="0014770C" w:rsidRPr="00DE3C21" w:rsidRDefault="0014770C" w:rsidP="002652B1">
      <w:pPr>
        <w:pStyle w:val="a3"/>
        <w:rPr>
          <w:rFonts w:cs="David"/>
        </w:rPr>
      </w:pPr>
      <w:r>
        <w:rPr>
          <w:rStyle w:val="a5"/>
        </w:rPr>
        <w:footnoteRef/>
      </w:r>
      <w:r>
        <w:rPr>
          <w:rtl/>
        </w:rPr>
        <w:t xml:space="preserve"> </w:t>
      </w:r>
      <w:r>
        <w:rPr>
          <w:rFonts w:cs="David" w:hint="cs"/>
          <w:rtl/>
        </w:rPr>
        <w:t>שם.</w:t>
      </w:r>
    </w:p>
  </w:footnote>
  <w:footnote w:id="5">
    <w:p w:rsidR="0014770C" w:rsidRDefault="0014770C" w:rsidP="002652B1">
      <w:pPr>
        <w:pStyle w:val="a3"/>
      </w:pPr>
      <w:r>
        <w:rPr>
          <w:rStyle w:val="a5"/>
        </w:rPr>
        <w:footnoteRef/>
      </w:r>
      <w:r>
        <w:rPr>
          <w:rtl/>
        </w:rPr>
        <w:t xml:space="preserve"> </w:t>
      </w:r>
      <w:r w:rsidRPr="003834F5">
        <w:rPr>
          <w:rFonts w:cs="David" w:hint="cs"/>
          <w:rtl/>
        </w:rPr>
        <w:t>שם, עמ' 501.</w:t>
      </w:r>
    </w:p>
  </w:footnote>
  <w:footnote w:id="6">
    <w:p w:rsidR="0014770C" w:rsidRDefault="0014770C" w:rsidP="002652B1">
      <w:pPr>
        <w:pStyle w:val="a3"/>
        <w:rPr>
          <w:rtl/>
        </w:rPr>
      </w:pPr>
      <w:r>
        <w:rPr>
          <w:rStyle w:val="a5"/>
        </w:rPr>
        <w:footnoteRef/>
      </w:r>
      <w:r>
        <w:rPr>
          <w:rtl/>
        </w:rPr>
        <w:t xml:space="preserve"> </w:t>
      </w:r>
      <w:r w:rsidRPr="00DE3C21">
        <w:rPr>
          <w:rFonts w:cs="David" w:hint="cs"/>
          <w:rtl/>
        </w:rPr>
        <w:t xml:space="preserve">כהן-אלמגור רפאל, </w:t>
      </w:r>
      <w:r w:rsidRPr="009E6D35">
        <w:rPr>
          <w:rFonts w:cs="David" w:hint="cs"/>
          <w:b/>
          <w:bCs/>
          <w:rtl/>
        </w:rPr>
        <w:t>המלכוד הדמוקרטי</w:t>
      </w:r>
      <w:r w:rsidRPr="00DE3C21">
        <w:rPr>
          <w:rFonts w:cs="David" w:hint="cs"/>
          <w:rtl/>
        </w:rPr>
        <w:t>, עמ' 466.</w:t>
      </w:r>
    </w:p>
  </w:footnote>
  <w:footnote w:id="7">
    <w:p w:rsidR="0014770C" w:rsidRDefault="0014770C" w:rsidP="002652B1">
      <w:pPr>
        <w:pStyle w:val="a3"/>
        <w:rPr>
          <w:rtl/>
        </w:rPr>
      </w:pPr>
      <w:r>
        <w:rPr>
          <w:rStyle w:val="a5"/>
        </w:rPr>
        <w:footnoteRef/>
      </w:r>
      <w:r>
        <w:rPr>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50</w:t>
      </w:r>
      <w:r>
        <w:rPr>
          <w:rFonts w:cs="David" w:hint="cs"/>
          <w:rtl/>
        </w:rPr>
        <w:t>1</w:t>
      </w:r>
      <w:r w:rsidRPr="004C168A">
        <w:rPr>
          <w:rFonts w:cs="David" w:hint="cs"/>
          <w:rtl/>
        </w:rPr>
        <w:t xml:space="preserve"> (2013).</w:t>
      </w:r>
    </w:p>
  </w:footnote>
  <w:footnote w:id="8">
    <w:p w:rsidR="0014770C" w:rsidRDefault="0014770C" w:rsidP="00323AB6">
      <w:pPr>
        <w:pStyle w:val="a3"/>
      </w:pPr>
      <w:r>
        <w:rPr>
          <w:rStyle w:val="a5"/>
        </w:rPr>
        <w:footnoteRef/>
      </w:r>
      <w:r>
        <w:rPr>
          <w:rtl/>
        </w:rPr>
        <w:t xml:space="preserve"> </w:t>
      </w:r>
      <w:r w:rsidRPr="00DE3C21">
        <w:rPr>
          <w:rFonts w:cs="David" w:hint="cs"/>
          <w:rtl/>
        </w:rPr>
        <w:t>כהן-אלמגור רפאל</w:t>
      </w:r>
      <w:r w:rsidRPr="009E6D35">
        <w:rPr>
          <w:rFonts w:cs="David" w:hint="cs"/>
          <w:b/>
          <w:bCs/>
          <w:rtl/>
        </w:rPr>
        <w:t>, המלכוד הדמוקרטי</w:t>
      </w:r>
      <w:r w:rsidRPr="00DE3C21">
        <w:rPr>
          <w:rFonts w:cs="David" w:hint="cs"/>
          <w:rtl/>
        </w:rPr>
        <w:t>, עמ' 46</w:t>
      </w:r>
      <w:r>
        <w:rPr>
          <w:rFonts w:cs="David" w:hint="cs"/>
          <w:rtl/>
        </w:rPr>
        <w:t>4</w:t>
      </w:r>
      <w:r w:rsidRPr="00DE3C21">
        <w:rPr>
          <w:rFonts w:cs="David" w:hint="cs"/>
          <w:rtl/>
        </w:rPr>
        <w:t>.</w:t>
      </w:r>
    </w:p>
  </w:footnote>
  <w:footnote w:id="9">
    <w:p w:rsidR="0014770C" w:rsidRDefault="0014770C">
      <w:pPr>
        <w:pStyle w:val="a3"/>
        <w:rPr>
          <w:rtl/>
        </w:rPr>
      </w:pPr>
      <w:r>
        <w:rPr>
          <w:rStyle w:val="a5"/>
        </w:rPr>
        <w:footnoteRef/>
      </w:r>
      <w:r>
        <w:rPr>
          <w:rtl/>
        </w:rPr>
        <w:t xml:space="preserve"> </w:t>
      </w:r>
      <w:r w:rsidRPr="00323AB6">
        <w:rPr>
          <w:rFonts w:cs="David" w:hint="cs"/>
          <w:rtl/>
        </w:rPr>
        <w:t xml:space="preserve">פוסטים לשם הדגמה </w:t>
      </w:r>
      <w:r w:rsidRPr="00323AB6">
        <w:rPr>
          <w:rFonts w:cs="David"/>
          <w:rtl/>
        </w:rPr>
        <w:t>–</w:t>
      </w:r>
      <w:r w:rsidRPr="00323AB6">
        <w:rPr>
          <w:rFonts w:cs="David" w:hint="cs"/>
          <w:rtl/>
        </w:rPr>
        <w:t xml:space="preserve"> ראו נספח מספר 1</w:t>
      </w:r>
      <w:r>
        <w:rPr>
          <w:rFonts w:hint="cs"/>
          <w:rtl/>
        </w:rPr>
        <w:t>.</w:t>
      </w:r>
    </w:p>
  </w:footnote>
  <w:footnote w:id="10">
    <w:p w:rsidR="0014770C" w:rsidRPr="00236B27" w:rsidRDefault="0014770C" w:rsidP="002652B1">
      <w:pPr>
        <w:pStyle w:val="a3"/>
        <w:jc w:val="both"/>
      </w:pPr>
      <w:r>
        <w:rPr>
          <w:rStyle w:val="a5"/>
        </w:rPr>
        <w:footnoteRef/>
      </w:r>
      <w:r>
        <w:rPr>
          <w:rtl/>
        </w:rPr>
        <w:t xml:space="preserve"> </w:t>
      </w:r>
      <w:r w:rsidRPr="00236B27">
        <w:rPr>
          <w:rFonts w:cs="David" w:hint="cs"/>
          <w:rtl/>
        </w:rPr>
        <w:t xml:space="preserve">חברה אזרחית העוסק בניטור הרשתות החברתיות. </w:t>
      </w:r>
      <w:r w:rsidRPr="00236B27">
        <w:rPr>
          <w:rFonts w:cs="David"/>
          <w:rtl/>
        </w:rPr>
        <w:t xml:space="preserve">מערכת הניטור של </w:t>
      </w:r>
      <w:r w:rsidRPr="00CD227A">
        <w:rPr>
          <w:rFonts w:asciiTheme="majorBidi" w:hAnsiTheme="majorBidi" w:cstheme="majorBidi"/>
        </w:rPr>
        <w:t>Vigo</w:t>
      </w:r>
      <w:r w:rsidRPr="00236B27">
        <w:rPr>
          <w:rFonts w:cs="David"/>
          <w:rtl/>
        </w:rPr>
        <w:t xml:space="preserve"> סורקת בכל יום כמיליון פוסטים מערוצי המדיה החברתית: פייסבוק, אינסטגרם, טוויטר, יו-טיוב, גוגל+, בלוגים, פורומים וטוקבקים. הנתונים מפולחים בזמן אמת על פי מילות מפתח ופרמטרים מוגדרים מראש.</w:t>
      </w:r>
      <w:r w:rsidRPr="00162F13">
        <w:rPr>
          <w:rFonts w:cs="David" w:hint="cs"/>
          <w:rtl/>
        </w:rPr>
        <w:t xml:space="preserve"> </w:t>
      </w:r>
      <w:r w:rsidRPr="00162F13">
        <w:rPr>
          <w:rFonts w:cs="David"/>
          <w:rtl/>
        </w:rPr>
        <w:t>באמצעות שיתוף הפעולה עם קרן ברל כצנלסון יצר</w:t>
      </w:r>
      <w:r>
        <w:rPr>
          <w:rFonts w:cs="David" w:hint="cs"/>
          <w:rtl/>
        </w:rPr>
        <w:t>ו</w:t>
      </w:r>
      <w:r w:rsidRPr="00162F13">
        <w:rPr>
          <w:rFonts w:cs="David"/>
          <w:rtl/>
        </w:rPr>
        <w:t xml:space="preserve"> את מדד השנאה, המאתר אם הופיעו בפוסט אחד או יותר מרשימה של 250 ביטויים המהווים קללות, הכללות גזעניות או קריאות לאלימות.</w:t>
      </w:r>
    </w:p>
    <w:p w:rsidR="0014770C" w:rsidRPr="00236B27" w:rsidRDefault="0014770C" w:rsidP="002652B1">
      <w:pPr>
        <w:pStyle w:val="a3"/>
        <w:rPr>
          <w:rtl/>
        </w:rPr>
      </w:pPr>
    </w:p>
  </w:footnote>
  <w:footnote w:id="11">
    <w:p w:rsidR="0014770C" w:rsidRPr="002D39E3" w:rsidRDefault="0014770C" w:rsidP="002652B1">
      <w:pPr>
        <w:pStyle w:val="a3"/>
        <w:rPr>
          <w:rtl/>
        </w:rPr>
      </w:pPr>
      <w:r>
        <w:rPr>
          <w:rStyle w:val="a5"/>
        </w:rPr>
        <w:footnoteRef/>
      </w:r>
      <w:r>
        <w:rPr>
          <w:rtl/>
        </w:rPr>
        <w:t xml:space="preserve"> </w:t>
      </w:r>
      <w:r>
        <w:rPr>
          <w:rFonts w:cs="David" w:hint="cs"/>
          <w:rtl/>
        </w:rPr>
        <w:t xml:space="preserve">טל רביב, </w:t>
      </w:r>
      <w:r w:rsidRPr="000350AB">
        <w:rPr>
          <w:rFonts w:cs="David" w:hint="cs"/>
          <w:b/>
          <w:bCs/>
          <w:rtl/>
        </w:rPr>
        <w:t>שיח שנאה ברשת</w:t>
      </w:r>
      <w:r>
        <w:rPr>
          <w:rFonts w:cs="David" w:hint="cs"/>
          <w:rtl/>
        </w:rPr>
        <w:t>, עמ' 99, (2015)</w:t>
      </w:r>
      <w:r w:rsidRPr="002D39E3">
        <w:rPr>
          <w:rFonts w:cs="David" w:hint="cs"/>
          <w:rtl/>
        </w:rPr>
        <w:t xml:space="preserve"> ומתוך ראיון עם </w:t>
      </w:r>
      <w:r w:rsidRPr="002D39E3">
        <w:rPr>
          <w:rFonts w:cs="David" w:hint="cs"/>
          <w:b/>
          <w:bCs/>
          <w:rtl/>
        </w:rPr>
        <w:t>מר טל רביב</w:t>
      </w:r>
      <w:r w:rsidRPr="002D39E3">
        <w:rPr>
          <w:rFonts w:cs="David" w:hint="cs"/>
          <w:rtl/>
        </w:rPr>
        <w:t xml:space="preserve">, מנכ"ל חברת </w:t>
      </w:r>
      <w:r w:rsidRPr="00CD227A">
        <w:rPr>
          <w:rFonts w:asciiTheme="majorBidi" w:hAnsiTheme="majorBidi" w:cstheme="majorBidi"/>
        </w:rPr>
        <w:t>Vigo</w:t>
      </w:r>
      <w:r w:rsidRPr="002D39E3">
        <w:rPr>
          <w:rFonts w:cs="David" w:hint="cs"/>
          <w:rtl/>
        </w:rPr>
        <w:t xml:space="preserve">, מתאריך 4.12.16 ונתונים ששלח לח"מ </w:t>
      </w:r>
      <w:r w:rsidRPr="002D39E3">
        <w:rPr>
          <w:rFonts w:cs="David"/>
          <w:rtl/>
        </w:rPr>
        <w:t>–</w:t>
      </w:r>
      <w:r w:rsidRPr="002D39E3">
        <w:rPr>
          <w:rFonts w:cs="David" w:hint="cs"/>
          <w:rtl/>
        </w:rPr>
        <w:t xml:space="preserve"> ר"מ.</w:t>
      </w:r>
    </w:p>
  </w:footnote>
  <w:footnote w:id="12">
    <w:p w:rsidR="0014770C" w:rsidRPr="000B40CB" w:rsidRDefault="0014770C" w:rsidP="00DE1589">
      <w:pPr>
        <w:pStyle w:val="a3"/>
        <w:rPr>
          <w:rFonts w:cs="David"/>
          <w:rtl/>
        </w:rPr>
      </w:pPr>
      <w:r w:rsidRPr="000B40CB">
        <w:rPr>
          <w:rStyle w:val="a5"/>
          <w:rFonts w:cs="David"/>
        </w:rPr>
        <w:footnoteRef/>
      </w:r>
      <w:r w:rsidRPr="000B40CB">
        <w:rPr>
          <w:rFonts w:cs="David"/>
          <w:rtl/>
        </w:rPr>
        <w:t xml:space="preserve"> </w:t>
      </w:r>
      <w:r w:rsidRPr="000B40CB">
        <w:rPr>
          <w:rFonts w:cs="David" w:hint="cs"/>
          <w:rtl/>
        </w:rPr>
        <w:t xml:space="preserve">קירקפטריק דיוויד, </w:t>
      </w:r>
      <w:r w:rsidRPr="000B40CB">
        <w:rPr>
          <w:rFonts w:cs="David" w:hint="cs"/>
          <w:b/>
          <w:bCs/>
          <w:rtl/>
        </w:rPr>
        <w:t>אפקט הפייסבוק, מבט מבפנים על החברה שמחברת את העולם</w:t>
      </w:r>
      <w:r w:rsidRPr="000B40CB">
        <w:rPr>
          <w:rFonts w:cs="David" w:hint="cs"/>
          <w:rtl/>
        </w:rPr>
        <w:t>, עמ' 76 (2011).</w:t>
      </w:r>
    </w:p>
  </w:footnote>
  <w:footnote w:id="13">
    <w:p w:rsidR="0014770C" w:rsidRDefault="0014770C" w:rsidP="00DE1589">
      <w:pPr>
        <w:pStyle w:val="a3"/>
        <w:rPr>
          <w:rtl/>
        </w:rPr>
      </w:pPr>
      <w:r w:rsidRPr="000B40CB">
        <w:rPr>
          <w:rStyle w:val="a5"/>
          <w:rFonts w:cs="David"/>
        </w:rPr>
        <w:footnoteRef/>
      </w:r>
      <w:r w:rsidRPr="000B40CB">
        <w:rPr>
          <w:rFonts w:cs="David"/>
          <w:rtl/>
        </w:rPr>
        <w:t xml:space="preserve"> </w:t>
      </w:r>
      <w:r w:rsidRPr="000B40CB">
        <w:rPr>
          <w:rFonts w:cs="David" w:hint="cs"/>
          <w:rtl/>
        </w:rPr>
        <w:t>שם, עמ' 79.</w:t>
      </w:r>
    </w:p>
  </w:footnote>
  <w:footnote w:id="14">
    <w:p w:rsidR="0014770C" w:rsidRPr="000B40CB" w:rsidRDefault="0014770C" w:rsidP="00DE1589">
      <w:pPr>
        <w:pStyle w:val="a3"/>
        <w:rPr>
          <w:rFonts w:cs="David"/>
          <w:rtl/>
        </w:rPr>
      </w:pPr>
      <w:r w:rsidRPr="000B40CB">
        <w:rPr>
          <w:rStyle w:val="a5"/>
          <w:rFonts w:cs="David"/>
        </w:rPr>
        <w:footnoteRef/>
      </w:r>
      <w:r w:rsidRPr="000B40CB">
        <w:rPr>
          <w:rFonts w:cs="David"/>
          <w:rtl/>
        </w:rPr>
        <w:t xml:space="preserve"> </w:t>
      </w:r>
      <w:r w:rsidRPr="000B40CB">
        <w:rPr>
          <w:rFonts w:cs="David" w:hint="cs"/>
          <w:rtl/>
        </w:rPr>
        <w:t>שם, 87.</w:t>
      </w:r>
    </w:p>
  </w:footnote>
  <w:footnote w:id="15">
    <w:p w:rsidR="0014770C" w:rsidRDefault="0014770C" w:rsidP="00DE1589">
      <w:pPr>
        <w:pStyle w:val="a3"/>
        <w:rPr>
          <w:rtl/>
        </w:rPr>
      </w:pPr>
      <w:r w:rsidRPr="000B40CB">
        <w:rPr>
          <w:rStyle w:val="a5"/>
          <w:rFonts w:cs="David"/>
        </w:rPr>
        <w:footnoteRef/>
      </w:r>
      <w:r w:rsidRPr="000B40CB">
        <w:rPr>
          <w:rFonts w:cs="David"/>
          <w:rtl/>
        </w:rPr>
        <w:t xml:space="preserve"> </w:t>
      </w:r>
      <w:r w:rsidRPr="000B40CB">
        <w:rPr>
          <w:rFonts w:cs="David" w:hint="cs"/>
          <w:rtl/>
        </w:rPr>
        <w:t>שם, עמ' 88.</w:t>
      </w:r>
    </w:p>
  </w:footnote>
  <w:footnote w:id="16">
    <w:p w:rsidR="0014770C" w:rsidRDefault="0014770C" w:rsidP="00DE1589">
      <w:pPr>
        <w:pStyle w:val="a3"/>
        <w:rPr>
          <w:rtl/>
        </w:rPr>
      </w:pPr>
      <w:r>
        <w:rPr>
          <w:rStyle w:val="a5"/>
        </w:rPr>
        <w:footnoteRef/>
      </w:r>
      <w:r>
        <w:rPr>
          <w:rtl/>
        </w:rPr>
        <w:t xml:space="preserve"> </w:t>
      </w:r>
      <w:r w:rsidRPr="000B40CB">
        <w:rPr>
          <w:rFonts w:cs="David" w:hint="cs"/>
          <w:rtl/>
        </w:rPr>
        <w:t xml:space="preserve">אתר </w:t>
      </w:r>
      <w:r w:rsidRPr="000A71AC">
        <w:rPr>
          <w:rFonts w:asciiTheme="majorBidi" w:hAnsiTheme="majorBidi" w:cstheme="majorBidi"/>
        </w:rPr>
        <w:t>Internet World Stats</w:t>
      </w:r>
      <w:r w:rsidRPr="000A71AC">
        <w:rPr>
          <w:rFonts w:asciiTheme="majorBidi" w:hAnsiTheme="majorBidi" w:cstheme="majorBidi"/>
          <w:rtl/>
        </w:rPr>
        <w:t xml:space="preserve">. </w:t>
      </w:r>
      <w:hyperlink r:id="rId1" w:history="1">
        <w:r w:rsidRPr="000A71AC">
          <w:rPr>
            <w:rStyle w:val="Hyperlink"/>
            <w:rFonts w:asciiTheme="majorBidi" w:hAnsiTheme="majorBidi" w:cstheme="majorBidi"/>
          </w:rPr>
          <w:t>www.internetworldstats.com</w:t>
        </w:r>
      </w:hyperlink>
    </w:p>
  </w:footnote>
  <w:footnote w:id="17">
    <w:p w:rsidR="0014770C" w:rsidRDefault="0014770C" w:rsidP="00E8632C">
      <w:pPr>
        <w:pStyle w:val="a3"/>
        <w:rPr>
          <w:rtl/>
        </w:rPr>
      </w:pPr>
      <w:r>
        <w:rPr>
          <w:rStyle w:val="a5"/>
        </w:rPr>
        <w:footnoteRef/>
      </w:r>
      <w:r>
        <w:rPr>
          <w:rtl/>
        </w:rPr>
        <w:t xml:space="preserve"> </w:t>
      </w:r>
      <w:r>
        <w:rPr>
          <w:rFonts w:cs="David" w:hint="cs"/>
          <w:rtl/>
        </w:rPr>
        <w:t>שם.</w:t>
      </w:r>
    </w:p>
  </w:footnote>
  <w:footnote w:id="18">
    <w:p w:rsidR="0014770C" w:rsidRPr="00F01E63" w:rsidRDefault="0014770C" w:rsidP="00DE1589">
      <w:pPr>
        <w:pStyle w:val="a3"/>
        <w:rPr>
          <w:rFonts w:cs="David"/>
        </w:rPr>
      </w:pPr>
      <w:r w:rsidRPr="00F01E63">
        <w:rPr>
          <w:rStyle w:val="a5"/>
          <w:rFonts w:cs="David"/>
        </w:rPr>
        <w:footnoteRef/>
      </w:r>
      <w:r w:rsidRPr="00F01E63">
        <w:rPr>
          <w:rFonts w:cs="David"/>
          <w:rtl/>
        </w:rPr>
        <w:t xml:space="preserve"> </w:t>
      </w:r>
      <w:r w:rsidRPr="00F01E63">
        <w:rPr>
          <w:rFonts w:cs="David" w:hint="cs"/>
          <w:rtl/>
        </w:rPr>
        <w:t>שם.</w:t>
      </w:r>
    </w:p>
  </w:footnote>
  <w:footnote w:id="19">
    <w:p w:rsidR="0014770C" w:rsidRPr="00227E81" w:rsidRDefault="0014770C" w:rsidP="00FA2026">
      <w:pPr>
        <w:pStyle w:val="a3"/>
        <w:jc w:val="both"/>
        <w:rPr>
          <w:rFonts w:cs="David"/>
        </w:rPr>
      </w:pPr>
      <w:r w:rsidRPr="00227E81">
        <w:rPr>
          <w:rStyle w:val="a5"/>
          <w:rFonts w:cs="David"/>
        </w:rPr>
        <w:footnoteRef/>
      </w:r>
      <w:r w:rsidRPr="00227E81">
        <w:rPr>
          <w:rFonts w:cs="David"/>
          <w:rtl/>
        </w:rPr>
        <w:t xml:space="preserve"> </w:t>
      </w:r>
      <w:r w:rsidRPr="00227E81">
        <w:rPr>
          <w:rFonts w:cs="David" w:hint="cs"/>
          <w:rtl/>
        </w:rPr>
        <w:t xml:space="preserve">הנתונים מבוססים על </w:t>
      </w:r>
      <w:r w:rsidRPr="00227E81">
        <w:rPr>
          <w:rFonts w:cs="David" w:hint="cs"/>
          <w:b/>
          <w:bCs/>
          <w:rtl/>
        </w:rPr>
        <w:t xml:space="preserve">"החיים בעידן הדיגיטאלי </w:t>
      </w:r>
      <w:r w:rsidRPr="00227E81">
        <w:rPr>
          <w:rFonts w:cs="David"/>
          <w:b/>
          <w:bCs/>
          <w:rtl/>
        </w:rPr>
        <w:t>–</w:t>
      </w:r>
      <w:r w:rsidRPr="00227E81">
        <w:rPr>
          <w:rFonts w:cs="David" w:hint="cs"/>
          <w:b/>
          <w:bCs/>
          <w:rtl/>
        </w:rPr>
        <w:t xml:space="preserve"> סיכום שנת 2016"</w:t>
      </w:r>
      <w:r w:rsidRPr="00227E81">
        <w:rPr>
          <w:rFonts w:cs="David" w:hint="cs"/>
          <w:rtl/>
        </w:rPr>
        <w:t xml:space="preserve">, דוח בזק, (7.12.16). לעומת זאת, ציין אתר </w:t>
      </w:r>
      <w:r w:rsidRPr="00227E81">
        <w:rPr>
          <w:rFonts w:cs="David" w:hint="cs"/>
        </w:rPr>
        <w:t>I</w:t>
      </w:r>
      <w:r w:rsidRPr="00227E81">
        <w:rPr>
          <w:rFonts w:cs="David"/>
        </w:rPr>
        <w:t>nternet World Stats</w:t>
      </w:r>
      <w:r w:rsidRPr="00227E81">
        <w:rPr>
          <w:rFonts w:cs="David" w:hint="cs"/>
          <w:rtl/>
        </w:rPr>
        <w:t xml:space="preserve"> כי ביוני 2016 היו בישראל 5,941,174 משתמשים במרשתת שהם 72.7% מכלל האוכלוסייה במדינה.</w:t>
      </w:r>
      <w:r w:rsidRPr="000A71AC">
        <w:rPr>
          <w:rStyle w:val="Hyperlink"/>
          <w:rFonts w:asciiTheme="majorBidi" w:hAnsiTheme="majorBidi" w:cstheme="majorBidi"/>
        </w:rPr>
        <w:t>www.internetworldstats.com</w:t>
      </w:r>
    </w:p>
  </w:footnote>
  <w:footnote w:id="20">
    <w:p w:rsidR="0014770C" w:rsidRPr="00653C67" w:rsidRDefault="0014770C" w:rsidP="00FA2026">
      <w:pPr>
        <w:pStyle w:val="a3"/>
        <w:jc w:val="both"/>
        <w:rPr>
          <w:rtl/>
        </w:rPr>
      </w:pPr>
      <w:r>
        <w:rPr>
          <w:rStyle w:val="a5"/>
        </w:rPr>
        <w:footnoteRef/>
      </w:r>
      <w:r>
        <w:rPr>
          <w:rtl/>
        </w:rPr>
        <w:t xml:space="preserve"> </w:t>
      </w:r>
      <w:r w:rsidRPr="009944D8">
        <w:rPr>
          <w:rFonts w:cs="David" w:hint="cs"/>
          <w:rtl/>
        </w:rPr>
        <w:t xml:space="preserve">הנתונים מבוססים על </w:t>
      </w:r>
      <w:r w:rsidRPr="009944D8">
        <w:rPr>
          <w:rFonts w:cs="David" w:hint="cs"/>
          <w:b/>
          <w:bCs/>
          <w:rtl/>
        </w:rPr>
        <w:t>איגוד האינטרנט הישראלי</w:t>
      </w:r>
      <w:r w:rsidRPr="009944D8">
        <w:rPr>
          <w:rFonts w:cs="David" w:hint="cs"/>
          <w:rtl/>
        </w:rPr>
        <w:t xml:space="preserve">, נכון לתאריך 30.6.2016 </w:t>
      </w:r>
      <w:hyperlink r:id="rId2" w:history="1">
        <w:r w:rsidRPr="000A71AC">
          <w:rPr>
            <w:rStyle w:val="Hyperlink"/>
            <w:rFonts w:asciiTheme="majorBidi" w:hAnsiTheme="majorBidi" w:cstheme="majorBidi"/>
          </w:rPr>
          <w:t>http://www.isoc.org.il/sts-data/11216</w:t>
        </w:r>
      </w:hyperlink>
      <w:r w:rsidRPr="000A71AC">
        <w:rPr>
          <w:rFonts w:asciiTheme="majorBidi" w:hAnsiTheme="majorBidi" w:cstheme="majorBidi"/>
          <w:rtl/>
        </w:rPr>
        <w:t>.</w:t>
      </w:r>
      <w:r w:rsidRPr="009944D8">
        <w:rPr>
          <w:rFonts w:cs="David" w:hint="cs"/>
          <w:rtl/>
        </w:rPr>
        <w:t xml:space="preserve"> </w:t>
      </w:r>
      <w:r w:rsidRPr="009944D8">
        <w:rPr>
          <w:rFonts w:cs="David"/>
          <w:rtl/>
        </w:rPr>
        <w:t xml:space="preserve">הסקר נערך על ידי מכון </w:t>
      </w:r>
      <w:r>
        <w:rPr>
          <w:rFonts w:cs="David" w:hint="cs"/>
          <w:rtl/>
        </w:rPr>
        <w:t>'</w:t>
      </w:r>
      <w:r w:rsidRPr="009944D8">
        <w:rPr>
          <w:rFonts w:cs="David"/>
          <w:rtl/>
        </w:rPr>
        <w:t>סטאטנט</w:t>
      </w:r>
      <w:r>
        <w:rPr>
          <w:rFonts w:cs="David" w:hint="cs"/>
          <w:rtl/>
        </w:rPr>
        <w:t>'</w:t>
      </w:r>
      <w:r w:rsidRPr="009944D8">
        <w:rPr>
          <w:rFonts w:cs="David"/>
          <w:rtl/>
        </w:rPr>
        <w:t xml:space="preserve"> בחודש יוני 2016, בקרב מדגם מייצג של  613 משיבים</w:t>
      </w:r>
      <w:r w:rsidRPr="009944D8">
        <w:rPr>
          <w:rFonts w:cs="David"/>
        </w:rPr>
        <w:t>.</w:t>
      </w:r>
    </w:p>
  </w:footnote>
  <w:footnote w:id="21">
    <w:p w:rsidR="0014770C" w:rsidRDefault="0014770C" w:rsidP="00FA2026">
      <w:pPr>
        <w:pStyle w:val="a3"/>
        <w:jc w:val="both"/>
        <w:rPr>
          <w:rtl/>
        </w:rPr>
      </w:pPr>
      <w:r>
        <w:rPr>
          <w:rStyle w:val="a5"/>
        </w:rPr>
        <w:footnoteRef/>
      </w:r>
      <w:r>
        <w:rPr>
          <w:rtl/>
        </w:rPr>
        <w:t xml:space="preserve"> </w:t>
      </w:r>
      <w:r w:rsidRPr="00227E81">
        <w:rPr>
          <w:rFonts w:cs="David" w:hint="cs"/>
          <w:rtl/>
        </w:rPr>
        <w:t xml:space="preserve">רוזן גיל, </w:t>
      </w:r>
      <w:r w:rsidRPr="00227E81">
        <w:rPr>
          <w:rFonts w:cs="David" w:hint="cs"/>
          <w:b/>
          <w:bCs/>
          <w:rtl/>
        </w:rPr>
        <w:t xml:space="preserve">"החיים בעידן הדיגיטאלי </w:t>
      </w:r>
      <w:r w:rsidRPr="00227E81">
        <w:rPr>
          <w:rFonts w:cs="David"/>
          <w:b/>
          <w:bCs/>
          <w:rtl/>
        </w:rPr>
        <w:t>–</w:t>
      </w:r>
      <w:r w:rsidRPr="00227E81">
        <w:rPr>
          <w:rFonts w:cs="David" w:hint="cs"/>
          <w:b/>
          <w:bCs/>
          <w:rtl/>
        </w:rPr>
        <w:t xml:space="preserve"> סיכום שנת 2016"</w:t>
      </w:r>
      <w:r w:rsidRPr="00227E81">
        <w:rPr>
          <w:rFonts w:cs="David" w:hint="cs"/>
          <w:rtl/>
        </w:rPr>
        <w:t>, דוח בזק, (7.12.16)</w:t>
      </w:r>
    </w:p>
  </w:footnote>
  <w:footnote w:id="22">
    <w:p w:rsidR="0014770C" w:rsidRPr="00544B36" w:rsidRDefault="0014770C" w:rsidP="00FA2026">
      <w:pPr>
        <w:pStyle w:val="a3"/>
        <w:jc w:val="both"/>
        <w:rPr>
          <w:rFonts w:cs="David"/>
          <w:rtl/>
        </w:rPr>
      </w:pPr>
      <w:r w:rsidRPr="00544B36">
        <w:rPr>
          <w:rStyle w:val="a5"/>
          <w:rFonts w:cs="David"/>
        </w:rPr>
        <w:footnoteRef/>
      </w:r>
      <w:r w:rsidRPr="00544B36">
        <w:rPr>
          <w:rFonts w:cs="David"/>
          <w:rtl/>
        </w:rPr>
        <w:t xml:space="preserve"> </w:t>
      </w:r>
      <w:r w:rsidRPr="00544B36">
        <w:rPr>
          <w:rFonts w:cs="David" w:hint="cs"/>
          <w:rtl/>
        </w:rPr>
        <w:t>שם.</w:t>
      </w:r>
    </w:p>
  </w:footnote>
  <w:footnote w:id="23">
    <w:p w:rsidR="0014770C" w:rsidRDefault="0014770C" w:rsidP="00FA2026">
      <w:pPr>
        <w:pStyle w:val="a3"/>
        <w:jc w:val="both"/>
        <w:rPr>
          <w:rtl/>
        </w:rPr>
      </w:pPr>
      <w:r>
        <w:rPr>
          <w:rStyle w:val="a5"/>
        </w:rPr>
        <w:footnoteRef/>
      </w:r>
      <w:r>
        <w:rPr>
          <w:rtl/>
        </w:rPr>
        <w:t xml:space="preserve"> </w:t>
      </w:r>
      <w:r w:rsidRPr="009944D8">
        <w:rPr>
          <w:rFonts w:cs="David" w:hint="cs"/>
          <w:rtl/>
        </w:rPr>
        <w:t xml:space="preserve">הנתונים מבוססים על </w:t>
      </w:r>
      <w:r w:rsidRPr="009944D8">
        <w:rPr>
          <w:rFonts w:cs="David" w:hint="cs"/>
          <w:b/>
          <w:bCs/>
          <w:rtl/>
        </w:rPr>
        <w:t>איגוד האינטרנט הישראלי</w:t>
      </w:r>
      <w:r w:rsidRPr="009944D8">
        <w:rPr>
          <w:rFonts w:cs="David" w:hint="cs"/>
          <w:rtl/>
        </w:rPr>
        <w:t xml:space="preserve">, נכון לתאריך 30.6.2016 </w:t>
      </w:r>
      <w:hyperlink r:id="rId3" w:history="1">
        <w:r w:rsidRPr="000A71AC">
          <w:rPr>
            <w:rStyle w:val="Hyperlink"/>
            <w:rFonts w:asciiTheme="majorBidi" w:hAnsiTheme="majorBidi" w:cstheme="majorBidi"/>
          </w:rPr>
          <w:t>http://www.isoc.org.il/sts-data/11216</w:t>
        </w:r>
      </w:hyperlink>
      <w:r w:rsidRPr="009944D8">
        <w:rPr>
          <w:rFonts w:cs="David" w:hint="cs"/>
          <w:rtl/>
        </w:rPr>
        <w:t xml:space="preserve">. </w:t>
      </w:r>
      <w:r w:rsidRPr="009944D8">
        <w:rPr>
          <w:rFonts w:cs="David"/>
          <w:rtl/>
        </w:rPr>
        <w:t xml:space="preserve">הסקר נערך על ידי מכון </w:t>
      </w:r>
      <w:r>
        <w:rPr>
          <w:rFonts w:cs="David" w:hint="cs"/>
          <w:rtl/>
        </w:rPr>
        <w:t>'</w:t>
      </w:r>
      <w:r w:rsidRPr="009944D8">
        <w:rPr>
          <w:rFonts w:cs="David"/>
          <w:rtl/>
        </w:rPr>
        <w:t>סטאטנט</w:t>
      </w:r>
      <w:r>
        <w:rPr>
          <w:rFonts w:cs="David" w:hint="cs"/>
          <w:rtl/>
        </w:rPr>
        <w:t>'</w:t>
      </w:r>
      <w:r w:rsidRPr="009944D8">
        <w:rPr>
          <w:rFonts w:cs="David"/>
          <w:rtl/>
        </w:rPr>
        <w:t xml:space="preserve"> בחודש יוני 2016, בקרב מדגם מייצג של  613 משיבים</w:t>
      </w:r>
      <w:r w:rsidRPr="009944D8">
        <w:rPr>
          <w:rFonts w:cs="David"/>
        </w:rPr>
        <w:t>.</w:t>
      </w:r>
    </w:p>
  </w:footnote>
  <w:footnote w:id="24">
    <w:p w:rsidR="0014770C" w:rsidRPr="00385DE0" w:rsidRDefault="0014770C" w:rsidP="00FA2026">
      <w:pPr>
        <w:pStyle w:val="a3"/>
        <w:jc w:val="both"/>
        <w:rPr>
          <w:rFonts w:cs="David"/>
          <w:rtl/>
        </w:rPr>
      </w:pPr>
      <w:r w:rsidRPr="00385DE0">
        <w:rPr>
          <w:rStyle w:val="a5"/>
          <w:rFonts w:cs="David"/>
        </w:rPr>
        <w:footnoteRef/>
      </w:r>
      <w:r w:rsidRPr="00385DE0">
        <w:rPr>
          <w:rFonts w:cs="David"/>
          <w:rtl/>
        </w:rPr>
        <w:t xml:space="preserve"> </w:t>
      </w:r>
      <w:r w:rsidRPr="00385DE0">
        <w:rPr>
          <w:rFonts w:cs="David" w:hint="cs"/>
          <w:rtl/>
        </w:rPr>
        <w:t>שם.</w:t>
      </w:r>
    </w:p>
  </w:footnote>
  <w:footnote w:id="25">
    <w:p w:rsidR="0014770C" w:rsidRDefault="0014770C" w:rsidP="00FA2026">
      <w:pPr>
        <w:pStyle w:val="a3"/>
        <w:jc w:val="both"/>
      </w:pPr>
      <w:r>
        <w:rPr>
          <w:rStyle w:val="a5"/>
        </w:rPr>
        <w:footnoteRef/>
      </w:r>
      <w:r>
        <w:rPr>
          <w:rtl/>
        </w:rPr>
        <w:t xml:space="preserve"> </w:t>
      </w:r>
      <w:r>
        <w:rPr>
          <w:rFonts w:hint="cs"/>
          <w:rtl/>
        </w:rPr>
        <w:t xml:space="preserve">אתר </w:t>
      </w:r>
      <w:r w:rsidRPr="000A71AC">
        <w:rPr>
          <w:rFonts w:asciiTheme="majorBidi" w:hAnsiTheme="majorBidi" w:cstheme="majorBidi"/>
        </w:rPr>
        <w:t>Internet World Stats</w:t>
      </w:r>
      <w:r w:rsidRPr="000A71AC">
        <w:rPr>
          <w:rFonts w:asciiTheme="majorBidi" w:hAnsiTheme="majorBidi" w:cstheme="majorBidi"/>
          <w:rtl/>
        </w:rPr>
        <w:t>.</w:t>
      </w:r>
      <w:r>
        <w:rPr>
          <w:rFonts w:hint="cs"/>
          <w:rtl/>
        </w:rPr>
        <w:t xml:space="preserve"> </w:t>
      </w:r>
      <w:hyperlink r:id="rId4" w:history="1">
        <w:r w:rsidRPr="000A71AC">
          <w:rPr>
            <w:rStyle w:val="Hyperlink"/>
            <w:rFonts w:asciiTheme="majorBidi" w:hAnsiTheme="majorBidi" w:cstheme="majorBidi"/>
          </w:rPr>
          <w:t>www.internetworldstats.com</w:t>
        </w:r>
      </w:hyperlink>
      <w:r>
        <w:rPr>
          <w:rFonts w:hint="cs"/>
          <w:rtl/>
        </w:rPr>
        <w:t xml:space="preserve"> </w:t>
      </w:r>
      <w:r>
        <w:rPr>
          <w:rFonts w:hint="cs"/>
          <w:rtl/>
        </w:rPr>
        <w:tab/>
        <w:t xml:space="preserve"> </w:t>
      </w:r>
      <w:r>
        <w:rPr>
          <w:rtl/>
        </w:rPr>
        <w:tab/>
      </w:r>
    </w:p>
  </w:footnote>
  <w:footnote w:id="26">
    <w:p w:rsidR="0014770C" w:rsidRDefault="0014770C" w:rsidP="00FA2026">
      <w:pPr>
        <w:pStyle w:val="a3"/>
        <w:jc w:val="both"/>
        <w:rPr>
          <w:rtl/>
        </w:rPr>
      </w:pPr>
      <w:r>
        <w:rPr>
          <w:rStyle w:val="a5"/>
        </w:rPr>
        <w:footnoteRef/>
      </w:r>
      <w:r>
        <w:rPr>
          <w:rtl/>
        </w:rPr>
        <w:t xml:space="preserve"> </w:t>
      </w:r>
      <w:r w:rsidRPr="00227E81">
        <w:rPr>
          <w:rFonts w:cs="David" w:hint="cs"/>
          <w:rtl/>
        </w:rPr>
        <w:t xml:space="preserve">הנתונים מבוססים על </w:t>
      </w:r>
      <w:r w:rsidRPr="00227E81">
        <w:rPr>
          <w:rFonts w:cs="David" w:hint="cs"/>
          <w:b/>
          <w:bCs/>
          <w:rtl/>
        </w:rPr>
        <w:t xml:space="preserve">"החיים בעידן הדיגיטאלי </w:t>
      </w:r>
      <w:r w:rsidRPr="00227E81">
        <w:rPr>
          <w:rFonts w:cs="David"/>
          <w:b/>
          <w:bCs/>
          <w:rtl/>
        </w:rPr>
        <w:t>–</w:t>
      </w:r>
      <w:r w:rsidRPr="00227E81">
        <w:rPr>
          <w:rFonts w:cs="David" w:hint="cs"/>
          <w:b/>
          <w:bCs/>
          <w:rtl/>
        </w:rPr>
        <w:t xml:space="preserve"> סיכום שנת 2016"</w:t>
      </w:r>
      <w:r w:rsidRPr="00227E81">
        <w:rPr>
          <w:rFonts w:cs="David" w:hint="cs"/>
          <w:rtl/>
        </w:rPr>
        <w:t>, דוח בזק, (7.12.16).</w:t>
      </w:r>
    </w:p>
  </w:footnote>
  <w:footnote w:id="27">
    <w:p w:rsidR="0014770C" w:rsidRPr="0030785C" w:rsidRDefault="0014770C" w:rsidP="00FA2026">
      <w:pPr>
        <w:pStyle w:val="a3"/>
        <w:jc w:val="both"/>
        <w:rPr>
          <w:rFonts w:cs="David"/>
          <w:rtl/>
        </w:rPr>
      </w:pPr>
      <w:r w:rsidRPr="0030785C">
        <w:rPr>
          <w:rStyle w:val="a5"/>
          <w:rFonts w:cs="David"/>
        </w:rPr>
        <w:footnoteRef/>
      </w:r>
      <w:r w:rsidRPr="0030785C">
        <w:rPr>
          <w:rFonts w:cs="David"/>
          <w:rtl/>
        </w:rPr>
        <w:t xml:space="preserve"> </w:t>
      </w:r>
      <w:r w:rsidRPr="0030785C">
        <w:rPr>
          <w:rFonts w:cs="David" w:hint="cs"/>
          <w:rtl/>
        </w:rPr>
        <w:t>שם.</w:t>
      </w:r>
    </w:p>
  </w:footnote>
  <w:footnote w:id="28">
    <w:p w:rsidR="0014770C" w:rsidRPr="000A71AC" w:rsidRDefault="0014770C" w:rsidP="000A71AC">
      <w:pPr>
        <w:pStyle w:val="a3"/>
        <w:jc w:val="both"/>
        <w:rPr>
          <w:rFonts w:cs="David"/>
          <w:rtl/>
        </w:rPr>
      </w:pPr>
      <w:r>
        <w:rPr>
          <w:rStyle w:val="a5"/>
        </w:rPr>
        <w:footnoteRef/>
      </w:r>
      <w:r>
        <w:rPr>
          <w:rtl/>
        </w:rPr>
        <w:t xml:space="preserve"> </w:t>
      </w:r>
      <w:r w:rsidRPr="00302040">
        <w:rPr>
          <w:rFonts w:cs="David" w:hint="cs"/>
          <w:rtl/>
        </w:rPr>
        <w:t xml:space="preserve">הנתונים מבוססים על </w:t>
      </w:r>
      <w:r>
        <w:rPr>
          <w:rFonts w:cs="David" w:hint="cs"/>
          <w:b/>
          <w:bCs/>
          <w:rtl/>
        </w:rPr>
        <w:t>'</w:t>
      </w:r>
      <w:r w:rsidRPr="00E022E2">
        <w:rPr>
          <w:rFonts w:cs="David" w:hint="cs"/>
          <w:b/>
          <w:bCs/>
          <w:rtl/>
        </w:rPr>
        <w:t xml:space="preserve">דוח אינפוגרפיקה </w:t>
      </w:r>
      <w:r w:rsidRPr="00E022E2">
        <w:rPr>
          <w:rFonts w:cs="David"/>
          <w:b/>
          <w:bCs/>
          <w:rtl/>
        </w:rPr>
        <w:t>–</w:t>
      </w:r>
      <w:r w:rsidRPr="00E022E2">
        <w:rPr>
          <w:rFonts w:cs="David" w:hint="cs"/>
          <w:b/>
          <w:bCs/>
          <w:rtl/>
        </w:rPr>
        <w:t xml:space="preserve"> סטטיסטיקות משתמשי 'פייסבוק' בישראל 2016</w:t>
      </w:r>
      <w:r w:rsidRPr="00302040">
        <w:rPr>
          <w:rFonts w:cs="David" w:hint="cs"/>
          <w:rtl/>
        </w:rPr>
        <w:t xml:space="preserve"> </w:t>
      </w:r>
      <w:r w:rsidRPr="000A71AC">
        <w:rPr>
          <w:rStyle w:val="Hyperlink"/>
          <w:rFonts w:asciiTheme="majorBidi" w:hAnsiTheme="majorBidi" w:cstheme="majorBidi"/>
        </w:rPr>
        <w:t>http://www.fialkov.co.il/facebook/infographic-facebookisrael-2016</w:t>
      </w:r>
    </w:p>
    <w:p w:rsidR="0014770C" w:rsidRPr="00EA6810" w:rsidRDefault="0014770C">
      <w:pPr>
        <w:pStyle w:val="a3"/>
        <w:rPr>
          <w:rtl/>
        </w:rPr>
      </w:pPr>
    </w:p>
  </w:footnote>
  <w:footnote w:id="29">
    <w:p w:rsidR="0014770C" w:rsidRPr="005E3F0F" w:rsidRDefault="0014770C">
      <w:pPr>
        <w:pStyle w:val="a3"/>
        <w:rPr>
          <w:rFonts w:cs="David"/>
        </w:rPr>
      </w:pPr>
      <w:r>
        <w:rPr>
          <w:rStyle w:val="a5"/>
        </w:rPr>
        <w:footnoteRef/>
      </w:r>
      <w:r>
        <w:rPr>
          <w:rtl/>
        </w:rPr>
        <w:t xml:space="preserve"> </w:t>
      </w:r>
      <w:r w:rsidRPr="003218BC">
        <w:rPr>
          <w:rFonts w:cs="David" w:hint="cs"/>
          <w:rtl/>
        </w:rPr>
        <w:t>הנתונים מבוססים על דוח של חברת</w:t>
      </w:r>
      <w:r w:rsidRPr="00CD227A">
        <w:rPr>
          <w:rFonts w:asciiTheme="majorBidi" w:hAnsiTheme="majorBidi" w:cstheme="majorBidi" w:hint="cs"/>
          <w:rtl/>
        </w:rPr>
        <w:t xml:space="preserve"> </w:t>
      </w:r>
      <w:r w:rsidRPr="00CD227A">
        <w:rPr>
          <w:rFonts w:asciiTheme="majorBidi" w:hAnsiTheme="majorBidi" w:cstheme="majorBidi"/>
        </w:rPr>
        <w:t>Vigo</w:t>
      </w:r>
      <w:r>
        <w:rPr>
          <w:rFonts w:hint="cs"/>
          <w:rtl/>
        </w:rPr>
        <w:t xml:space="preserve"> </w:t>
      </w:r>
      <w:r w:rsidRPr="005E3F0F">
        <w:rPr>
          <w:rFonts w:cs="David" w:hint="cs"/>
          <w:rtl/>
        </w:rPr>
        <w:t>לסיכום שנת 2016.</w:t>
      </w:r>
    </w:p>
  </w:footnote>
  <w:footnote w:id="30">
    <w:p w:rsidR="0014770C" w:rsidRDefault="0014770C">
      <w:pPr>
        <w:pStyle w:val="a3"/>
        <w:rPr>
          <w:rtl/>
        </w:rPr>
      </w:pPr>
      <w:r>
        <w:rPr>
          <w:rStyle w:val="a5"/>
        </w:rPr>
        <w:footnoteRef/>
      </w:r>
      <w:r>
        <w:rPr>
          <w:rtl/>
        </w:rPr>
        <w:t xml:space="preserve"> </w:t>
      </w:r>
      <w:r w:rsidRPr="00A13FF6">
        <w:rPr>
          <w:rFonts w:cs="David" w:hint="cs"/>
          <w:rtl/>
        </w:rPr>
        <w:t xml:space="preserve">כהן-אלמגור רפאל, </w:t>
      </w:r>
      <w:r w:rsidRPr="00A13FF6">
        <w:rPr>
          <w:rFonts w:cs="David" w:hint="cs"/>
          <w:b/>
          <w:bCs/>
          <w:rtl/>
        </w:rPr>
        <w:t>המלכוד הדמוקרטי</w:t>
      </w:r>
      <w:r w:rsidRPr="00A13FF6">
        <w:rPr>
          <w:rFonts w:cs="David" w:hint="cs"/>
          <w:rtl/>
        </w:rPr>
        <w:t>, עמ' 459 (2007).</w:t>
      </w:r>
    </w:p>
  </w:footnote>
  <w:footnote w:id="31">
    <w:p w:rsidR="0014770C" w:rsidRPr="004C168A" w:rsidRDefault="0014770C" w:rsidP="00DE1589">
      <w:pPr>
        <w:pStyle w:val="a3"/>
        <w:rPr>
          <w:rFonts w:cs="David"/>
        </w:rPr>
      </w:pPr>
      <w:r w:rsidRPr="004C168A">
        <w:rPr>
          <w:rStyle w:val="a5"/>
          <w:rFonts w:cs="David"/>
        </w:rPr>
        <w:footnoteRef/>
      </w:r>
      <w:r w:rsidRPr="004C168A">
        <w:rPr>
          <w:rFonts w:cs="David"/>
          <w:rtl/>
        </w:rPr>
        <w:t xml:space="preserve"> </w:t>
      </w:r>
      <w:r w:rsidRPr="004C168A">
        <w:rPr>
          <w:rFonts w:cs="David" w:hint="cs"/>
          <w:rtl/>
        </w:rPr>
        <w:t xml:space="preserve">עידן אשר, </w:t>
      </w:r>
      <w:r w:rsidRPr="004C168A">
        <w:rPr>
          <w:rFonts w:cs="David" w:hint="cs"/>
          <w:b/>
          <w:bCs/>
          <w:rtl/>
        </w:rPr>
        <w:t xml:space="preserve">ההמון מסתער </w:t>
      </w:r>
      <w:r w:rsidRPr="004C168A">
        <w:rPr>
          <w:rFonts w:cs="David"/>
          <w:b/>
          <w:bCs/>
          <w:rtl/>
        </w:rPr>
        <w:t>–</w:t>
      </w:r>
      <w:r w:rsidRPr="004C168A">
        <w:rPr>
          <w:rFonts w:cs="David" w:hint="cs"/>
          <w:b/>
          <w:bCs/>
          <w:rtl/>
        </w:rPr>
        <w:t xml:space="preserve"> מהפכת הרשת החברתית</w:t>
      </w:r>
      <w:r w:rsidRPr="004C168A">
        <w:rPr>
          <w:rFonts w:cs="David" w:hint="cs"/>
          <w:rtl/>
        </w:rPr>
        <w:t>, עמ' 13-12 (2012).</w:t>
      </w:r>
    </w:p>
  </w:footnote>
  <w:footnote w:id="32">
    <w:p w:rsidR="0014770C" w:rsidRPr="004C168A" w:rsidRDefault="0014770C" w:rsidP="00DE1589">
      <w:pPr>
        <w:pStyle w:val="a3"/>
        <w:rPr>
          <w:rFonts w:cs="David"/>
          <w:rtl/>
        </w:rPr>
      </w:pPr>
      <w:r w:rsidRPr="004C168A">
        <w:rPr>
          <w:rStyle w:val="a5"/>
          <w:rFonts w:cs="David"/>
        </w:rPr>
        <w:footnoteRef/>
      </w:r>
      <w:r w:rsidRPr="004C168A">
        <w:rPr>
          <w:rFonts w:cs="David"/>
          <w:rtl/>
        </w:rPr>
        <w:t xml:space="preserve"> </w:t>
      </w:r>
      <w:r w:rsidRPr="004C168A">
        <w:rPr>
          <w:rFonts w:cs="David" w:hint="cs"/>
          <w:rtl/>
        </w:rPr>
        <w:t>שם, עמ' 13.</w:t>
      </w:r>
    </w:p>
  </w:footnote>
  <w:footnote w:id="33">
    <w:p w:rsidR="0014770C" w:rsidRDefault="0014770C" w:rsidP="00FA2026">
      <w:pPr>
        <w:pStyle w:val="a3"/>
      </w:pPr>
      <w:r>
        <w:rPr>
          <w:rStyle w:val="a5"/>
        </w:rPr>
        <w:footnoteRef/>
      </w:r>
      <w:r>
        <w:rPr>
          <w:rtl/>
        </w:rPr>
        <w:t xml:space="preserve"> </w:t>
      </w:r>
      <w:r w:rsidRPr="004C168A">
        <w:rPr>
          <w:rFonts w:cs="David" w:hint="cs"/>
          <w:rtl/>
        </w:rPr>
        <w:t xml:space="preserve">קרניאל יובל ושניר עידן, </w:t>
      </w:r>
      <w:r w:rsidRPr="004C168A">
        <w:rPr>
          <w:rFonts w:cs="David" w:hint="cs"/>
          <w:b/>
          <w:bCs/>
          <w:rtl/>
        </w:rPr>
        <w:t>חוק חופש המידע והאינטרנט, האם הגיעה העת לשינוי חקיקתי?</w:t>
      </w:r>
      <w:r w:rsidRPr="004C168A">
        <w:rPr>
          <w:rFonts w:cs="David" w:hint="cs"/>
          <w:rtl/>
        </w:rPr>
        <w:t>, עמ' 324, (2009).</w:t>
      </w:r>
    </w:p>
  </w:footnote>
  <w:footnote w:id="34">
    <w:p w:rsidR="0014770C" w:rsidRPr="004C168A" w:rsidRDefault="0014770C" w:rsidP="00DE1589">
      <w:pPr>
        <w:pStyle w:val="a3"/>
        <w:rPr>
          <w:rFonts w:cs="David"/>
        </w:rPr>
      </w:pPr>
      <w:r w:rsidRPr="004C168A">
        <w:rPr>
          <w:rStyle w:val="a5"/>
          <w:rFonts w:cs="David"/>
        </w:rPr>
        <w:footnoteRef/>
      </w:r>
      <w:r w:rsidRPr="004C168A">
        <w:rPr>
          <w:rFonts w:cs="David"/>
          <w:rtl/>
        </w:rPr>
        <w:t xml:space="preserve"> </w:t>
      </w:r>
      <w:r w:rsidRPr="004C168A">
        <w:rPr>
          <w:rFonts w:cs="David" w:hint="cs"/>
          <w:rtl/>
        </w:rPr>
        <w:t xml:space="preserve">עידן אשר, </w:t>
      </w:r>
      <w:r w:rsidRPr="004C168A">
        <w:rPr>
          <w:rFonts w:cs="David" w:hint="cs"/>
          <w:b/>
          <w:bCs/>
          <w:rtl/>
        </w:rPr>
        <w:t xml:space="preserve">ההמון מסתער </w:t>
      </w:r>
      <w:r w:rsidRPr="004C168A">
        <w:rPr>
          <w:rFonts w:cs="David"/>
          <w:b/>
          <w:bCs/>
          <w:rtl/>
        </w:rPr>
        <w:t>–</w:t>
      </w:r>
      <w:r w:rsidRPr="004C168A">
        <w:rPr>
          <w:rFonts w:cs="David" w:hint="cs"/>
          <w:b/>
          <w:bCs/>
          <w:rtl/>
        </w:rPr>
        <w:t xml:space="preserve"> מהפכת הרשת החברתית</w:t>
      </w:r>
      <w:r w:rsidRPr="004C168A">
        <w:rPr>
          <w:rFonts w:cs="David" w:hint="cs"/>
          <w:rtl/>
        </w:rPr>
        <w:t>, עמ' 12 (2012).</w:t>
      </w:r>
    </w:p>
  </w:footnote>
  <w:footnote w:id="35">
    <w:p w:rsidR="0014770C" w:rsidRPr="004C168A" w:rsidRDefault="0014770C" w:rsidP="00DE1589">
      <w:pPr>
        <w:pStyle w:val="a3"/>
        <w:rPr>
          <w:rFonts w:cs="David"/>
        </w:rPr>
      </w:pPr>
      <w:r w:rsidRPr="004C168A">
        <w:rPr>
          <w:rStyle w:val="a5"/>
          <w:rFonts w:cs="David"/>
        </w:rPr>
        <w:footnoteRef/>
      </w:r>
      <w:r w:rsidRPr="004C168A">
        <w:rPr>
          <w:rFonts w:cs="David"/>
          <w:rtl/>
        </w:rPr>
        <w:t xml:space="preserve"> </w:t>
      </w:r>
      <w:r w:rsidRPr="004C168A">
        <w:rPr>
          <w:rFonts w:cs="David" w:hint="cs"/>
          <w:rtl/>
        </w:rPr>
        <w:t xml:space="preserve">אלקין-קורן ניבה, </w:t>
      </w:r>
      <w:r w:rsidRPr="004C168A">
        <w:rPr>
          <w:rFonts w:cs="David" w:hint="cs"/>
          <w:b/>
          <w:bCs/>
          <w:rtl/>
        </w:rPr>
        <w:t>המתווכים החדשים "בכיכר השוק" הווירטואלית</w:t>
      </w:r>
      <w:r w:rsidRPr="004C168A">
        <w:rPr>
          <w:rFonts w:cs="David" w:hint="cs"/>
          <w:rtl/>
        </w:rPr>
        <w:t>, עמ' 382, (2003).</w:t>
      </w:r>
    </w:p>
  </w:footnote>
  <w:footnote w:id="36">
    <w:p w:rsidR="0014770C" w:rsidRDefault="0014770C">
      <w:pPr>
        <w:pStyle w:val="a3"/>
        <w:rPr>
          <w:rtl/>
        </w:rPr>
      </w:pPr>
      <w:r>
        <w:rPr>
          <w:rStyle w:val="a5"/>
        </w:rPr>
        <w:footnoteRef/>
      </w:r>
      <w:r>
        <w:rPr>
          <w:rtl/>
        </w:rPr>
        <w:t xml:space="preserve"> </w:t>
      </w:r>
      <w:r w:rsidRPr="004C168A">
        <w:rPr>
          <w:rFonts w:cs="David" w:hint="cs"/>
          <w:rtl/>
        </w:rPr>
        <w:t>שם, עמ' 384</w:t>
      </w:r>
      <w:r>
        <w:rPr>
          <w:rFonts w:hint="cs"/>
          <w:rtl/>
        </w:rPr>
        <w:t>.</w:t>
      </w:r>
    </w:p>
  </w:footnote>
  <w:footnote w:id="37">
    <w:p w:rsidR="0014770C" w:rsidRPr="004C168A" w:rsidRDefault="0014770C" w:rsidP="00DE1589">
      <w:pPr>
        <w:pStyle w:val="a3"/>
        <w:rPr>
          <w:rFonts w:cs="David"/>
        </w:rPr>
      </w:pPr>
      <w:r w:rsidRPr="004C168A">
        <w:rPr>
          <w:rStyle w:val="a5"/>
          <w:rFonts w:cs="David"/>
        </w:rPr>
        <w:footnoteRef/>
      </w:r>
      <w:r w:rsidRPr="004C168A">
        <w:rPr>
          <w:rFonts w:cs="David"/>
          <w:rtl/>
        </w:rPr>
        <w:t xml:space="preserve"> </w:t>
      </w:r>
      <w:r w:rsidRPr="004C168A">
        <w:rPr>
          <w:rFonts w:cs="David" w:hint="cs"/>
          <w:rtl/>
        </w:rPr>
        <w:t>שם.</w:t>
      </w:r>
    </w:p>
  </w:footnote>
  <w:footnote w:id="38">
    <w:p w:rsidR="0014770C" w:rsidRPr="004C168A" w:rsidRDefault="0014770C" w:rsidP="00DE1589">
      <w:pPr>
        <w:pStyle w:val="a3"/>
        <w:rPr>
          <w:rFonts w:cs="David"/>
          <w:rtl/>
        </w:rPr>
      </w:pPr>
      <w:r w:rsidRPr="004C168A">
        <w:rPr>
          <w:rStyle w:val="a5"/>
          <w:rFonts w:cs="David"/>
        </w:rPr>
        <w:footnoteRef/>
      </w:r>
      <w:r w:rsidRPr="004C168A">
        <w:rPr>
          <w:rFonts w:cs="David"/>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506 (2013).</w:t>
      </w:r>
    </w:p>
  </w:footnote>
  <w:footnote w:id="39">
    <w:p w:rsidR="0014770C" w:rsidRPr="00900F4C" w:rsidRDefault="0014770C" w:rsidP="00900F4C">
      <w:pPr>
        <w:pStyle w:val="a3"/>
        <w:rPr>
          <w:rtl/>
        </w:rPr>
      </w:pPr>
      <w:r>
        <w:rPr>
          <w:rStyle w:val="a5"/>
        </w:rPr>
        <w:footnoteRef/>
      </w:r>
      <w:r>
        <w:rPr>
          <w:rtl/>
        </w:rPr>
        <w:t xml:space="preserve"> </w:t>
      </w:r>
      <w:r w:rsidRPr="004C168A">
        <w:rPr>
          <w:rFonts w:cs="David" w:hint="cs"/>
          <w:rtl/>
        </w:rPr>
        <w:t xml:space="preserve">אלקין-קורן ניבה, </w:t>
      </w:r>
      <w:r w:rsidRPr="004C168A">
        <w:rPr>
          <w:rFonts w:cs="David" w:hint="cs"/>
          <w:b/>
          <w:bCs/>
          <w:rtl/>
        </w:rPr>
        <w:t>המתווכים החדשים "בכיכר השוק" הווירטואלית</w:t>
      </w:r>
      <w:r w:rsidRPr="004C168A">
        <w:rPr>
          <w:rFonts w:cs="David" w:hint="cs"/>
          <w:rtl/>
        </w:rPr>
        <w:t>, עמ' 388, (2003).</w:t>
      </w:r>
    </w:p>
  </w:footnote>
  <w:footnote w:id="40">
    <w:p w:rsidR="0014770C" w:rsidRPr="00FA2026" w:rsidRDefault="0014770C" w:rsidP="00FA2026">
      <w:pPr>
        <w:pStyle w:val="a3"/>
        <w:jc w:val="both"/>
        <w:rPr>
          <w:rFonts w:cs="David"/>
        </w:rPr>
      </w:pPr>
      <w:r w:rsidRPr="00FA2026">
        <w:rPr>
          <w:rStyle w:val="a5"/>
          <w:rFonts w:cs="David"/>
        </w:rPr>
        <w:footnoteRef/>
      </w:r>
      <w:r w:rsidRPr="00FA2026">
        <w:rPr>
          <w:rFonts w:cs="David"/>
          <w:rtl/>
        </w:rPr>
        <w:t xml:space="preserve"> </w:t>
      </w:r>
      <w:r w:rsidRPr="00FA2026">
        <w:rPr>
          <w:rFonts w:cs="David" w:hint="cs"/>
          <w:rtl/>
        </w:rPr>
        <w:t>שם, עמ' 383.</w:t>
      </w:r>
    </w:p>
  </w:footnote>
  <w:footnote w:id="41">
    <w:p w:rsidR="0014770C" w:rsidRPr="00FA2026" w:rsidRDefault="0014770C" w:rsidP="00FA2026">
      <w:pPr>
        <w:pStyle w:val="a3"/>
        <w:jc w:val="both"/>
        <w:rPr>
          <w:rFonts w:cs="David"/>
          <w:rtl/>
        </w:rPr>
      </w:pPr>
      <w:r w:rsidRPr="00FA2026">
        <w:rPr>
          <w:rStyle w:val="a5"/>
          <w:rFonts w:cs="David"/>
        </w:rPr>
        <w:footnoteRef/>
      </w:r>
      <w:r w:rsidRPr="00FA2026">
        <w:rPr>
          <w:rFonts w:cs="David"/>
          <w:rtl/>
        </w:rPr>
        <w:t xml:space="preserve"> </w:t>
      </w:r>
      <w:r w:rsidRPr="00FA2026">
        <w:rPr>
          <w:rFonts w:cs="David" w:hint="cs"/>
          <w:rtl/>
        </w:rPr>
        <w:t xml:space="preserve">נגבי עירית, </w:t>
      </w:r>
      <w:r w:rsidRPr="00FA2026">
        <w:rPr>
          <w:rFonts w:cs="David" w:hint="cs"/>
          <w:b/>
          <w:bCs/>
          <w:rtl/>
        </w:rPr>
        <w:t>המרשתת, מיזוגיניה וחופש הביטוי</w:t>
      </w:r>
      <w:r w:rsidRPr="00FA2026">
        <w:rPr>
          <w:rFonts w:cs="David" w:hint="cs"/>
          <w:rtl/>
        </w:rPr>
        <w:t>, עמ 508-504, (2013).</w:t>
      </w:r>
    </w:p>
  </w:footnote>
  <w:footnote w:id="42">
    <w:p w:rsidR="0014770C" w:rsidRDefault="0014770C" w:rsidP="00A85608">
      <w:pPr>
        <w:pStyle w:val="a3"/>
        <w:jc w:val="both"/>
        <w:rPr>
          <w:rtl/>
        </w:rPr>
      </w:pPr>
      <w:r w:rsidRPr="00FA2026">
        <w:rPr>
          <w:rStyle w:val="a5"/>
          <w:rFonts w:cs="David"/>
        </w:rPr>
        <w:footnoteRef/>
      </w:r>
      <w:r w:rsidRPr="00FA2026">
        <w:rPr>
          <w:rFonts w:cs="David"/>
          <w:rtl/>
        </w:rPr>
        <w:t xml:space="preserve"> </w:t>
      </w:r>
      <w:r w:rsidRPr="00FA2026">
        <w:rPr>
          <w:rFonts w:cs="David" w:hint="cs"/>
          <w:rtl/>
        </w:rPr>
        <w:t xml:space="preserve">שם, עמ' 505. נגבי מפנה לברגר פיטר, </w:t>
      </w:r>
      <w:r w:rsidRPr="00FA2026">
        <w:rPr>
          <w:rFonts w:cs="David" w:hint="cs"/>
          <w:b/>
          <w:bCs/>
          <w:rtl/>
        </w:rPr>
        <w:t>הזמנה לפגישה (עם הסוציולוגיה)</w:t>
      </w:r>
      <w:r w:rsidRPr="00FA2026">
        <w:rPr>
          <w:rFonts w:cs="David" w:hint="cs"/>
          <w:rtl/>
        </w:rPr>
        <w:t>, פרק רביעי (1970), שם היא מדגישה כי שום חברה לא יכולה להתקיים בלא פיקוח חברתי. בהעדר פיקוח אין מי ש</w:t>
      </w:r>
      <w:r w:rsidR="00A85608">
        <w:rPr>
          <w:rFonts w:cs="David" w:hint="cs"/>
          <w:rtl/>
        </w:rPr>
        <w:t>מ</w:t>
      </w:r>
      <w:r w:rsidRPr="00FA2026">
        <w:rPr>
          <w:rFonts w:cs="David" w:hint="cs"/>
          <w:rtl/>
        </w:rPr>
        <w:t>כריז על הנורמות הראויות ושב ומכריז עליהן.</w:t>
      </w:r>
    </w:p>
  </w:footnote>
  <w:footnote w:id="43">
    <w:p w:rsidR="0014770C" w:rsidRPr="004C168A" w:rsidRDefault="0014770C" w:rsidP="00DE1589">
      <w:pPr>
        <w:pStyle w:val="a3"/>
        <w:rPr>
          <w:rFonts w:cs="David"/>
          <w:rtl/>
        </w:rPr>
      </w:pPr>
      <w:r w:rsidRPr="004C168A">
        <w:rPr>
          <w:rStyle w:val="a5"/>
          <w:rFonts w:cs="David"/>
        </w:rPr>
        <w:footnoteRef/>
      </w:r>
      <w:r w:rsidRPr="004C168A">
        <w:rPr>
          <w:rFonts w:cs="David"/>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507, (2013).</w:t>
      </w:r>
    </w:p>
  </w:footnote>
  <w:footnote w:id="44">
    <w:p w:rsidR="0014770C" w:rsidRPr="004C168A" w:rsidRDefault="0014770C" w:rsidP="00DE1589">
      <w:pPr>
        <w:pStyle w:val="a3"/>
        <w:rPr>
          <w:rFonts w:cs="David"/>
        </w:rPr>
      </w:pPr>
      <w:r w:rsidRPr="004C168A">
        <w:rPr>
          <w:rStyle w:val="a5"/>
          <w:rFonts w:cs="David"/>
        </w:rPr>
        <w:footnoteRef/>
      </w:r>
      <w:r w:rsidRPr="004C168A">
        <w:rPr>
          <w:rFonts w:cs="David"/>
          <w:rtl/>
        </w:rPr>
        <w:t xml:space="preserve"> </w:t>
      </w:r>
      <w:r w:rsidRPr="004C168A">
        <w:rPr>
          <w:rFonts w:cs="David" w:hint="cs"/>
          <w:rtl/>
        </w:rPr>
        <w:t xml:space="preserve">אלקין-קורן ניבה, </w:t>
      </w:r>
      <w:r w:rsidRPr="004C168A">
        <w:rPr>
          <w:rFonts w:cs="David" w:hint="cs"/>
          <w:b/>
          <w:bCs/>
          <w:rtl/>
        </w:rPr>
        <w:t>המתווכים החדשים "בכיכר השוק" הווירטואלית</w:t>
      </w:r>
      <w:r w:rsidRPr="004C168A">
        <w:rPr>
          <w:rFonts w:cs="David" w:hint="cs"/>
          <w:rtl/>
        </w:rPr>
        <w:t>, עמ' 407, (2003).</w:t>
      </w:r>
    </w:p>
  </w:footnote>
  <w:footnote w:id="45">
    <w:p w:rsidR="0014770C" w:rsidRPr="004C168A" w:rsidRDefault="0014770C" w:rsidP="00DE1589">
      <w:pPr>
        <w:pStyle w:val="a3"/>
        <w:rPr>
          <w:rFonts w:cs="David"/>
          <w:rtl/>
        </w:rPr>
      </w:pPr>
      <w:r w:rsidRPr="004C168A">
        <w:rPr>
          <w:rStyle w:val="a5"/>
          <w:rFonts w:cs="David"/>
        </w:rPr>
        <w:footnoteRef/>
      </w:r>
      <w:r w:rsidRPr="004C168A">
        <w:rPr>
          <w:rFonts w:cs="David"/>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508, (2013).</w:t>
      </w:r>
    </w:p>
  </w:footnote>
  <w:footnote w:id="46">
    <w:p w:rsidR="0014770C" w:rsidRPr="00A00FE5" w:rsidRDefault="0014770C" w:rsidP="00DE1589">
      <w:pPr>
        <w:pStyle w:val="a3"/>
        <w:rPr>
          <w:rFonts w:cs="David"/>
        </w:rPr>
      </w:pPr>
      <w:r w:rsidRPr="00A00FE5">
        <w:rPr>
          <w:rStyle w:val="a5"/>
          <w:rFonts w:cs="David"/>
        </w:rPr>
        <w:footnoteRef/>
      </w:r>
      <w:r w:rsidRPr="00A00FE5">
        <w:rPr>
          <w:rFonts w:cs="David"/>
          <w:rtl/>
        </w:rPr>
        <w:t xml:space="preserve"> </w:t>
      </w:r>
      <w:r w:rsidRPr="00A00FE5">
        <w:rPr>
          <w:rFonts w:cs="David" w:hint="cs"/>
          <w:rtl/>
        </w:rPr>
        <w:t xml:space="preserve">קירקפטריק דיוויד, </w:t>
      </w:r>
      <w:r w:rsidRPr="00A00FE5">
        <w:rPr>
          <w:rFonts w:cs="David" w:hint="cs"/>
          <w:b/>
          <w:bCs/>
          <w:rtl/>
        </w:rPr>
        <w:t>אפקט הפייסבוק, מבט מבפנים על החברה שמחברת את העולם</w:t>
      </w:r>
      <w:r w:rsidRPr="00A00FE5">
        <w:rPr>
          <w:rFonts w:cs="David" w:hint="cs"/>
          <w:rtl/>
        </w:rPr>
        <w:t>, עמ' 18 (2011).</w:t>
      </w:r>
    </w:p>
  </w:footnote>
  <w:footnote w:id="47">
    <w:p w:rsidR="0014770C" w:rsidRDefault="0014770C">
      <w:pPr>
        <w:pStyle w:val="a3"/>
        <w:rPr>
          <w:rtl/>
        </w:rPr>
      </w:pPr>
      <w:r>
        <w:rPr>
          <w:rStyle w:val="a5"/>
        </w:rPr>
        <w:footnoteRef/>
      </w:r>
      <w:r>
        <w:rPr>
          <w:rtl/>
        </w:rPr>
        <w:t xml:space="preserve"> </w:t>
      </w:r>
      <w:r w:rsidRPr="0008172D">
        <w:rPr>
          <w:rFonts w:cs="David" w:hint="cs"/>
          <w:rtl/>
        </w:rPr>
        <w:t>ראו גרף מספר 11.</w:t>
      </w:r>
    </w:p>
  </w:footnote>
  <w:footnote w:id="48">
    <w:p w:rsidR="0014770C" w:rsidRPr="004B12DE" w:rsidRDefault="0014770C" w:rsidP="00DE1589">
      <w:pPr>
        <w:pStyle w:val="a3"/>
      </w:pPr>
      <w:r>
        <w:rPr>
          <w:rStyle w:val="a5"/>
        </w:rPr>
        <w:footnoteRef/>
      </w:r>
      <w:r>
        <w:rPr>
          <w:rtl/>
        </w:rPr>
        <w:t xml:space="preserve"> </w:t>
      </w:r>
      <w:r w:rsidRPr="004C168A">
        <w:rPr>
          <w:rFonts w:cs="David" w:hint="cs"/>
          <w:rtl/>
        </w:rPr>
        <w:t xml:space="preserve">עידן אשר, </w:t>
      </w:r>
      <w:r w:rsidRPr="004C168A">
        <w:rPr>
          <w:rFonts w:cs="David" w:hint="cs"/>
          <w:b/>
          <w:bCs/>
          <w:rtl/>
        </w:rPr>
        <w:t xml:space="preserve">ההמון מסתער </w:t>
      </w:r>
      <w:r w:rsidRPr="004C168A">
        <w:rPr>
          <w:rFonts w:cs="David"/>
          <w:b/>
          <w:bCs/>
          <w:rtl/>
        </w:rPr>
        <w:t>–</w:t>
      </w:r>
      <w:r w:rsidRPr="004C168A">
        <w:rPr>
          <w:rFonts w:cs="David" w:hint="cs"/>
          <w:b/>
          <w:bCs/>
          <w:rtl/>
        </w:rPr>
        <w:t xml:space="preserve"> מהפכת הרשת החברתית</w:t>
      </w:r>
      <w:r w:rsidRPr="004C168A">
        <w:rPr>
          <w:rFonts w:cs="David" w:hint="cs"/>
          <w:rtl/>
        </w:rPr>
        <w:t>, עמ' 1</w:t>
      </w:r>
      <w:r>
        <w:rPr>
          <w:rFonts w:cs="David" w:hint="cs"/>
          <w:rtl/>
        </w:rPr>
        <w:t>4</w:t>
      </w:r>
      <w:r w:rsidRPr="004C168A">
        <w:rPr>
          <w:rFonts w:cs="David" w:hint="cs"/>
          <w:rtl/>
        </w:rPr>
        <w:t xml:space="preserve"> (2012).</w:t>
      </w:r>
    </w:p>
  </w:footnote>
  <w:footnote w:id="49">
    <w:p w:rsidR="0014770C" w:rsidRPr="00A00FE5" w:rsidRDefault="0014770C" w:rsidP="00DE1589">
      <w:pPr>
        <w:pStyle w:val="a3"/>
        <w:rPr>
          <w:rFonts w:cs="David"/>
          <w:rtl/>
        </w:rPr>
      </w:pPr>
      <w:r w:rsidRPr="00A00FE5">
        <w:rPr>
          <w:rStyle w:val="a5"/>
          <w:rFonts w:cs="David"/>
        </w:rPr>
        <w:footnoteRef/>
      </w:r>
      <w:r w:rsidRPr="00A00FE5">
        <w:rPr>
          <w:rFonts w:cs="David"/>
          <w:rtl/>
        </w:rPr>
        <w:t xml:space="preserve"> </w:t>
      </w:r>
      <w:r w:rsidRPr="00A00FE5">
        <w:rPr>
          <w:rFonts w:cs="David" w:hint="cs"/>
          <w:rtl/>
        </w:rPr>
        <w:t xml:space="preserve">כהן ניצן, </w:t>
      </w:r>
      <w:r w:rsidRPr="00A00FE5">
        <w:rPr>
          <w:rFonts w:cs="David" w:hint="cs"/>
          <w:b/>
          <w:bCs/>
          <w:rtl/>
        </w:rPr>
        <w:t>פייסבוק: הכנסות של 7 מיליארד  דולר ורווח של 82 סנט למניה</w:t>
      </w:r>
      <w:r w:rsidRPr="00A00FE5">
        <w:rPr>
          <w:rFonts w:cs="David" w:hint="cs"/>
          <w:rtl/>
        </w:rPr>
        <w:t xml:space="preserve">, גלובס (2.11.16) </w:t>
      </w:r>
    </w:p>
  </w:footnote>
  <w:footnote w:id="50">
    <w:p w:rsidR="0014770C" w:rsidRPr="00D76F8C" w:rsidRDefault="0014770C" w:rsidP="00DE1589">
      <w:pPr>
        <w:pStyle w:val="a3"/>
      </w:pPr>
      <w:r w:rsidRPr="00A00FE5">
        <w:rPr>
          <w:rStyle w:val="a5"/>
          <w:rFonts w:cs="David"/>
        </w:rPr>
        <w:footnoteRef/>
      </w:r>
      <w:r w:rsidRPr="00A00FE5">
        <w:rPr>
          <w:rFonts w:cs="David"/>
          <w:rtl/>
        </w:rPr>
        <w:t xml:space="preserve"> </w:t>
      </w:r>
      <w:r w:rsidRPr="00A00FE5">
        <w:rPr>
          <w:rFonts w:cs="David" w:hint="cs"/>
          <w:rtl/>
        </w:rPr>
        <w:t xml:space="preserve">קירקפטריק דיוויד, </w:t>
      </w:r>
      <w:r w:rsidRPr="00A00FE5">
        <w:rPr>
          <w:rFonts w:cs="David" w:hint="cs"/>
          <w:b/>
          <w:bCs/>
          <w:rtl/>
        </w:rPr>
        <w:t>אפקט הפייסבוק, מבט מבפנים על החברה שמחברת את העולם</w:t>
      </w:r>
      <w:r w:rsidRPr="00A00FE5">
        <w:rPr>
          <w:rFonts w:cs="David" w:hint="cs"/>
          <w:rtl/>
        </w:rPr>
        <w:t>, עמ' 19 (2011).</w:t>
      </w:r>
    </w:p>
  </w:footnote>
  <w:footnote w:id="51">
    <w:p w:rsidR="0014770C" w:rsidRPr="000A6E70" w:rsidRDefault="0014770C" w:rsidP="00DE1589">
      <w:pPr>
        <w:pStyle w:val="a3"/>
        <w:rPr>
          <w:rFonts w:cs="David"/>
        </w:rPr>
      </w:pPr>
      <w:r w:rsidRPr="000A6E70">
        <w:rPr>
          <w:rStyle w:val="a5"/>
          <w:rFonts w:cs="David"/>
        </w:rPr>
        <w:footnoteRef/>
      </w:r>
      <w:r w:rsidRPr="000A6E70">
        <w:rPr>
          <w:rFonts w:cs="David"/>
          <w:rtl/>
        </w:rPr>
        <w:t xml:space="preserve"> </w:t>
      </w:r>
      <w:r w:rsidRPr="000A6E70">
        <w:rPr>
          <w:rFonts w:cs="David" w:hint="cs"/>
          <w:rtl/>
        </w:rPr>
        <w:t xml:space="preserve">רבנר דניאל, </w:t>
      </w:r>
      <w:r w:rsidRPr="000A6E70">
        <w:rPr>
          <w:rFonts w:cs="David" w:hint="cs"/>
          <w:b/>
          <w:bCs/>
          <w:rtl/>
        </w:rPr>
        <w:t>איך האינטרנט הפר את ההבטחה שלו</w:t>
      </w:r>
      <w:r w:rsidRPr="000A6E70">
        <w:rPr>
          <w:rFonts w:cs="David" w:hint="cs"/>
          <w:rtl/>
        </w:rPr>
        <w:t>, מדיה קרוס, (18.12.16)</w:t>
      </w:r>
    </w:p>
  </w:footnote>
  <w:footnote w:id="52">
    <w:p w:rsidR="0014770C" w:rsidRPr="000A6E70" w:rsidRDefault="0014770C" w:rsidP="00DE1589">
      <w:pPr>
        <w:pStyle w:val="a3"/>
        <w:rPr>
          <w:rFonts w:cs="David"/>
          <w:rtl/>
        </w:rPr>
      </w:pPr>
      <w:r w:rsidRPr="000A6E70">
        <w:rPr>
          <w:rStyle w:val="a5"/>
          <w:rFonts w:cs="David"/>
        </w:rPr>
        <w:footnoteRef/>
      </w:r>
      <w:r w:rsidRPr="000A6E70">
        <w:rPr>
          <w:rFonts w:cs="David"/>
          <w:rtl/>
        </w:rPr>
        <w:t xml:space="preserve"> </w:t>
      </w:r>
      <w:r w:rsidRPr="000A6E70">
        <w:rPr>
          <w:rFonts w:cs="David" w:hint="cs"/>
          <w:rtl/>
        </w:rPr>
        <w:t xml:space="preserve">קודנר ליאור, </w:t>
      </w:r>
      <w:r w:rsidRPr="000A6E70">
        <w:rPr>
          <w:rFonts w:cs="David" w:hint="cs"/>
          <w:b/>
          <w:bCs/>
          <w:rtl/>
        </w:rPr>
        <w:t>היד המעלימה ברשת</w:t>
      </w:r>
      <w:r w:rsidRPr="000A6E70">
        <w:rPr>
          <w:rFonts w:cs="David" w:hint="cs"/>
          <w:rtl/>
        </w:rPr>
        <w:t xml:space="preserve"> (22.8.11)</w:t>
      </w:r>
    </w:p>
  </w:footnote>
  <w:footnote w:id="53">
    <w:p w:rsidR="0014770C" w:rsidRDefault="0014770C" w:rsidP="00DE1589">
      <w:pPr>
        <w:pStyle w:val="a3"/>
        <w:rPr>
          <w:rtl/>
        </w:rPr>
      </w:pPr>
      <w:r w:rsidRPr="000A6E70">
        <w:rPr>
          <w:rStyle w:val="a5"/>
          <w:rFonts w:cs="David"/>
        </w:rPr>
        <w:footnoteRef/>
      </w:r>
      <w:r w:rsidRPr="000A6E70">
        <w:rPr>
          <w:rFonts w:cs="David"/>
          <w:rtl/>
        </w:rPr>
        <w:t xml:space="preserve"> </w:t>
      </w:r>
      <w:r w:rsidRPr="000A6E70">
        <w:rPr>
          <w:rStyle w:val="reference-text"/>
          <w:rFonts w:cs="David"/>
        </w:rPr>
        <w:t xml:space="preserve">Pariser, Eli, </w:t>
      </w:r>
      <w:r w:rsidRPr="000A6E70">
        <w:rPr>
          <w:rStyle w:val="reference-text"/>
          <w:rFonts w:cs="David"/>
          <w:b/>
          <w:bCs/>
        </w:rPr>
        <w:t>The Filter Bubble: What the Internet Is Hiding from You</w:t>
      </w:r>
      <w:r w:rsidRPr="000A6E70">
        <w:rPr>
          <w:rStyle w:val="reference-text"/>
          <w:rFonts w:cs="David"/>
        </w:rPr>
        <w:t>. Penguin Press (New York, May 2011)</w:t>
      </w:r>
    </w:p>
  </w:footnote>
  <w:footnote w:id="54">
    <w:p w:rsidR="0014770C" w:rsidRPr="008740BA" w:rsidRDefault="0014770C" w:rsidP="00DE1589">
      <w:pPr>
        <w:pStyle w:val="a3"/>
        <w:rPr>
          <w:rFonts w:cs="David"/>
          <w:rtl/>
        </w:rPr>
      </w:pPr>
      <w:r w:rsidRPr="008740BA">
        <w:rPr>
          <w:rStyle w:val="a5"/>
          <w:rFonts w:cs="David"/>
        </w:rPr>
        <w:footnoteRef/>
      </w:r>
      <w:r w:rsidRPr="008740BA">
        <w:rPr>
          <w:rFonts w:cs="David"/>
          <w:rtl/>
        </w:rPr>
        <w:t xml:space="preserve"> </w:t>
      </w:r>
      <w:r w:rsidRPr="008740BA">
        <w:rPr>
          <w:rFonts w:cs="David" w:hint="cs"/>
          <w:rtl/>
        </w:rPr>
        <w:t xml:space="preserve">קודנר ליאור, </w:t>
      </w:r>
      <w:r w:rsidRPr="008740BA">
        <w:rPr>
          <w:rFonts w:cs="David" w:hint="cs"/>
          <w:b/>
          <w:bCs/>
          <w:rtl/>
        </w:rPr>
        <w:t>היד המעלימה ברשת</w:t>
      </w:r>
      <w:r w:rsidRPr="008740BA">
        <w:rPr>
          <w:rFonts w:cs="David" w:hint="cs"/>
          <w:rtl/>
        </w:rPr>
        <w:t xml:space="preserve"> (22.8.11)</w:t>
      </w:r>
    </w:p>
  </w:footnote>
  <w:footnote w:id="55">
    <w:p w:rsidR="0014770C" w:rsidRDefault="0014770C" w:rsidP="00DE1589">
      <w:pPr>
        <w:pStyle w:val="a3"/>
        <w:rPr>
          <w:rtl/>
        </w:rPr>
      </w:pPr>
      <w:r w:rsidRPr="008740BA">
        <w:rPr>
          <w:rStyle w:val="a5"/>
          <w:rFonts w:cs="David"/>
        </w:rPr>
        <w:footnoteRef/>
      </w:r>
      <w:r w:rsidRPr="008740BA">
        <w:rPr>
          <w:rFonts w:cs="David"/>
          <w:rtl/>
        </w:rPr>
        <w:t xml:space="preserve"> </w:t>
      </w:r>
      <w:r w:rsidRPr="008740BA">
        <w:rPr>
          <w:rFonts w:cs="David" w:hint="cs"/>
          <w:rtl/>
        </w:rPr>
        <w:t>שם.</w:t>
      </w:r>
    </w:p>
  </w:footnote>
  <w:footnote w:id="56">
    <w:p w:rsidR="0014770C" w:rsidRPr="00674600" w:rsidRDefault="0014770C" w:rsidP="001F3DC5">
      <w:pPr>
        <w:pStyle w:val="1"/>
        <w:bidi w:val="0"/>
        <w:jc w:val="both"/>
        <w:rPr>
          <w:rFonts w:cs="David"/>
          <w:color w:val="auto"/>
          <w:sz w:val="20"/>
          <w:szCs w:val="20"/>
        </w:rPr>
      </w:pPr>
      <w:r w:rsidRPr="007D30E9">
        <w:rPr>
          <w:rStyle w:val="a5"/>
          <w:rFonts w:cs="David"/>
          <w:color w:val="auto"/>
          <w:sz w:val="20"/>
          <w:szCs w:val="20"/>
        </w:rPr>
        <w:footnoteRef/>
      </w:r>
      <w:r w:rsidRPr="007D30E9">
        <w:rPr>
          <w:rFonts w:cs="David"/>
          <w:color w:val="auto"/>
          <w:sz w:val="20"/>
          <w:szCs w:val="20"/>
          <w:rtl/>
        </w:rPr>
        <w:t xml:space="preserve"> </w:t>
      </w:r>
      <w:r w:rsidRPr="007D30E9">
        <w:rPr>
          <w:rFonts w:cs="David"/>
          <w:color w:val="auto"/>
          <w:sz w:val="20"/>
          <w:szCs w:val="20"/>
        </w:rPr>
        <w:t xml:space="preserve">Raviner Daniel </w:t>
      </w:r>
      <w:r w:rsidRPr="007D30E9">
        <w:rPr>
          <w:rFonts w:cs="David"/>
          <w:b/>
          <w:bCs/>
          <w:color w:val="auto"/>
          <w:sz w:val="20"/>
          <w:szCs w:val="20"/>
        </w:rPr>
        <w:t>, WHY ARE WE MISSING THE BIGGER PICTURE OF JUST ABOUT EVERYTHING?</w:t>
      </w:r>
      <w:r>
        <w:rPr>
          <w:rFonts w:cs="David"/>
          <w:color w:val="auto"/>
          <w:sz w:val="20"/>
          <w:szCs w:val="20"/>
        </w:rPr>
        <w:t xml:space="preserve"> </w:t>
      </w:r>
      <w:r w:rsidRPr="007D30E9">
        <w:rPr>
          <w:rFonts w:cs="David"/>
          <w:color w:val="auto"/>
          <w:sz w:val="20"/>
          <w:szCs w:val="20"/>
        </w:rPr>
        <w:t>(14/7/16)</w:t>
      </w:r>
      <w:r>
        <w:rPr>
          <w:rFonts w:cs="David"/>
          <w:color w:val="auto"/>
          <w:sz w:val="20"/>
          <w:szCs w:val="20"/>
        </w:rPr>
        <w:t xml:space="preserve"> </w:t>
      </w:r>
    </w:p>
  </w:footnote>
  <w:footnote w:id="57">
    <w:p w:rsidR="0014770C" w:rsidRPr="001F3DC5" w:rsidRDefault="0014770C" w:rsidP="001F3DC5">
      <w:pPr>
        <w:pStyle w:val="a3"/>
        <w:rPr>
          <w:rFonts w:cs="David"/>
          <w:rtl/>
        </w:rPr>
      </w:pPr>
      <w:r w:rsidRPr="001F3DC5">
        <w:rPr>
          <w:rStyle w:val="a5"/>
          <w:rFonts w:cs="David"/>
        </w:rPr>
        <w:footnoteRef/>
      </w:r>
      <w:r w:rsidRPr="001F3DC5">
        <w:rPr>
          <w:rFonts w:cs="David"/>
          <w:rtl/>
        </w:rPr>
        <w:t xml:space="preserve"> </w:t>
      </w:r>
      <w:r w:rsidRPr="001F3DC5">
        <w:rPr>
          <w:rFonts w:cs="David" w:hint="cs"/>
          <w:rtl/>
        </w:rPr>
        <w:t xml:space="preserve">רבנר דניאל, </w:t>
      </w:r>
      <w:r w:rsidRPr="001F3DC5">
        <w:rPr>
          <w:rFonts w:cs="David" w:hint="cs"/>
          <w:b/>
          <w:bCs/>
          <w:rtl/>
        </w:rPr>
        <w:t>איך האינטרנט הפר את ההבטחה שלו</w:t>
      </w:r>
      <w:r w:rsidRPr="001F3DC5">
        <w:rPr>
          <w:rFonts w:cs="David" w:hint="cs"/>
          <w:rtl/>
        </w:rPr>
        <w:t>, מדיה קרוס, (18.12.16)</w:t>
      </w:r>
    </w:p>
  </w:footnote>
  <w:footnote w:id="58">
    <w:p w:rsidR="0014770C" w:rsidRPr="00DE1589" w:rsidRDefault="0014770C" w:rsidP="00DE2EB6">
      <w:pPr>
        <w:pStyle w:val="a3"/>
        <w:jc w:val="right"/>
        <w:rPr>
          <w:rFonts w:cs="David"/>
          <w:rtl/>
        </w:rPr>
      </w:pPr>
      <w:r w:rsidRPr="00DE1589">
        <w:rPr>
          <w:rStyle w:val="a5"/>
          <w:rFonts w:cs="David"/>
        </w:rPr>
        <w:footnoteRef/>
      </w:r>
      <w:r w:rsidRPr="00DE1589">
        <w:rPr>
          <w:rFonts w:cs="David"/>
          <w:rtl/>
        </w:rPr>
        <w:t xml:space="preserve"> </w:t>
      </w:r>
      <w:r w:rsidRPr="007D30E9">
        <w:rPr>
          <w:rFonts w:cs="David"/>
        </w:rPr>
        <w:t xml:space="preserve">Raviner Daniel </w:t>
      </w:r>
      <w:r w:rsidRPr="00790CC8">
        <w:rPr>
          <w:rFonts w:cs="David"/>
          <w:b/>
          <w:bCs/>
        </w:rPr>
        <w:t>, WHY ARE WE MISSING THE BIGGER PICTURE OF JUST ABOUT EVERYTHING?</w:t>
      </w:r>
      <w:r w:rsidRPr="00790CC8">
        <w:rPr>
          <w:rFonts w:cs="David"/>
        </w:rPr>
        <w:t xml:space="preserve"> (14/7/16)</w:t>
      </w:r>
    </w:p>
  </w:footnote>
  <w:footnote w:id="59">
    <w:p w:rsidR="0014770C" w:rsidRPr="00AA096E" w:rsidRDefault="0014770C" w:rsidP="00512C97">
      <w:pPr>
        <w:pStyle w:val="a3"/>
        <w:jc w:val="both"/>
        <w:rPr>
          <w:rFonts w:cs="David"/>
        </w:rPr>
      </w:pPr>
      <w:r w:rsidRPr="00AA096E">
        <w:rPr>
          <w:rStyle w:val="a5"/>
          <w:rFonts w:cs="David"/>
        </w:rPr>
        <w:footnoteRef/>
      </w:r>
      <w:r w:rsidRPr="00AA096E">
        <w:rPr>
          <w:rFonts w:cs="David"/>
          <w:rtl/>
        </w:rPr>
        <w:t xml:space="preserve"> </w:t>
      </w:r>
      <w:r w:rsidRPr="00AA096E">
        <w:rPr>
          <w:rFonts w:cs="David" w:hint="cs"/>
          <w:rtl/>
        </w:rPr>
        <w:t xml:space="preserve">ברק אהרון, </w:t>
      </w:r>
      <w:r w:rsidRPr="00AA096E">
        <w:rPr>
          <w:rFonts w:cs="David" w:hint="cs"/>
          <w:b/>
          <w:bCs/>
          <w:rtl/>
        </w:rPr>
        <w:t>המסורת של חופש הביטוי בישראל ובעיותיה</w:t>
      </w:r>
      <w:r w:rsidRPr="00AA096E">
        <w:rPr>
          <w:rFonts w:cs="David" w:hint="cs"/>
          <w:rtl/>
        </w:rPr>
        <w:t>, עמ' 227</w:t>
      </w:r>
      <w:r>
        <w:rPr>
          <w:rFonts w:cs="David" w:hint="cs"/>
          <w:rtl/>
        </w:rPr>
        <w:t xml:space="preserve">, </w:t>
      </w:r>
      <w:r w:rsidRPr="00AA096E">
        <w:rPr>
          <w:rFonts w:cs="David" w:hint="cs"/>
          <w:rtl/>
        </w:rPr>
        <w:t>(1996)</w:t>
      </w:r>
      <w:r>
        <w:rPr>
          <w:rFonts w:cs="David" w:hint="cs"/>
          <w:rtl/>
        </w:rPr>
        <w:t>.</w:t>
      </w:r>
    </w:p>
  </w:footnote>
  <w:footnote w:id="60">
    <w:p w:rsidR="0014770C" w:rsidRPr="00AA096E" w:rsidRDefault="0014770C" w:rsidP="00512C97">
      <w:pPr>
        <w:pStyle w:val="a3"/>
        <w:jc w:val="both"/>
        <w:rPr>
          <w:rFonts w:cs="David"/>
          <w:rtl/>
        </w:rPr>
      </w:pPr>
      <w:r w:rsidRPr="00AA096E">
        <w:rPr>
          <w:rStyle w:val="a5"/>
          <w:rFonts w:cs="David"/>
        </w:rPr>
        <w:footnoteRef/>
      </w:r>
      <w:r w:rsidRPr="00AA096E">
        <w:rPr>
          <w:rFonts w:cs="David"/>
          <w:rtl/>
        </w:rPr>
        <w:t xml:space="preserve"> </w:t>
      </w:r>
      <w:r w:rsidRPr="00AA096E">
        <w:rPr>
          <w:rFonts w:cs="David" w:hint="cs"/>
          <w:rtl/>
        </w:rPr>
        <w:t xml:space="preserve">שגב ראם, </w:t>
      </w:r>
      <w:r w:rsidRPr="00AA096E">
        <w:rPr>
          <w:rFonts w:cs="David" w:hint="cs"/>
          <w:b/>
          <w:bCs/>
          <w:rtl/>
        </w:rPr>
        <w:t>חופש הביטוי הצדקות וסייגים</w:t>
      </w:r>
      <w:r w:rsidRPr="00AA096E">
        <w:rPr>
          <w:rFonts w:cs="David" w:hint="cs"/>
          <w:rtl/>
        </w:rPr>
        <w:t xml:space="preserve">, עמ' 82-81 </w:t>
      </w:r>
      <w:r>
        <w:rPr>
          <w:rFonts w:cs="David" w:hint="cs"/>
          <w:rtl/>
        </w:rPr>
        <w:t>(</w:t>
      </w:r>
      <w:r w:rsidRPr="00AA096E">
        <w:rPr>
          <w:rFonts w:cs="David" w:hint="cs"/>
          <w:rtl/>
        </w:rPr>
        <w:t>2008), "ישנה הסכמה רחבה שיש ערך לרווחה אישית. היבט כללי מרכזי שבו עשוי חופש הביטוי לתרום לרווחה של אנשים הוא היותם של ביטויים אמצעי תקשורת בין אנשים, כלומר החלפת מידע ורעיונות. אין ספק שהעברת מסרים בין אנשים היא בעלת חשיבות רבה במסגרת כל תפיסה סבירה של רווחה אישית. חופש ביטוי כאמצעי של תקשורת בין אנשים מאפשר לאנשים להכיר טענות עובדתיות ונורמטיביות, ולתרום בכך לגיבושן של החלטות מושכלות בנוגע להיבטים רבים של חייהם".</w:t>
      </w:r>
    </w:p>
  </w:footnote>
  <w:footnote w:id="61">
    <w:p w:rsidR="0014770C" w:rsidRPr="00AA096E" w:rsidRDefault="0014770C" w:rsidP="00512C97">
      <w:pPr>
        <w:pStyle w:val="a3"/>
        <w:jc w:val="both"/>
        <w:rPr>
          <w:rFonts w:cs="David"/>
        </w:rPr>
      </w:pPr>
      <w:r w:rsidRPr="00AA096E">
        <w:rPr>
          <w:rStyle w:val="a5"/>
          <w:rFonts w:cs="David"/>
        </w:rPr>
        <w:footnoteRef/>
      </w:r>
      <w:r w:rsidRPr="00AA096E">
        <w:rPr>
          <w:rFonts w:cs="David"/>
          <w:rtl/>
        </w:rPr>
        <w:t xml:space="preserve"> </w:t>
      </w:r>
      <w:r w:rsidRPr="00AA096E">
        <w:rPr>
          <w:rFonts w:cs="David" w:hint="cs"/>
          <w:rtl/>
        </w:rPr>
        <w:t>שם, עמ' 113-99</w:t>
      </w:r>
      <w:r>
        <w:rPr>
          <w:rFonts w:cs="David" w:hint="cs"/>
          <w:rtl/>
        </w:rPr>
        <w:t>.</w:t>
      </w:r>
    </w:p>
  </w:footnote>
  <w:footnote w:id="62">
    <w:p w:rsidR="0014770C" w:rsidRPr="00AA096E" w:rsidRDefault="0014770C" w:rsidP="000422EB">
      <w:pPr>
        <w:pStyle w:val="a3"/>
        <w:jc w:val="both"/>
        <w:rPr>
          <w:rFonts w:cs="David"/>
        </w:rPr>
      </w:pPr>
      <w:r w:rsidRPr="00AA096E">
        <w:rPr>
          <w:rStyle w:val="a5"/>
          <w:rFonts w:cs="David"/>
        </w:rPr>
        <w:footnoteRef/>
      </w:r>
      <w:r w:rsidRPr="00AA096E">
        <w:rPr>
          <w:rFonts w:cs="David"/>
          <w:rtl/>
        </w:rPr>
        <w:t xml:space="preserve"> </w:t>
      </w:r>
      <w:r w:rsidRPr="00AA096E">
        <w:rPr>
          <w:rFonts w:cs="David" w:hint="cs"/>
          <w:rtl/>
        </w:rPr>
        <w:t xml:space="preserve">ע"א 73/53 </w:t>
      </w:r>
      <w:r w:rsidRPr="00AA096E">
        <w:rPr>
          <w:rFonts w:cs="David" w:hint="cs"/>
          <w:b/>
          <w:bCs/>
          <w:rtl/>
        </w:rPr>
        <w:t>קול העם נ' שר הפנים</w:t>
      </w:r>
      <w:r w:rsidRPr="00AA096E">
        <w:rPr>
          <w:rFonts w:cs="David" w:hint="cs"/>
          <w:rtl/>
        </w:rPr>
        <w:t>, פ"ד ז(2) 871</w:t>
      </w:r>
      <w:r>
        <w:rPr>
          <w:rFonts w:cs="David" w:hint="cs"/>
          <w:rtl/>
        </w:rPr>
        <w:t xml:space="preserve"> (1953)</w:t>
      </w:r>
      <w:r w:rsidRPr="00AA096E">
        <w:rPr>
          <w:rFonts w:cs="David" w:hint="cs"/>
          <w:rtl/>
        </w:rPr>
        <w:t>,</w:t>
      </w:r>
      <w:r>
        <w:rPr>
          <w:rFonts w:cs="David" w:hint="cs"/>
          <w:rtl/>
        </w:rPr>
        <w:t xml:space="preserve"> בחוות דעתו של השופט אגרנט, עמ'</w:t>
      </w:r>
      <w:r w:rsidRPr="00AA096E">
        <w:rPr>
          <w:rFonts w:cs="David" w:hint="cs"/>
          <w:rtl/>
        </w:rPr>
        <w:t xml:space="preserve"> 878</w:t>
      </w:r>
      <w:r>
        <w:rPr>
          <w:rFonts w:cs="David" w:hint="cs"/>
          <w:rtl/>
        </w:rPr>
        <w:t>.</w:t>
      </w:r>
    </w:p>
  </w:footnote>
  <w:footnote w:id="63">
    <w:p w:rsidR="0014770C" w:rsidRDefault="0014770C" w:rsidP="004F37D8">
      <w:pPr>
        <w:pStyle w:val="a3"/>
        <w:jc w:val="both"/>
        <w:rPr>
          <w:rtl/>
        </w:rPr>
      </w:pPr>
      <w:r w:rsidRPr="00AA096E">
        <w:rPr>
          <w:rStyle w:val="a5"/>
          <w:rFonts w:cs="David"/>
        </w:rPr>
        <w:footnoteRef/>
      </w:r>
      <w:r w:rsidRPr="00AA096E">
        <w:rPr>
          <w:rFonts w:cs="David"/>
          <w:rtl/>
        </w:rPr>
        <w:t xml:space="preserve"> </w:t>
      </w:r>
      <w:r w:rsidRPr="00AA096E">
        <w:rPr>
          <w:rFonts w:cs="David" w:hint="cs"/>
          <w:rtl/>
        </w:rPr>
        <w:t xml:space="preserve">בג"צ 14/86 </w:t>
      </w:r>
      <w:r w:rsidRPr="00AA096E">
        <w:rPr>
          <w:rFonts w:cs="David" w:hint="cs"/>
          <w:b/>
          <w:bCs/>
          <w:rtl/>
        </w:rPr>
        <w:t>לאור נ' המועצה לביקורת סרטים ומחזות</w:t>
      </w:r>
      <w:r w:rsidRPr="00AA096E">
        <w:rPr>
          <w:rFonts w:cs="David" w:hint="cs"/>
          <w:rtl/>
        </w:rPr>
        <w:t>, פ"ד מא</w:t>
      </w:r>
      <w:r>
        <w:rPr>
          <w:rFonts w:cs="David" w:hint="cs"/>
          <w:rtl/>
        </w:rPr>
        <w:t>(1) 421 (1987), בחוות דעתו של השופט מלץ, עמ' 444.</w:t>
      </w:r>
    </w:p>
  </w:footnote>
  <w:footnote w:id="64">
    <w:p w:rsidR="0014770C" w:rsidRPr="00636A8B" w:rsidRDefault="0014770C" w:rsidP="00B11A8A">
      <w:pPr>
        <w:pStyle w:val="a3"/>
        <w:jc w:val="both"/>
      </w:pPr>
      <w:r>
        <w:rPr>
          <w:rStyle w:val="a5"/>
        </w:rPr>
        <w:footnoteRef/>
      </w:r>
      <w:r>
        <w:rPr>
          <w:rtl/>
        </w:rPr>
        <w:t xml:space="preserve"> </w:t>
      </w:r>
      <w:r w:rsidRPr="00693C41">
        <w:rPr>
          <w:rFonts w:cs="David" w:hint="cs"/>
          <w:rtl/>
        </w:rPr>
        <w:t xml:space="preserve">ע"א 723/74 </w:t>
      </w:r>
      <w:r w:rsidRPr="00693C41">
        <w:rPr>
          <w:rFonts w:cs="David" w:hint="cs"/>
          <w:b/>
          <w:bCs/>
          <w:rtl/>
        </w:rPr>
        <w:t>הוצאת עיתון 'הארץ' נ' חברת החשמל לישראל</w:t>
      </w:r>
      <w:r w:rsidRPr="00693C41">
        <w:rPr>
          <w:rFonts w:cs="David" w:hint="cs"/>
          <w:rtl/>
        </w:rPr>
        <w:t>, פ"ד לא</w:t>
      </w:r>
      <w:r>
        <w:rPr>
          <w:rFonts w:cs="David" w:hint="cs"/>
          <w:rtl/>
        </w:rPr>
        <w:t>(2)</w:t>
      </w:r>
      <w:r w:rsidRPr="00693C41">
        <w:rPr>
          <w:rFonts w:cs="David" w:hint="cs"/>
          <w:rtl/>
        </w:rPr>
        <w:t xml:space="preserve"> 295 (1977), </w:t>
      </w:r>
      <w:r w:rsidRPr="00636A8B">
        <w:rPr>
          <w:rFonts w:cs="David" w:hint="cs"/>
          <w:rtl/>
        </w:rPr>
        <w:t>בחוות דעתו של השופט שמגר,</w:t>
      </w:r>
      <w:r>
        <w:rPr>
          <w:rFonts w:cs="David" w:hint="cs"/>
          <w:rtl/>
        </w:rPr>
        <w:t xml:space="preserve"> פסקה 7.</w:t>
      </w:r>
    </w:p>
  </w:footnote>
  <w:footnote w:id="65">
    <w:p w:rsidR="0014770C" w:rsidRPr="00693C41" w:rsidRDefault="0014770C" w:rsidP="00512C97">
      <w:pPr>
        <w:pStyle w:val="a3"/>
        <w:jc w:val="both"/>
        <w:rPr>
          <w:rFonts w:cs="David"/>
          <w:rtl/>
        </w:rPr>
      </w:pPr>
      <w:r w:rsidRPr="00693C41">
        <w:rPr>
          <w:rStyle w:val="a5"/>
          <w:rFonts w:cs="David"/>
        </w:rPr>
        <w:footnoteRef/>
      </w:r>
      <w:r w:rsidRPr="00693C41">
        <w:rPr>
          <w:rFonts w:cs="David"/>
          <w:rtl/>
        </w:rPr>
        <w:t xml:space="preserve"> </w:t>
      </w:r>
      <w:r w:rsidRPr="00693C41">
        <w:rPr>
          <w:rFonts w:cs="David" w:hint="cs"/>
          <w:rtl/>
        </w:rPr>
        <w:t xml:space="preserve">ברק אהרון, </w:t>
      </w:r>
      <w:r w:rsidRPr="00693C41">
        <w:rPr>
          <w:rFonts w:cs="David" w:hint="cs"/>
          <w:b/>
          <w:bCs/>
          <w:rtl/>
        </w:rPr>
        <w:t>המסורת של חופש הביטוי בישראל ובעיותיה</w:t>
      </w:r>
      <w:r w:rsidRPr="00693C41">
        <w:rPr>
          <w:rFonts w:cs="David" w:hint="cs"/>
          <w:rtl/>
        </w:rPr>
        <w:t>, עמ' 229</w:t>
      </w:r>
      <w:r>
        <w:rPr>
          <w:rFonts w:cs="David" w:hint="cs"/>
          <w:rtl/>
        </w:rPr>
        <w:t xml:space="preserve"> </w:t>
      </w:r>
      <w:r w:rsidRPr="00693C41">
        <w:rPr>
          <w:rFonts w:cs="David" w:hint="cs"/>
          <w:rtl/>
        </w:rPr>
        <w:t>(1996)</w:t>
      </w:r>
      <w:r>
        <w:rPr>
          <w:rFonts w:cs="David" w:hint="cs"/>
          <w:rtl/>
        </w:rPr>
        <w:t>.</w:t>
      </w:r>
    </w:p>
  </w:footnote>
  <w:footnote w:id="66">
    <w:p w:rsidR="0014770C" w:rsidRDefault="0014770C" w:rsidP="005A7B7E">
      <w:pPr>
        <w:pStyle w:val="a3"/>
        <w:jc w:val="both"/>
        <w:rPr>
          <w:rtl/>
        </w:rPr>
      </w:pPr>
      <w:r w:rsidRPr="00693C41">
        <w:rPr>
          <w:rStyle w:val="a5"/>
          <w:rFonts w:cs="David"/>
        </w:rPr>
        <w:footnoteRef/>
      </w:r>
      <w:r w:rsidRPr="00693C41">
        <w:rPr>
          <w:rFonts w:cs="David"/>
          <w:rtl/>
        </w:rPr>
        <w:t xml:space="preserve"> </w:t>
      </w:r>
      <w:r w:rsidRPr="00693C41">
        <w:rPr>
          <w:rFonts w:cs="David" w:hint="cs"/>
          <w:rtl/>
        </w:rPr>
        <w:t>שם, עמ' 229</w:t>
      </w:r>
      <w:r>
        <w:rPr>
          <w:rFonts w:hint="cs"/>
          <w:rtl/>
        </w:rPr>
        <w:t>.</w:t>
      </w:r>
    </w:p>
  </w:footnote>
  <w:footnote w:id="67">
    <w:p w:rsidR="0014770C" w:rsidRPr="001A4F82" w:rsidRDefault="0014770C" w:rsidP="00422C9D">
      <w:pPr>
        <w:pStyle w:val="a3"/>
        <w:jc w:val="both"/>
        <w:rPr>
          <w:rFonts w:cs="David"/>
        </w:rPr>
      </w:pPr>
      <w:r>
        <w:rPr>
          <w:rStyle w:val="a5"/>
        </w:rPr>
        <w:footnoteRef/>
      </w:r>
      <w:r>
        <w:rPr>
          <w:rtl/>
        </w:rPr>
        <w:t xml:space="preserve"> </w:t>
      </w:r>
      <w:r w:rsidRPr="001A4F82">
        <w:rPr>
          <w:rFonts w:cs="David" w:hint="cs"/>
          <w:rtl/>
        </w:rPr>
        <w:t xml:space="preserve">בג"צ 399/85 </w:t>
      </w:r>
      <w:r w:rsidRPr="001A4F82">
        <w:rPr>
          <w:rFonts w:cs="David" w:hint="cs"/>
          <w:b/>
          <w:bCs/>
          <w:rtl/>
        </w:rPr>
        <w:t>כהנא נ' הוועד המנהל של רשות השידור</w:t>
      </w:r>
      <w:r w:rsidRPr="001A4F82">
        <w:rPr>
          <w:rFonts w:cs="David" w:hint="cs"/>
          <w:rtl/>
        </w:rPr>
        <w:t>, פ"ד מא(3) 255 (1987), עמ' 267 (השופט ברק: "נקודת המוצא העקרונית היא, כי מכלול חוקיה ועקרונותיה של ישראל מעידים עליה, כי היא מדינה דמוקרטית. מאופייה זה של המדינה נגזר חופש הביטוי, שהוא נשמת אפה של הדמוקרטיה ו"ציפור נפשה"....)</w:t>
      </w:r>
      <w:r>
        <w:rPr>
          <w:rFonts w:cs="David" w:hint="cs"/>
          <w:rtl/>
        </w:rPr>
        <w:t>.</w:t>
      </w:r>
    </w:p>
  </w:footnote>
  <w:footnote w:id="68">
    <w:p w:rsidR="0014770C" w:rsidRPr="001A4F82" w:rsidRDefault="0014770C" w:rsidP="005A7B7E">
      <w:pPr>
        <w:pStyle w:val="a3"/>
        <w:jc w:val="both"/>
        <w:rPr>
          <w:rFonts w:cs="David"/>
          <w:rtl/>
        </w:rPr>
      </w:pPr>
      <w:r w:rsidRPr="001A4F82">
        <w:rPr>
          <w:rStyle w:val="a5"/>
          <w:rFonts w:cs="David"/>
        </w:rPr>
        <w:footnoteRef/>
      </w:r>
      <w:r w:rsidRPr="001A4F82">
        <w:rPr>
          <w:rFonts w:cs="David"/>
          <w:rtl/>
        </w:rPr>
        <w:t xml:space="preserve"> </w:t>
      </w:r>
      <w:r w:rsidRPr="00AA096E">
        <w:rPr>
          <w:rFonts w:cs="David" w:hint="cs"/>
          <w:rtl/>
        </w:rPr>
        <w:t xml:space="preserve">שגב ראם, </w:t>
      </w:r>
      <w:r w:rsidRPr="00AA096E">
        <w:rPr>
          <w:rFonts w:cs="David" w:hint="cs"/>
          <w:b/>
          <w:bCs/>
          <w:rtl/>
        </w:rPr>
        <w:t>חופש הביטוי הצדקות וסייגים</w:t>
      </w:r>
      <w:r w:rsidRPr="001A4F82">
        <w:rPr>
          <w:rFonts w:cs="David" w:hint="cs"/>
          <w:rtl/>
        </w:rPr>
        <w:t>, עמ' 226</w:t>
      </w:r>
      <w:r>
        <w:rPr>
          <w:rFonts w:cs="David" w:hint="cs"/>
          <w:rtl/>
        </w:rPr>
        <w:t xml:space="preserve"> </w:t>
      </w:r>
      <w:r w:rsidRPr="00AA096E">
        <w:rPr>
          <w:rFonts w:cs="David" w:hint="cs"/>
          <w:rtl/>
        </w:rPr>
        <w:t>(2008)</w:t>
      </w:r>
      <w:r>
        <w:rPr>
          <w:rFonts w:cs="David" w:hint="cs"/>
          <w:rtl/>
        </w:rPr>
        <w:t>.</w:t>
      </w:r>
    </w:p>
  </w:footnote>
  <w:footnote w:id="69">
    <w:p w:rsidR="0014770C" w:rsidRPr="001A4F82" w:rsidRDefault="0014770C" w:rsidP="005A7B7E">
      <w:pPr>
        <w:pStyle w:val="a3"/>
        <w:jc w:val="both"/>
        <w:rPr>
          <w:rFonts w:cs="David"/>
        </w:rPr>
      </w:pPr>
      <w:r w:rsidRPr="001A4F82">
        <w:rPr>
          <w:rStyle w:val="a5"/>
          <w:rFonts w:cs="David"/>
        </w:rPr>
        <w:footnoteRef/>
      </w:r>
      <w:r w:rsidRPr="001A4F82">
        <w:rPr>
          <w:rFonts w:cs="David"/>
          <w:rtl/>
        </w:rPr>
        <w:t xml:space="preserve"> </w:t>
      </w:r>
      <w:r w:rsidRPr="001A4F82">
        <w:rPr>
          <w:rFonts w:cs="David" w:hint="cs"/>
          <w:rtl/>
        </w:rPr>
        <w:t>למשל, פקודת העיתונות אשר הינה פקודה המגבילה את חופש העיתונות, שימשה בסיס בפרשת "קול העם" לפסיקה אשר הרחיבה את חופש העיתונות.</w:t>
      </w:r>
    </w:p>
  </w:footnote>
  <w:footnote w:id="70">
    <w:p w:rsidR="0014770C" w:rsidRDefault="0014770C" w:rsidP="005A7B7E">
      <w:pPr>
        <w:pStyle w:val="a3"/>
        <w:jc w:val="both"/>
      </w:pPr>
      <w:r w:rsidRPr="001A4F82">
        <w:rPr>
          <w:rStyle w:val="a5"/>
          <w:rFonts w:cs="David"/>
        </w:rPr>
        <w:footnoteRef/>
      </w:r>
      <w:r w:rsidRPr="001A4F82">
        <w:rPr>
          <w:rFonts w:cs="David"/>
          <w:rtl/>
        </w:rPr>
        <w:t xml:space="preserve"> </w:t>
      </w:r>
      <w:r w:rsidRPr="001A4F82">
        <w:rPr>
          <w:rFonts w:cs="David" w:hint="cs"/>
          <w:rtl/>
        </w:rPr>
        <w:t>ראה למשל הצעת חוק יסוד: זכויות האדם והאזרח, סעיף 11 (1973), הצעת חוק יסוד: מגילת זכויות היסוד של האדם, סעיפים 35-33 (1983), הצעת חוק יסוד: זכויות היסוד של האדם ,סעיף 7 (1989).</w:t>
      </w:r>
    </w:p>
  </w:footnote>
  <w:footnote w:id="71">
    <w:p w:rsidR="0014770C" w:rsidRPr="00046E86" w:rsidRDefault="0014770C" w:rsidP="005A7B7E">
      <w:pPr>
        <w:pStyle w:val="a3"/>
        <w:jc w:val="both"/>
        <w:rPr>
          <w:rFonts w:cs="David"/>
        </w:rPr>
      </w:pPr>
      <w:r w:rsidRPr="00046E86">
        <w:rPr>
          <w:rStyle w:val="a5"/>
          <w:rFonts w:cs="David"/>
        </w:rPr>
        <w:footnoteRef/>
      </w:r>
      <w:r w:rsidRPr="00046E86">
        <w:rPr>
          <w:rFonts w:cs="David"/>
          <w:rtl/>
        </w:rPr>
        <w:t xml:space="preserve"> </w:t>
      </w:r>
      <w:r w:rsidRPr="00046E86">
        <w:rPr>
          <w:rFonts w:cs="David" w:hint="cs"/>
          <w:rtl/>
        </w:rPr>
        <w:t>חוק יסוד: כבוד האדם וחרותו, סעיף 8, "</w:t>
      </w:r>
      <w:r w:rsidRPr="00046E86">
        <w:rPr>
          <w:rStyle w:val="default"/>
          <w:rFonts w:cs="David" w:hint="cs"/>
          <w:rtl/>
        </w:rPr>
        <w:t xml:space="preserve">אין פוגעים בזכויות שלפי חוק-יסוד זה אלא </w:t>
      </w:r>
      <w:r w:rsidRPr="00046E86">
        <w:rPr>
          <w:rStyle w:val="default"/>
          <w:rFonts w:cs="David" w:hint="cs"/>
          <w:b/>
          <w:bCs/>
          <w:rtl/>
        </w:rPr>
        <w:t xml:space="preserve">בחוק ההולם את ערכיה </w:t>
      </w:r>
      <w:r w:rsidRPr="00046E86">
        <w:rPr>
          <w:rStyle w:val="default"/>
          <w:rFonts w:cs="David" w:hint="cs"/>
          <w:rtl/>
        </w:rPr>
        <w:t xml:space="preserve">של מדינת ישראל, שנועד </w:t>
      </w:r>
      <w:r w:rsidRPr="00046E86">
        <w:rPr>
          <w:rStyle w:val="default"/>
          <w:rFonts w:cs="David" w:hint="cs"/>
          <w:b/>
          <w:bCs/>
          <w:rtl/>
        </w:rPr>
        <w:t>לתכלית ראויה</w:t>
      </w:r>
      <w:r w:rsidRPr="00046E86">
        <w:rPr>
          <w:rStyle w:val="default"/>
          <w:rFonts w:cs="David" w:hint="cs"/>
          <w:rtl/>
        </w:rPr>
        <w:t xml:space="preserve">, </w:t>
      </w:r>
      <w:r w:rsidRPr="00046E86">
        <w:rPr>
          <w:rStyle w:val="default"/>
          <w:rFonts w:cs="David" w:hint="cs"/>
          <w:b/>
          <w:bCs/>
          <w:rtl/>
        </w:rPr>
        <w:t>ובמידה שאינה עולה על הנדרש</w:t>
      </w:r>
      <w:r>
        <w:rPr>
          <w:rStyle w:val="default"/>
          <w:rFonts w:cs="David" w:hint="cs"/>
          <w:rtl/>
        </w:rPr>
        <w:t xml:space="preserve">, </w:t>
      </w:r>
      <w:r w:rsidRPr="00046E86">
        <w:rPr>
          <w:rStyle w:val="default"/>
          <w:rFonts w:cs="David" w:hint="cs"/>
          <w:rtl/>
        </w:rPr>
        <w:t>או לפי חוק כאמור מכוח הסמכה מפורשת בו</w:t>
      </w:r>
      <w:r w:rsidRPr="00046E86">
        <w:rPr>
          <w:rStyle w:val="default"/>
          <w:rFonts w:cs="David" w:hint="cs"/>
        </w:rPr>
        <w:t>.</w:t>
      </w:r>
      <w:r w:rsidRPr="00046E86">
        <w:rPr>
          <w:rFonts w:cs="David" w:hint="cs"/>
          <w:rtl/>
        </w:rPr>
        <w:t>"</w:t>
      </w:r>
    </w:p>
  </w:footnote>
  <w:footnote w:id="72">
    <w:p w:rsidR="0014770C" w:rsidRPr="00046E86" w:rsidRDefault="0014770C" w:rsidP="00B15C02">
      <w:pPr>
        <w:pStyle w:val="a3"/>
        <w:jc w:val="both"/>
        <w:rPr>
          <w:rFonts w:cs="David"/>
        </w:rPr>
      </w:pPr>
      <w:r w:rsidRPr="00046E86">
        <w:rPr>
          <w:rStyle w:val="a5"/>
          <w:rFonts w:cs="David"/>
        </w:rPr>
        <w:footnoteRef/>
      </w:r>
      <w:r w:rsidRPr="00046E86">
        <w:rPr>
          <w:rFonts w:cs="David"/>
          <w:rtl/>
        </w:rPr>
        <w:t xml:space="preserve"> </w:t>
      </w:r>
      <w:r w:rsidRPr="00046E86">
        <w:rPr>
          <w:rFonts w:cs="David" w:hint="cs"/>
          <w:rtl/>
        </w:rPr>
        <w:t xml:space="preserve">ע"א 6821/93 </w:t>
      </w:r>
      <w:r w:rsidRPr="00046E86">
        <w:rPr>
          <w:rFonts w:cs="David" w:hint="cs"/>
          <w:b/>
          <w:bCs/>
          <w:rtl/>
        </w:rPr>
        <w:t>בנק המזרחי המאוחד נ' מגדל כפר שיתופי</w:t>
      </w:r>
      <w:r w:rsidRPr="00046E86">
        <w:rPr>
          <w:rFonts w:cs="David" w:hint="cs"/>
          <w:rtl/>
        </w:rPr>
        <w:t>, פ"ד מט(4) 221 (1995)</w:t>
      </w:r>
      <w:r>
        <w:rPr>
          <w:rFonts w:cs="David" w:hint="cs"/>
          <w:rtl/>
        </w:rPr>
        <w:t>.</w:t>
      </w:r>
    </w:p>
  </w:footnote>
  <w:footnote w:id="73">
    <w:p w:rsidR="0014770C" w:rsidRPr="00046E86" w:rsidRDefault="0014770C" w:rsidP="005A7B7E">
      <w:pPr>
        <w:pStyle w:val="a3"/>
        <w:jc w:val="both"/>
        <w:rPr>
          <w:rFonts w:cs="David"/>
        </w:rPr>
      </w:pPr>
      <w:r w:rsidRPr="00046E86">
        <w:rPr>
          <w:rStyle w:val="a5"/>
          <w:rFonts w:cs="David"/>
        </w:rPr>
        <w:footnoteRef/>
      </w:r>
      <w:r w:rsidRPr="00046E86">
        <w:rPr>
          <w:rFonts w:cs="David"/>
          <w:rtl/>
        </w:rPr>
        <w:t xml:space="preserve"> </w:t>
      </w:r>
      <w:r w:rsidRPr="00046E86">
        <w:rPr>
          <w:rFonts w:cs="David" w:hint="cs"/>
          <w:rtl/>
        </w:rPr>
        <w:t>רא</w:t>
      </w:r>
      <w:r>
        <w:rPr>
          <w:rFonts w:cs="David" w:hint="cs"/>
          <w:rtl/>
        </w:rPr>
        <w:t>ו</w:t>
      </w:r>
      <w:r w:rsidRPr="00046E86">
        <w:rPr>
          <w:rFonts w:cs="David" w:hint="cs"/>
          <w:rtl/>
        </w:rPr>
        <w:t xml:space="preserve"> למשל בש"פ 537/95 </w:t>
      </w:r>
      <w:r w:rsidRPr="00046E86">
        <w:rPr>
          <w:rFonts w:cs="David" w:hint="cs"/>
          <w:b/>
          <w:bCs/>
          <w:rtl/>
        </w:rPr>
        <w:t>גנימאת נ' מדינת ישראל</w:t>
      </w:r>
      <w:r w:rsidRPr="00046E86">
        <w:rPr>
          <w:rFonts w:cs="David" w:hint="cs"/>
          <w:rtl/>
        </w:rPr>
        <w:t xml:space="preserve">, פ"ד מט (3) 355 </w:t>
      </w:r>
      <w:r>
        <w:rPr>
          <w:rFonts w:cs="David" w:hint="cs"/>
          <w:rtl/>
        </w:rPr>
        <w:t xml:space="preserve">(1995), </w:t>
      </w:r>
      <w:r w:rsidRPr="00046E86">
        <w:rPr>
          <w:rFonts w:cs="David" w:hint="cs"/>
          <w:rtl/>
        </w:rPr>
        <w:t>ב</w:t>
      </w:r>
      <w:r>
        <w:rPr>
          <w:rFonts w:cs="David" w:hint="cs"/>
          <w:rtl/>
        </w:rPr>
        <w:t xml:space="preserve">חוות דעתו של </w:t>
      </w:r>
      <w:r w:rsidRPr="00046E86">
        <w:rPr>
          <w:rFonts w:cs="David" w:hint="cs"/>
          <w:rtl/>
        </w:rPr>
        <w:t>השופט ברק, עמ' 419</w:t>
      </w:r>
      <w:r>
        <w:rPr>
          <w:rFonts w:cs="David" w:hint="cs"/>
          <w:rtl/>
        </w:rPr>
        <w:t>.</w:t>
      </w:r>
    </w:p>
  </w:footnote>
  <w:footnote w:id="74">
    <w:p w:rsidR="0014770C" w:rsidRPr="00046E86" w:rsidRDefault="0014770C" w:rsidP="00512C97">
      <w:pPr>
        <w:pStyle w:val="a3"/>
        <w:rPr>
          <w:rFonts w:cs="David"/>
          <w:rtl/>
        </w:rPr>
      </w:pPr>
      <w:r w:rsidRPr="00046E86">
        <w:rPr>
          <w:rStyle w:val="a5"/>
          <w:rFonts w:cs="David"/>
        </w:rPr>
        <w:footnoteRef/>
      </w:r>
      <w:r w:rsidRPr="00046E86">
        <w:rPr>
          <w:rFonts w:cs="David"/>
          <w:rtl/>
        </w:rPr>
        <w:t xml:space="preserve"> </w:t>
      </w:r>
      <w:r w:rsidRPr="00AA096E">
        <w:rPr>
          <w:rFonts w:cs="David" w:hint="cs"/>
          <w:rtl/>
        </w:rPr>
        <w:t xml:space="preserve">שגב ראם, </w:t>
      </w:r>
      <w:r w:rsidRPr="00AA096E">
        <w:rPr>
          <w:rFonts w:cs="David" w:hint="cs"/>
          <w:b/>
          <w:bCs/>
          <w:rtl/>
        </w:rPr>
        <w:t>חופש הביטוי הצדקות וסייגים</w:t>
      </w:r>
      <w:r>
        <w:rPr>
          <w:rFonts w:cs="David" w:hint="cs"/>
          <w:rtl/>
        </w:rPr>
        <w:t xml:space="preserve">, </w:t>
      </w:r>
      <w:r w:rsidRPr="00046E86">
        <w:rPr>
          <w:rFonts w:cs="David" w:hint="cs"/>
          <w:rtl/>
        </w:rPr>
        <w:t xml:space="preserve">עמ' 237-236 </w:t>
      </w:r>
      <w:r w:rsidRPr="00AA096E">
        <w:rPr>
          <w:rFonts w:cs="David" w:hint="cs"/>
          <w:rtl/>
        </w:rPr>
        <w:t>(2008)</w:t>
      </w:r>
      <w:r>
        <w:rPr>
          <w:rFonts w:cs="David" w:hint="cs"/>
          <w:rtl/>
        </w:rPr>
        <w:t xml:space="preserve">, </w:t>
      </w:r>
      <w:r w:rsidRPr="00046E86">
        <w:rPr>
          <w:rFonts w:cs="David" w:hint="cs"/>
          <w:rtl/>
        </w:rPr>
        <w:t xml:space="preserve">שם מפנה הכותב למספר אמירות של השופט ברק, המצודד בגישה לפיה יש לכלול את חופש הביטוי במסגרת </w:t>
      </w:r>
      <w:r>
        <w:rPr>
          <w:rFonts w:cs="David" w:hint="cs"/>
          <w:rtl/>
        </w:rPr>
        <w:t>'</w:t>
      </w:r>
      <w:r w:rsidRPr="00046E86">
        <w:rPr>
          <w:rFonts w:cs="David" w:hint="cs"/>
          <w:rtl/>
        </w:rPr>
        <w:t>כבוד האדם וחרותו</w:t>
      </w:r>
      <w:r>
        <w:rPr>
          <w:rFonts w:cs="David" w:hint="cs"/>
          <w:rtl/>
        </w:rPr>
        <w:t>'</w:t>
      </w:r>
      <w:r w:rsidRPr="00046E86">
        <w:rPr>
          <w:rFonts w:cs="David" w:hint="cs"/>
          <w:rtl/>
        </w:rPr>
        <w:t>.</w:t>
      </w:r>
    </w:p>
  </w:footnote>
  <w:footnote w:id="75">
    <w:p w:rsidR="0014770C" w:rsidRDefault="0014770C" w:rsidP="00512C97">
      <w:pPr>
        <w:pStyle w:val="a3"/>
      </w:pPr>
      <w:r w:rsidRPr="00046E86">
        <w:rPr>
          <w:rStyle w:val="a5"/>
          <w:rFonts w:cs="David"/>
        </w:rPr>
        <w:footnoteRef/>
      </w:r>
      <w:r w:rsidRPr="00046E86">
        <w:rPr>
          <w:rFonts w:cs="David"/>
          <w:rtl/>
        </w:rPr>
        <w:t xml:space="preserve"> </w:t>
      </w:r>
      <w:r>
        <w:rPr>
          <w:rFonts w:cs="David" w:hint="cs"/>
          <w:rtl/>
        </w:rPr>
        <w:t>שם</w:t>
      </w:r>
      <w:r w:rsidRPr="00046E86">
        <w:rPr>
          <w:rFonts w:cs="David" w:hint="cs"/>
          <w:rtl/>
        </w:rPr>
        <w:t>,</w:t>
      </w:r>
      <w:r>
        <w:rPr>
          <w:rFonts w:cs="David" w:hint="cs"/>
          <w:rtl/>
        </w:rPr>
        <w:t xml:space="preserve"> </w:t>
      </w:r>
      <w:r w:rsidRPr="00046E86">
        <w:rPr>
          <w:rFonts w:cs="David" w:hint="cs"/>
          <w:rtl/>
        </w:rPr>
        <w:t xml:space="preserve">עמ' </w:t>
      </w:r>
      <w:r>
        <w:rPr>
          <w:rFonts w:cs="David" w:hint="cs"/>
          <w:rtl/>
        </w:rPr>
        <w:t>239-238.</w:t>
      </w:r>
    </w:p>
  </w:footnote>
  <w:footnote w:id="76">
    <w:p w:rsidR="0014770C" w:rsidRPr="00055B29" w:rsidRDefault="0014770C" w:rsidP="00512C97">
      <w:pPr>
        <w:pStyle w:val="a3"/>
        <w:jc w:val="both"/>
        <w:rPr>
          <w:rFonts w:cs="David"/>
        </w:rPr>
      </w:pPr>
      <w:r w:rsidRPr="00055B29">
        <w:rPr>
          <w:rStyle w:val="a5"/>
          <w:rFonts w:cs="David"/>
        </w:rPr>
        <w:footnoteRef/>
      </w:r>
      <w:r w:rsidRPr="00055B29">
        <w:rPr>
          <w:rFonts w:cs="David"/>
          <w:rtl/>
        </w:rPr>
        <w:t xml:space="preserve"> </w:t>
      </w:r>
      <w:r>
        <w:rPr>
          <w:rFonts w:cs="David" w:hint="cs"/>
          <w:rtl/>
        </w:rPr>
        <w:t>שגב ראם,</w:t>
      </w:r>
      <w:r w:rsidRPr="00055B29">
        <w:rPr>
          <w:rFonts w:cs="David" w:hint="cs"/>
          <w:rtl/>
        </w:rPr>
        <w:t xml:space="preserve"> </w:t>
      </w:r>
      <w:r w:rsidRPr="00055B29">
        <w:rPr>
          <w:rFonts w:cs="David" w:hint="cs"/>
          <w:b/>
          <w:bCs/>
          <w:rtl/>
        </w:rPr>
        <w:t>חופש הביטוי הצדקות וסייגים</w:t>
      </w:r>
      <w:r>
        <w:rPr>
          <w:rFonts w:cs="David" w:hint="cs"/>
          <w:rtl/>
        </w:rPr>
        <w:t xml:space="preserve">, עמ' 238 </w:t>
      </w:r>
      <w:r w:rsidRPr="00AA096E">
        <w:rPr>
          <w:rFonts w:cs="David" w:hint="cs"/>
          <w:rtl/>
        </w:rPr>
        <w:t>(2008)</w:t>
      </w:r>
      <w:r>
        <w:rPr>
          <w:rFonts w:cs="David" w:hint="cs"/>
          <w:rtl/>
        </w:rPr>
        <w:t>.</w:t>
      </w:r>
    </w:p>
  </w:footnote>
  <w:footnote w:id="77">
    <w:p w:rsidR="0014770C" w:rsidRPr="00055B29" w:rsidRDefault="0014770C" w:rsidP="00944862">
      <w:pPr>
        <w:pStyle w:val="a3"/>
        <w:jc w:val="both"/>
        <w:rPr>
          <w:rFonts w:cs="David"/>
          <w:rtl/>
        </w:rPr>
      </w:pPr>
      <w:r w:rsidRPr="00055B29">
        <w:rPr>
          <w:rStyle w:val="a5"/>
          <w:rFonts w:cs="David"/>
        </w:rPr>
        <w:footnoteRef/>
      </w:r>
      <w:r w:rsidRPr="00055B29">
        <w:rPr>
          <w:rFonts w:cs="David"/>
          <w:rtl/>
        </w:rPr>
        <w:t xml:space="preserve"> </w:t>
      </w:r>
      <w:r w:rsidRPr="00055B29">
        <w:rPr>
          <w:rFonts w:cs="David" w:hint="cs"/>
          <w:rtl/>
        </w:rPr>
        <w:t xml:space="preserve">ע"א 4463/94 </w:t>
      </w:r>
      <w:r w:rsidRPr="00055B29">
        <w:rPr>
          <w:rFonts w:cs="David" w:hint="cs"/>
          <w:b/>
          <w:bCs/>
          <w:rtl/>
        </w:rPr>
        <w:t>גולן נ' שירות בתי הסוהר</w:t>
      </w:r>
      <w:r w:rsidRPr="00055B29">
        <w:rPr>
          <w:rFonts w:cs="David" w:hint="cs"/>
          <w:rtl/>
        </w:rPr>
        <w:t>, פ"ד נ(4) 136</w:t>
      </w:r>
      <w:r>
        <w:rPr>
          <w:rFonts w:cs="David" w:hint="cs"/>
          <w:rtl/>
        </w:rPr>
        <w:t xml:space="preserve">, בחוות דעתה של השופטת דורנר, </w:t>
      </w:r>
      <w:r w:rsidRPr="00055B29">
        <w:rPr>
          <w:rFonts w:cs="David" w:hint="cs"/>
          <w:rtl/>
        </w:rPr>
        <w:t xml:space="preserve"> עמ' 188-186</w:t>
      </w:r>
      <w:r>
        <w:rPr>
          <w:rFonts w:cs="David" w:hint="cs"/>
          <w:rtl/>
        </w:rPr>
        <w:t>:</w:t>
      </w:r>
      <w:r w:rsidRPr="00055B29">
        <w:rPr>
          <w:rFonts w:cs="David" w:hint="cs"/>
          <w:rtl/>
        </w:rPr>
        <w:t xml:space="preserve"> </w:t>
      </w:r>
      <w:r>
        <w:rPr>
          <w:rFonts w:cs="David" w:hint="cs"/>
          <w:rtl/>
        </w:rPr>
        <w:t>"</w:t>
      </w:r>
      <w:r w:rsidRPr="00055B29">
        <w:rPr>
          <w:rFonts w:cs="David" w:hint="cs"/>
          <w:rtl/>
        </w:rPr>
        <w:t>שאלה אחרת היא אם חופש הביטוי בכללותו מוגן על ידי חוק היסוד...ההסכמה הלאומית הדרושה לעיגונו של חופש הביטוי בחוק יסוד לא התגבשה לפי שעה.</w:t>
      </w:r>
      <w:r>
        <w:rPr>
          <w:rFonts w:cs="David" w:hint="cs"/>
          <w:rtl/>
        </w:rPr>
        <w:t xml:space="preserve"> </w:t>
      </w:r>
      <w:r w:rsidRPr="00055B29">
        <w:rPr>
          <w:rFonts w:cs="David" w:hint="cs"/>
          <w:rtl/>
        </w:rPr>
        <w:t>והצעת חוק: חופש הביטוי לא התקבלה עד היום. במצב עניינים זה ספק בעיניי אם ניתן, ועל כל פנים אם ראוי, לתת מעמד על חוקי לחופש הביטוי הכללי על ידי עיגונו בזכות לכבוד. עם זאת, יש מקרים שבהם פגיעה בחופש הביטוי של אדם מהווה פגיעה בזכותו לכבוד, כמשמעותה בחוק יסוד: כבוד האדם וחרותו. כאשר שלילת חופש הביטוי משפילה את האדם ופוגעת בכבודו באשר הוא אדם, אין דרך סבירה לפרש את הזכות לכבוד הקבועה בחוק היסוד כך שהשפלה זו לא תחשב כפוגעת בה...ואולם לא כל פגיעה בחופש הביטוי כרוכה בהשפלה".</w:t>
      </w:r>
    </w:p>
  </w:footnote>
  <w:footnote w:id="78">
    <w:p w:rsidR="0014770C" w:rsidRPr="00055B29" w:rsidRDefault="0014770C" w:rsidP="00215481">
      <w:pPr>
        <w:pStyle w:val="a3"/>
        <w:jc w:val="both"/>
        <w:rPr>
          <w:rFonts w:cs="David"/>
          <w:rtl/>
        </w:rPr>
      </w:pPr>
      <w:r w:rsidRPr="00055B29">
        <w:rPr>
          <w:rStyle w:val="a5"/>
          <w:rFonts w:cs="David"/>
        </w:rPr>
        <w:footnoteRef/>
      </w:r>
      <w:r w:rsidRPr="00055B29">
        <w:rPr>
          <w:rFonts w:cs="David"/>
          <w:rtl/>
        </w:rPr>
        <w:t xml:space="preserve"> </w:t>
      </w:r>
      <w:r w:rsidRPr="00DE57D6">
        <w:rPr>
          <w:rFonts w:cs="David" w:hint="cs"/>
          <w:rtl/>
        </w:rPr>
        <w:t xml:space="preserve">רע"פ 2533/10 </w:t>
      </w:r>
      <w:r w:rsidRPr="00DE57D6">
        <w:rPr>
          <w:rFonts w:cs="David" w:hint="cs"/>
          <w:b/>
          <w:bCs/>
          <w:rtl/>
        </w:rPr>
        <w:t>מדינת ישראל נ' מיכאל בן-חורין</w:t>
      </w:r>
      <w:r w:rsidRPr="00DE57D6">
        <w:rPr>
          <w:rFonts w:cs="David" w:hint="cs"/>
          <w:rtl/>
        </w:rPr>
        <w:t>, תק-על 2011</w:t>
      </w:r>
      <w:r w:rsidRPr="00DE57D6">
        <w:rPr>
          <w:rFonts w:cs="David"/>
        </w:rPr>
        <w:t xml:space="preserve"> </w:t>
      </w:r>
      <w:r w:rsidRPr="00DE57D6">
        <w:rPr>
          <w:rFonts w:cs="David" w:hint="cs"/>
          <w:rtl/>
        </w:rPr>
        <w:t xml:space="preserve">(4) 3974 (2011), </w:t>
      </w:r>
      <w:r>
        <w:rPr>
          <w:rFonts w:cs="David" w:hint="cs"/>
          <w:rtl/>
        </w:rPr>
        <w:t>בחוות דעתו של השופט הנדל, פסקה 5.</w:t>
      </w:r>
    </w:p>
  </w:footnote>
  <w:footnote w:id="79">
    <w:p w:rsidR="0014770C" w:rsidRDefault="0014770C" w:rsidP="00512C97">
      <w:pPr>
        <w:pStyle w:val="a3"/>
        <w:jc w:val="both"/>
        <w:rPr>
          <w:rtl/>
        </w:rPr>
      </w:pPr>
      <w:r w:rsidRPr="00055B29">
        <w:rPr>
          <w:rStyle w:val="a5"/>
          <w:rFonts w:cs="David"/>
        </w:rPr>
        <w:footnoteRef/>
      </w:r>
      <w:r w:rsidRPr="00055B29">
        <w:rPr>
          <w:rFonts w:cs="David"/>
          <w:rtl/>
        </w:rPr>
        <w:t xml:space="preserve"> </w:t>
      </w:r>
      <w:r>
        <w:rPr>
          <w:rFonts w:cs="David" w:hint="cs"/>
          <w:rtl/>
        </w:rPr>
        <w:t>שם.</w:t>
      </w:r>
    </w:p>
  </w:footnote>
  <w:footnote w:id="80">
    <w:p w:rsidR="0014770C" w:rsidRPr="00D36219" w:rsidRDefault="0014770C" w:rsidP="00512C97">
      <w:pPr>
        <w:pStyle w:val="a3"/>
        <w:rPr>
          <w:rFonts w:cs="David"/>
        </w:rPr>
      </w:pPr>
      <w:r w:rsidRPr="00D36219">
        <w:rPr>
          <w:rStyle w:val="a5"/>
          <w:rFonts w:cs="David"/>
        </w:rPr>
        <w:footnoteRef/>
      </w:r>
      <w:r w:rsidRPr="00D36219">
        <w:rPr>
          <w:rFonts w:cs="David"/>
          <w:rtl/>
        </w:rPr>
        <w:t xml:space="preserve"> </w:t>
      </w:r>
      <w:r w:rsidRPr="00D36219">
        <w:rPr>
          <w:rFonts w:cs="David" w:hint="cs"/>
          <w:rtl/>
        </w:rPr>
        <w:t>ברק אהרון</w:t>
      </w:r>
      <w:r>
        <w:rPr>
          <w:rFonts w:cs="David" w:hint="cs"/>
          <w:rtl/>
        </w:rPr>
        <w:t>,</w:t>
      </w:r>
      <w:r w:rsidRPr="00D36219">
        <w:rPr>
          <w:rFonts w:cs="David" w:hint="cs"/>
          <w:rtl/>
        </w:rPr>
        <w:t xml:space="preserve"> </w:t>
      </w:r>
      <w:r w:rsidRPr="00D36219">
        <w:rPr>
          <w:rFonts w:cs="David" w:hint="cs"/>
          <w:b/>
          <w:bCs/>
          <w:rtl/>
        </w:rPr>
        <w:t>המסורת של חופש הביטוי בישראל ובעיותיה</w:t>
      </w:r>
      <w:r w:rsidRPr="00D36219">
        <w:rPr>
          <w:rFonts w:cs="David" w:hint="cs"/>
          <w:rtl/>
        </w:rPr>
        <w:t>, עמ' 225</w:t>
      </w:r>
      <w:r>
        <w:rPr>
          <w:rFonts w:cs="David" w:hint="cs"/>
          <w:rtl/>
        </w:rPr>
        <w:t>, (1996).</w:t>
      </w:r>
    </w:p>
  </w:footnote>
  <w:footnote w:id="81">
    <w:p w:rsidR="0014770C" w:rsidRPr="00D36219" w:rsidRDefault="0014770C" w:rsidP="00512C97">
      <w:pPr>
        <w:pStyle w:val="a3"/>
        <w:rPr>
          <w:rFonts w:cs="David"/>
          <w:rtl/>
        </w:rPr>
      </w:pPr>
      <w:r w:rsidRPr="00D36219">
        <w:rPr>
          <w:rStyle w:val="a5"/>
          <w:rFonts w:cs="David"/>
        </w:rPr>
        <w:footnoteRef/>
      </w:r>
      <w:r w:rsidRPr="00D36219">
        <w:rPr>
          <w:rFonts w:cs="David"/>
          <w:rtl/>
        </w:rPr>
        <w:t xml:space="preserve"> </w:t>
      </w:r>
      <w:r w:rsidRPr="00D36219">
        <w:rPr>
          <w:rFonts w:cs="David" w:hint="cs"/>
          <w:rtl/>
        </w:rPr>
        <w:t xml:space="preserve">עניין </w:t>
      </w:r>
      <w:r w:rsidRPr="009C6A35">
        <w:rPr>
          <w:rFonts w:cs="David" w:hint="cs"/>
          <w:b/>
          <w:bCs/>
          <w:rtl/>
        </w:rPr>
        <w:t>'בן-חורין'</w:t>
      </w:r>
      <w:r w:rsidRPr="00D36219">
        <w:rPr>
          <w:rFonts w:cs="David" w:hint="cs"/>
          <w:rtl/>
        </w:rPr>
        <w:t>, חוות דעתו של השופט הנדל, פסקה 5.</w:t>
      </w:r>
    </w:p>
  </w:footnote>
  <w:footnote w:id="82">
    <w:p w:rsidR="0014770C" w:rsidRPr="00D36219" w:rsidRDefault="0014770C" w:rsidP="00512C97">
      <w:pPr>
        <w:pStyle w:val="a3"/>
        <w:rPr>
          <w:rFonts w:cs="David"/>
          <w:rtl/>
        </w:rPr>
      </w:pPr>
      <w:r w:rsidRPr="00D36219">
        <w:rPr>
          <w:rStyle w:val="a5"/>
          <w:rFonts w:cs="David"/>
        </w:rPr>
        <w:footnoteRef/>
      </w:r>
      <w:r w:rsidRPr="00D36219">
        <w:rPr>
          <w:rFonts w:cs="David"/>
          <w:rtl/>
        </w:rPr>
        <w:t xml:space="preserve"> </w:t>
      </w:r>
      <w:r w:rsidRPr="00D36219">
        <w:rPr>
          <w:rFonts w:cs="David" w:hint="cs"/>
          <w:rtl/>
        </w:rPr>
        <w:t>שגב ראם</w:t>
      </w:r>
      <w:r>
        <w:rPr>
          <w:rFonts w:cs="David" w:hint="cs"/>
          <w:rtl/>
        </w:rPr>
        <w:t>,</w:t>
      </w:r>
      <w:r w:rsidRPr="00D36219">
        <w:rPr>
          <w:rFonts w:cs="David" w:hint="cs"/>
          <w:rtl/>
        </w:rPr>
        <w:t xml:space="preserve"> </w:t>
      </w:r>
      <w:r w:rsidRPr="00D36219">
        <w:rPr>
          <w:rFonts w:cs="David" w:hint="cs"/>
          <w:b/>
          <w:bCs/>
          <w:rtl/>
        </w:rPr>
        <w:t>חופש הביטוי הצדקות וסייגים</w:t>
      </w:r>
      <w:r w:rsidRPr="00D36219">
        <w:rPr>
          <w:rFonts w:cs="David" w:hint="cs"/>
          <w:rtl/>
        </w:rPr>
        <w:t>, עמ' 59</w:t>
      </w:r>
      <w:r>
        <w:rPr>
          <w:rFonts w:cs="David" w:hint="cs"/>
          <w:rtl/>
        </w:rPr>
        <w:t>,</w:t>
      </w:r>
      <w:r w:rsidRPr="009B569E">
        <w:rPr>
          <w:rFonts w:cs="David" w:hint="cs"/>
          <w:rtl/>
        </w:rPr>
        <w:t xml:space="preserve"> </w:t>
      </w:r>
      <w:r w:rsidRPr="00D36219">
        <w:rPr>
          <w:rFonts w:cs="David" w:hint="cs"/>
          <w:rtl/>
        </w:rPr>
        <w:t>(2008)</w:t>
      </w:r>
    </w:p>
  </w:footnote>
  <w:footnote w:id="83">
    <w:p w:rsidR="0014770C" w:rsidRPr="007A28A6" w:rsidRDefault="0014770C" w:rsidP="00512C97">
      <w:pPr>
        <w:pStyle w:val="a3"/>
        <w:rPr>
          <w:rFonts w:cs="David"/>
          <w:rtl/>
        </w:rPr>
      </w:pPr>
      <w:r w:rsidRPr="007A28A6">
        <w:rPr>
          <w:rStyle w:val="a5"/>
          <w:rFonts w:cs="David"/>
        </w:rPr>
        <w:footnoteRef/>
      </w:r>
      <w:r w:rsidRPr="007A28A6">
        <w:rPr>
          <w:rFonts w:cs="David"/>
          <w:rtl/>
        </w:rPr>
        <w:t xml:space="preserve"> </w:t>
      </w:r>
      <w:r w:rsidRPr="007A28A6">
        <w:rPr>
          <w:rFonts w:cs="David" w:hint="cs"/>
          <w:rtl/>
        </w:rPr>
        <w:t>ראו הרחבה, שם, עמ' 60-59, 74-70</w:t>
      </w:r>
    </w:p>
  </w:footnote>
  <w:footnote w:id="84">
    <w:p w:rsidR="0014770C" w:rsidRPr="00FC4377" w:rsidRDefault="0014770C" w:rsidP="00473E23">
      <w:pPr>
        <w:pStyle w:val="a3"/>
        <w:jc w:val="both"/>
        <w:rPr>
          <w:rFonts w:cs="David"/>
          <w:rtl/>
        </w:rPr>
      </w:pPr>
      <w:r w:rsidRPr="00FC4377">
        <w:rPr>
          <w:rStyle w:val="a5"/>
          <w:rFonts w:cs="David"/>
        </w:rPr>
        <w:footnoteRef/>
      </w:r>
      <w:r>
        <w:rPr>
          <w:rFonts w:cs="David" w:hint="cs"/>
          <w:rtl/>
        </w:rPr>
        <w:t xml:space="preserve"> </w:t>
      </w:r>
      <w:r w:rsidRPr="00FC4377">
        <w:rPr>
          <w:rFonts w:cs="David" w:hint="cs"/>
          <w:rtl/>
        </w:rPr>
        <w:t xml:space="preserve">ע"פ  2831/95 </w:t>
      </w:r>
      <w:r w:rsidRPr="00FC4377">
        <w:rPr>
          <w:rFonts w:cs="David" w:hint="cs"/>
          <w:b/>
          <w:bCs/>
          <w:rtl/>
        </w:rPr>
        <w:t>הרב עידו אלבה נ' מדינת ישראל</w:t>
      </w:r>
      <w:r>
        <w:rPr>
          <w:rFonts w:cs="David" w:hint="cs"/>
          <w:rtl/>
        </w:rPr>
        <w:t xml:space="preserve">, פ"ד נ (5) 221 (1996), </w:t>
      </w:r>
      <w:r w:rsidRPr="00FC4377">
        <w:rPr>
          <w:rFonts w:cs="David" w:hint="cs"/>
          <w:rtl/>
        </w:rPr>
        <w:t xml:space="preserve">בחוות דעתו של השופט מצא, פסקאות </w:t>
      </w:r>
      <w:r>
        <w:rPr>
          <w:rFonts w:cs="David" w:hint="cs"/>
          <w:rtl/>
        </w:rPr>
        <w:t>10</w:t>
      </w:r>
      <w:r w:rsidRPr="00FC4377">
        <w:rPr>
          <w:rFonts w:cs="David" w:hint="cs"/>
          <w:rtl/>
        </w:rPr>
        <w:t>-9.</w:t>
      </w:r>
    </w:p>
  </w:footnote>
  <w:footnote w:id="85">
    <w:p w:rsidR="0014770C" w:rsidRDefault="0014770C" w:rsidP="00610E3A">
      <w:pPr>
        <w:pStyle w:val="a3"/>
        <w:jc w:val="both"/>
      </w:pPr>
      <w:r w:rsidRPr="00FC4377">
        <w:rPr>
          <w:rStyle w:val="a5"/>
          <w:rFonts w:cs="David"/>
        </w:rPr>
        <w:footnoteRef/>
      </w:r>
      <w:r w:rsidRPr="00FC4377">
        <w:rPr>
          <w:rFonts w:cs="David"/>
          <w:rtl/>
        </w:rPr>
        <w:t xml:space="preserve"> </w:t>
      </w:r>
      <w:r w:rsidRPr="00FC4377">
        <w:rPr>
          <w:rFonts w:cs="David" w:hint="cs"/>
          <w:rtl/>
        </w:rPr>
        <w:t xml:space="preserve">חוק יסוד: </w:t>
      </w:r>
      <w:r>
        <w:rPr>
          <w:rFonts w:cs="David" w:hint="cs"/>
          <w:rtl/>
        </w:rPr>
        <w:t>כבוד האדם וחרותו, התשנ"ב-1992.</w:t>
      </w:r>
    </w:p>
  </w:footnote>
  <w:footnote w:id="86">
    <w:p w:rsidR="0014770C" w:rsidRPr="00D308F9" w:rsidRDefault="0014770C" w:rsidP="00610E3A">
      <w:pPr>
        <w:pStyle w:val="a3"/>
        <w:jc w:val="both"/>
        <w:rPr>
          <w:rFonts w:cs="David"/>
        </w:rPr>
      </w:pPr>
      <w:r w:rsidRPr="00D308F9">
        <w:rPr>
          <w:rStyle w:val="a5"/>
          <w:rFonts w:cs="David"/>
        </w:rPr>
        <w:footnoteRef/>
      </w:r>
      <w:r w:rsidRPr="00D308F9">
        <w:rPr>
          <w:rFonts w:cs="David"/>
          <w:rtl/>
        </w:rPr>
        <w:t xml:space="preserve"> </w:t>
      </w:r>
      <w:r w:rsidRPr="00D308F9">
        <w:rPr>
          <w:rFonts w:cs="David" w:hint="cs"/>
        </w:rPr>
        <w:t>INTERNATIONAL CONVENTION ON THE ELIMINATION OF ALL FORMS OF RACIAL DISCRIMINATION</w:t>
      </w:r>
      <w:r w:rsidRPr="00D308F9">
        <w:rPr>
          <w:rFonts w:cs="David" w:hint="cs"/>
          <w:rtl/>
        </w:rPr>
        <w:t>, 1965.</w:t>
      </w:r>
    </w:p>
  </w:footnote>
  <w:footnote w:id="87">
    <w:p w:rsidR="0014770C" w:rsidRPr="00D308F9" w:rsidRDefault="0014770C" w:rsidP="00F34150">
      <w:pPr>
        <w:pStyle w:val="a3"/>
        <w:jc w:val="both"/>
        <w:rPr>
          <w:rFonts w:cs="David"/>
        </w:rPr>
      </w:pPr>
      <w:r w:rsidRPr="00D308F9">
        <w:rPr>
          <w:rStyle w:val="a5"/>
          <w:rFonts w:cs="David"/>
        </w:rPr>
        <w:footnoteRef/>
      </w:r>
      <w:r w:rsidRPr="00D308F9">
        <w:rPr>
          <w:rFonts w:cs="David"/>
          <w:rtl/>
        </w:rPr>
        <w:t xml:space="preserve"> </w:t>
      </w:r>
      <w:r w:rsidRPr="00D308F9">
        <w:rPr>
          <w:rFonts w:cs="David" w:hint="cs"/>
          <w:rtl/>
        </w:rPr>
        <w:t xml:space="preserve">בג"צ 344/81 </w:t>
      </w:r>
      <w:r w:rsidRPr="00D308F9">
        <w:rPr>
          <w:rFonts w:cs="David" w:hint="cs"/>
          <w:b/>
          <w:bCs/>
          <w:rtl/>
        </w:rPr>
        <w:t>נגבי ואח' נ' ועדת הבחירות המרכזית לכנסת העשירית ואח'</w:t>
      </w:r>
      <w:r>
        <w:rPr>
          <w:rFonts w:cs="David" w:hint="cs"/>
          <w:rtl/>
        </w:rPr>
        <w:t>, פ"ד לה(4), 837 (1981).</w:t>
      </w:r>
    </w:p>
  </w:footnote>
  <w:footnote w:id="88">
    <w:p w:rsidR="0014770C" w:rsidRPr="00D308F9" w:rsidRDefault="0014770C" w:rsidP="00F34150">
      <w:pPr>
        <w:pStyle w:val="a3"/>
        <w:jc w:val="both"/>
        <w:rPr>
          <w:rFonts w:cs="David"/>
        </w:rPr>
      </w:pPr>
      <w:r w:rsidRPr="00D308F9">
        <w:rPr>
          <w:rStyle w:val="a5"/>
          <w:rFonts w:cs="David"/>
        </w:rPr>
        <w:footnoteRef/>
      </w:r>
      <w:r w:rsidRPr="00D308F9">
        <w:rPr>
          <w:rFonts w:cs="David"/>
          <w:rtl/>
        </w:rPr>
        <w:t xml:space="preserve"> </w:t>
      </w:r>
      <w:r w:rsidRPr="00D308F9">
        <w:rPr>
          <w:rFonts w:cs="David" w:hint="cs"/>
          <w:rtl/>
        </w:rPr>
        <w:t xml:space="preserve">ע"ב 2/84 </w:t>
      </w:r>
      <w:r w:rsidRPr="00D308F9">
        <w:rPr>
          <w:rFonts w:cs="David" w:hint="cs"/>
          <w:b/>
          <w:bCs/>
          <w:rtl/>
        </w:rPr>
        <w:t>ניימן נ' יו"ר ועדת הבחירות המרכזית לכנסת האחת-עשרה ואבנרי נ' יו"ר ועדת הבחירות המרכזית לכנסת האחת-עשרה</w:t>
      </w:r>
      <w:r>
        <w:rPr>
          <w:rFonts w:cs="David" w:hint="cs"/>
          <w:rtl/>
        </w:rPr>
        <w:t>, פ"ד ל"ט(2) 225 (1984).</w:t>
      </w:r>
    </w:p>
  </w:footnote>
  <w:footnote w:id="89">
    <w:p w:rsidR="0014770C" w:rsidRDefault="0014770C" w:rsidP="00F34150">
      <w:pPr>
        <w:pStyle w:val="a3"/>
        <w:jc w:val="both"/>
      </w:pPr>
      <w:r w:rsidRPr="00D308F9">
        <w:rPr>
          <w:rStyle w:val="a5"/>
          <w:rFonts w:cs="David"/>
        </w:rPr>
        <w:footnoteRef/>
      </w:r>
      <w:r w:rsidRPr="00D308F9">
        <w:rPr>
          <w:rFonts w:cs="David"/>
          <w:rtl/>
        </w:rPr>
        <w:t xml:space="preserve"> </w:t>
      </w:r>
      <w:r w:rsidRPr="00D308F9">
        <w:rPr>
          <w:rFonts w:cs="David" w:hint="cs"/>
          <w:rtl/>
        </w:rPr>
        <w:t xml:space="preserve">בפסיקתו זו, התבסס בית המשפט העליון על ההלכה שנפסקה (בדעת רוב) </w:t>
      </w:r>
      <w:r w:rsidRPr="00D308F9">
        <w:rPr>
          <w:rFonts w:cs="David" w:hint="cs"/>
          <w:b/>
          <w:bCs/>
          <w:rtl/>
        </w:rPr>
        <w:t>בע"ב 1/65 ירדור נ' יו"ר ועדת הבחירות לכנסת השישית</w:t>
      </w:r>
      <w:r>
        <w:rPr>
          <w:rFonts w:cs="David" w:hint="cs"/>
          <w:rtl/>
        </w:rPr>
        <w:t>, פ"ד יט(3) 365 (1965).</w:t>
      </w:r>
    </w:p>
  </w:footnote>
  <w:footnote w:id="90">
    <w:p w:rsidR="0014770C" w:rsidRPr="007E7E57" w:rsidRDefault="0014770C" w:rsidP="005A7B7E">
      <w:pPr>
        <w:pStyle w:val="a3"/>
        <w:jc w:val="both"/>
        <w:rPr>
          <w:rFonts w:cs="David"/>
          <w:rtl/>
        </w:rPr>
      </w:pPr>
      <w:r w:rsidRPr="007E7E57">
        <w:rPr>
          <w:rStyle w:val="a5"/>
          <w:rFonts w:cs="David"/>
        </w:rPr>
        <w:footnoteRef/>
      </w:r>
      <w:r w:rsidRPr="007E7E57">
        <w:rPr>
          <w:rFonts w:cs="David"/>
          <w:rtl/>
        </w:rPr>
        <w:t xml:space="preserve"> </w:t>
      </w:r>
      <w:r w:rsidRPr="007E7E57">
        <w:rPr>
          <w:rFonts w:cs="David" w:hint="cs"/>
          <w:b/>
          <w:bCs/>
          <w:rtl/>
        </w:rPr>
        <w:t>עניין אלבה</w:t>
      </w:r>
      <w:r w:rsidRPr="007E7E57">
        <w:rPr>
          <w:rFonts w:cs="David" w:hint="cs"/>
          <w:rtl/>
        </w:rPr>
        <w:t>, בחוות דעתו של השופט מצא, פסקה 12.</w:t>
      </w:r>
    </w:p>
  </w:footnote>
  <w:footnote w:id="91">
    <w:p w:rsidR="0014770C" w:rsidRDefault="0014770C">
      <w:pPr>
        <w:pStyle w:val="a3"/>
      </w:pPr>
      <w:r w:rsidRPr="007E7E57">
        <w:rPr>
          <w:rStyle w:val="a5"/>
          <w:rFonts w:cs="David"/>
        </w:rPr>
        <w:footnoteRef/>
      </w:r>
      <w:r w:rsidRPr="007E7E57">
        <w:rPr>
          <w:rFonts w:cs="David"/>
          <w:rtl/>
        </w:rPr>
        <w:t xml:space="preserve"> </w:t>
      </w:r>
      <w:r w:rsidRPr="007E7E57">
        <w:rPr>
          <w:rFonts w:cs="David" w:hint="cs"/>
          <w:rtl/>
        </w:rPr>
        <w:t>שם.</w:t>
      </w:r>
    </w:p>
  </w:footnote>
  <w:footnote w:id="92">
    <w:p w:rsidR="0014770C" w:rsidRPr="00B84516" w:rsidRDefault="0014770C" w:rsidP="00B84516">
      <w:pPr>
        <w:pStyle w:val="a3"/>
        <w:jc w:val="both"/>
        <w:rPr>
          <w:rFonts w:cs="David"/>
          <w:rtl/>
        </w:rPr>
      </w:pPr>
      <w:r w:rsidRPr="00B84516">
        <w:rPr>
          <w:rStyle w:val="a5"/>
          <w:rFonts w:cs="David"/>
        </w:rPr>
        <w:footnoteRef/>
      </w:r>
      <w:r w:rsidRPr="00B84516">
        <w:rPr>
          <w:rFonts w:cs="David"/>
          <w:rtl/>
        </w:rPr>
        <w:t xml:space="preserve"> </w:t>
      </w:r>
      <w:r w:rsidRPr="00B84516">
        <w:rPr>
          <w:rFonts w:cs="David" w:hint="cs"/>
          <w:rtl/>
        </w:rPr>
        <w:t>סעיף 144א לחוק העונשין, התשלז-1977.</w:t>
      </w:r>
    </w:p>
  </w:footnote>
  <w:footnote w:id="93">
    <w:p w:rsidR="0014770C" w:rsidRPr="00B84516" w:rsidRDefault="0014770C" w:rsidP="00B84516">
      <w:pPr>
        <w:pStyle w:val="a3"/>
        <w:jc w:val="both"/>
        <w:rPr>
          <w:rFonts w:cs="David"/>
          <w:rtl/>
        </w:rPr>
      </w:pPr>
      <w:r w:rsidRPr="00B84516">
        <w:rPr>
          <w:rStyle w:val="a5"/>
          <w:rFonts w:cs="David"/>
        </w:rPr>
        <w:footnoteRef/>
      </w:r>
      <w:r w:rsidRPr="00B84516">
        <w:rPr>
          <w:rFonts w:cs="David"/>
          <w:rtl/>
        </w:rPr>
        <w:t xml:space="preserve"> </w:t>
      </w:r>
      <w:r w:rsidRPr="00B84516">
        <w:rPr>
          <w:rFonts w:cs="David" w:hint="cs"/>
          <w:b/>
          <w:bCs/>
          <w:rtl/>
        </w:rPr>
        <w:t>עניין אלבה</w:t>
      </w:r>
      <w:r w:rsidRPr="00B84516">
        <w:rPr>
          <w:rFonts w:cs="David" w:hint="cs"/>
          <w:rtl/>
        </w:rPr>
        <w:t>, בחוות דעתו של השופט מצא, פסקה 15.</w:t>
      </w:r>
    </w:p>
  </w:footnote>
  <w:footnote w:id="94">
    <w:p w:rsidR="0014770C" w:rsidRPr="00B84516" w:rsidRDefault="0014770C" w:rsidP="00BC3BA0">
      <w:pPr>
        <w:pStyle w:val="a3"/>
        <w:jc w:val="both"/>
        <w:rPr>
          <w:rFonts w:cs="David"/>
        </w:rPr>
      </w:pPr>
      <w:r w:rsidRPr="00B84516">
        <w:rPr>
          <w:rStyle w:val="a5"/>
          <w:rFonts w:cs="David"/>
        </w:rPr>
        <w:footnoteRef/>
      </w:r>
      <w:r w:rsidRPr="00B84516">
        <w:rPr>
          <w:rFonts w:cs="David"/>
          <w:rtl/>
        </w:rPr>
        <w:t xml:space="preserve"> </w:t>
      </w:r>
      <w:r w:rsidRPr="00B84516">
        <w:rPr>
          <w:rFonts w:cs="David" w:hint="cs"/>
          <w:rtl/>
        </w:rPr>
        <w:t xml:space="preserve">ע"ב 1/88 </w:t>
      </w:r>
      <w:r w:rsidRPr="00B84516">
        <w:rPr>
          <w:rFonts w:cs="David" w:hint="cs"/>
          <w:b/>
          <w:bCs/>
          <w:rtl/>
        </w:rPr>
        <w:t>ניימן ואח' נ' יו"ר ועדת הבחירות לכנסת השתיים עשרה</w:t>
      </w:r>
      <w:r w:rsidRPr="00B84516">
        <w:rPr>
          <w:rFonts w:cs="David" w:hint="cs"/>
          <w:rtl/>
        </w:rPr>
        <w:t xml:space="preserve">, פ"ד מב(4) 177 </w:t>
      </w:r>
      <w:r>
        <w:rPr>
          <w:rFonts w:cs="David" w:hint="cs"/>
          <w:rtl/>
        </w:rPr>
        <w:t xml:space="preserve">(1988), </w:t>
      </w:r>
      <w:r w:rsidRPr="00B84516">
        <w:rPr>
          <w:rFonts w:cs="David" w:hint="cs"/>
          <w:rtl/>
        </w:rPr>
        <w:t>בחוות דעתו של הנשיא שמגר, עמ' 192-191.</w:t>
      </w:r>
    </w:p>
  </w:footnote>
  <w:footnote w:id="95">
    <w:p w:rsidR="0014770C" w:rsidRDefault="0014770C" w:rsidP="00B84516">
      <w:pPr>
        <w:pStyle w:val="a3"/>
        <w:jc w:val="both"/>
        <w:rPr>
          <w:rtl/>
        </w:rPr>
      </w:pPr>
      <w:r w:rsidRPr="00B84516">
        <w:rPr>
          <w:rStyle w:val="a5"/>
          <w:rFonts w:cs="David"/>
        </w:rPr>
        <w:footnoteRef/>
      </w:r>
      <w:r w:rsidRPr="00B84516">
        <w:rPr>
          <w:rFonts w:cs="David"/>
          <w:rtl/>
        </w:rPr>
        <w:t xml:space="preserve"> </w:t>
      </w:r>
      <w:r w:rsidRPr="00B84516">
        <w:rPr>
          <w:rFonts w:cs="David" w:hint="cs"/>
          <w:b/>
          <w:bCs/>
          <w:rtl/>
        </w:rPr>
        <w:t>עניין אלבה</w:t>
      </w:r>
      <w:r w:rsidRPr="00B84516">
        <w:rPr>
          <w:rFonts w:cs="David" w:hint="cs"/>
          <w:rtl/>
        </w:rPr>
        <w:t>, בחוות דעתו של השופט מצא, פסקה 15.</w:t>
      </w:r>
    </w:p>
  </w:footnote>
  <w:footnote w:id="96">
    <w:p w:rsidR="0014770C" w:rsidRPr="00A1767C" w:rsidRDefault="0014770C" w:rsidP="00F317E7">
      <w:pPr>
        <w:pStyle w:val="a3"/>
        <w:rPr>
          <w:rFonts w:cs="David"/>
        </w:rPr>
      </w:pPr>
      <w:r w:rsidRPr="00A1767C">
        <w:rPr>
          <w:rStyle w:val="a5"/>
          <w:rFonts w:cs="David"/>
        </w:rPr>
        <w:footnoteRef/>
      </w:r>
      <w:r w:rsidRPr="00A1767C">
        <w:rPr>
          <w:rFonts w:cs="David"/>
          <w:rtl/>
        </w:rPr>
        <w:t xml:space="preserve"> </w:t>
      </w:r>
      <w:r w:rsidRPr="00A1767C">
        <w:rPr>
          <w:rFonts w:cs="David" w:hint="cs"/>
          <w:rtl/>
        </w:rPr>
        <w:t xml:space="preserve">בג"צ 2684/12 </w:t>
      </w:r>
      <w:r w:rsidRPr="00A1767C">
        <w:rPr>
          <w:rFonts w:cs="David" w:hint="cs"/>
          <w:b/>
          <w:bCs/>
          <w:rtl/>
        </w:rPr>
        <w:t>התנועה לחיזוק הסובלנות בחינוך הדתי ואח' נ' היועץ המשפטי לממשלה</w:t>
      </w:r>
      <w:r>
        <w:rPr>
          <w:rFonts w:cs="David" w:hint="cs"/>
          <w:b/>
          <w:bCs/>
          <w:rtl/>
        </w:rPr>
        <w:t>,</w:t>
      </w:r>
      <w:r w:rsidRPr="00A1767C">
        <w:rPr>
          <w:rFonts w:cs="David" w:hint="cs"/>
          <w:rtl/>
        </w:rPr>
        <w:t xml:space="preserve"> </w:t>
      </w:r>
      <w:r w:rsidRPr="00A862AE">
        <w:rPr>
          <w:rFonts w:cs="David" w:hint="cs"/>
          <w:rtl/>
        </w:rPr>
        <w:t>פדאור 15 (63)</w:t>
      </w:r>
      <w:r>
        <w:rPr>
          <w:rFonts w:cs="David" w:hint="cs"/>
          <w:rtl/>
        </w:rPr>
        <w:t xml:space="preserve"> 227 </w:t>
      </w:r>
      <w:r w:rsidRPr="00A862AE">
        <w:rPr>
          <w:rFonts w:cs="David" w:hint="cs"/>
          <w:rtl/>
        </w:rPr>
        <w:t>(2015).</w:t>
      </w:r>
    </w:p>
  </w:footnote>
  <w:footnote w:id="97">
    <w:p w:rsidR="0014770C" w:rsidRPr="00A1767C" w:rsidRDefault="0014770C">
      <w:pPr>
        <w:pStyle w:val="a3"/>
        <w:rPr>
          <w:rFonts w:cs="David"/>
        </w:rPr>
      </w:pPr>
      <w:r w:rsidRPr="00A1767C">
        <w:rPr>
          <w:rStyle w:val="a5"/>
          <w:rFonts w:cs="David"/>
        </w:rPr>
        <w:footnoteRef/>
      </w:r>
      <w:r w:rsidRPr="00A1767C">
        <w:rPr>
          <w:rFonts w:cs="David"/>
          <w:rtl/>
        </w:rPr>
        <w:t xml:space="preserve"> </w:t>
      </w:r>
      <w:r w:rsidRPr="00A1767C">
        <w:rPr>
          <w:rFonts w:cs="David" w:hint="cs"/>
          <w:rtl/>
        </w:rPr>
        <w:t xml:space="preserve">שם, </w:t>
      </w:r>
      <w:r>
        <w:rPr>
          <w:rFonts w:cs="David" w:hint="cs"/>
          <w:rtl/>
        </w:rPr>
        <w:t xml:space="preserve">בחוות דעתו של השופט ג'ובראן, </w:t>
      </w:r>
      <w:r w:rsidRPr="00A1767C">
        <w:rPr>
          <w:rFonts w:cs="David" w:hint="cs"/>
          <w:rtl/>
        </w:rPr>
        <w:t>פסקה 30.</w:t>
      </w:r>
    </w:p>
  </w:footnote>
  <w:footnote w:id="98">
    <w:p w:rsidR="0014770C" w:rsidRDefault="0014770C">
      <w:pPr>
        <w:pStyle w:val="a3"/>
        <w:rPr>
          <w:rtl/>
        </w:rPr>
      </w:pPr>
      <w:r w:rsidRPr="00A1767C">
        <w:rPr>
          <w:rStyle w:val="a5"/>
          <w:rFonts w:cs="David"/>
        </w:rPr>
        <w:footnoteRef/>
      </w:r>
      <w:r w:rsidRPr="00A1767C">
        <w:rPr>
          <w:rFonts w:cs="David"/>
          <w:rtl/>
        </w:rPr>
        <w:t xml:space="preserve"> </w:t>
      </w:r>
      <w:r w:rsidRPr="00A1767C">
        <w:rPr>
          <w:rFonts w:cs="David" w:hint="cs"/>
          <w:rtl/>
        </w:rPr>
        <w:t>שם.</w:t>
      </w:r>
    </w:p>
  </w:footnote>
  <w:footnote w:id="99">
    <w:p w:rsidR="0014770C" w:rsidRDefault="0014770C" w:rsidP="005C7D13">
      <w:pPr>
        <w:pStyle w:val="a3"/>
        <w:rPr>
          <w:rtl/>
        </w:rPr>
      </w:pPr>
      <w:r>
        <w:rPr>
          <w:rStyle w:val="a5"/>
        </w:rPr>
        <w:footnoteRef/>
      </w:r>
      <w:r>
        <w:rPr>
          <w:rtl/>
        </w:rPr>
        <w:t xml:space="preserve"> </w:t>
      </w:r>
      <w:r>
        <w:rPr>
          <w:rFonts w:cs="David" w:hint="cs"/>
          <w:rtl/>
        </w:rPr>
        <w:t>שם, פסקה 32.</w:t>
      </w:r>
    </w:p>
  </w:footnote>
  <w:footnote w:id="100">
    <w:p w:rsidR="0014770C" w:rsidRPr="00D42527" w:rsidRDefault="0014770C">
      <w:pPr>
        <w:pStyle w:val="a3"/>
        <w:rPr>
          <w:rFonts w:cs="David"/>
          <w:rtl/>
        </w:rPr>
      </w:pPr>
      <w:r w:rsidRPr="00D42527">
        <w:rPr>
          <w:rStyle w:val="a5"/>
          <w:rFonts w:cs="David"/>
        </w:rPr>
        <w:footnoteRef/>
      </w:r>
      <w:r w:rsidRPr="00D42527">
        <w:rPr>
          <w:rFonts w:cs="David"/>
          <w:rtl/>
        </w:rPr>
        <w:t xml:space="preserve"> </w:t>
      </w:r>
      <w:r w:rsidRPr="00D42527">
        <w:rPr>
          <w:rFonts w:cs="David" w:hint="cs"/>
          <w:rtl/>
        </w:rPr>
        <w:t>חוק העונשין, התשל"ז-1977.</w:t>
      </w:r>
    </w:p>
  </w:footnote>
  <w:footnote w:id="101">
    <w:p w:rsidR="0014770C" w:rsidRPr="00D42527" w:rsidRDefault="0014770C" w:rsidP="00D42527">
      <w:pPr>
        <w:pStyle w:val="a3"/>
        <w:rPr>
          <w:rFonts w:cs="David"/>
          <w:rtl/>
        </w:rPr>
      </w:pPr>
      <w:r>
        <w:rPr>
          <w:rStyle w:val="a5"/>
        </w:rPr>
        <w:footnoteRef/>
      </w:r>
      <w:r>
        <w:rPr>
          <w:rtl/>
        </w:rPr>
        <w:t xml:space="preserve"> </w:t>
      </w:r>
      <w:r w:rsidRPr="00D42527">
        <w:rPr>
          <w:rFonts w:cs="David" w:hint="cs"/>
          <w:rtl/>
        </w:rPr>
        <w:t>חוק העונשין, התשל"ז-1977.</w:t>
      </w:r>
    </w:p>
  </w:footnote>
  <w:footnote w:id="102">
    <w:p w:rsidR="0014770C" w:rsidRDefault="0014770C" w:rsidP="008051E6">
      <w:pPr>
        <w:pStyle w:val="a3"/>
        <w:jc w:val="both"/>
        <w:rPr>
          <w:rtl/>
        </w:rPr>
      </w:pPr>
      <w:r>
        <w:rPr>
          <w:rStyle w:val="a5"/>
        </w:rPr>
        <w:footnoteRef/>
      </w:r>
      <w:r>
        <w:rPr>
          <w:rtl/>
        </w:rPr>
        <w:t xml:space="preserve"> </w:t>
      </w:r>
      <w:r w:rsidRPr="00675020">
        <w:rPr>
          <w:rFonts w:cs="David" w:hint="cs"/>
          <w:rtl/>
        </w:rPr>
        <w:t xml:space="preserve">דנ"פ 8613/96 </w:t>
      </w:r>
      <w:r w:rsidRPr="00675020">
        <w:rPr>
          <w:rFonts w:cs="David" w:hint="cs"/>
          <w:b/>
          <w:bCs/>
          <w:rtl/>
        </w:rPr>
        <w:t>ג'בארין נ' מדינת ישראל</w:t>
      </w:r>
      <w:r w:rsidRPr="00675020">
        <w:rPr>
          <w:rFonts w:cs="David" w:hint="cs"/>
          <w:rtl/>
        </w:rPr>
        <w:t>, פ"ד נ"ד(5) 193 (2000)</w:t>
      </w:r>
      <w:r>
        <w:rPr>
          <w:rFonts w:hint="cs"/>
          <w:rtl/>
        </w:rPr>
        <w:t>.</w:t>
      </w:r>
    </w:p>
  </w:footnote>
  <w:footnote w:id="103">
    <w:p w:rsidR="0014770C" w:rsidRDefault="0014770C" w:rsidP="005A7B7E">
      <w:pPr>
        <w:pStyle w:val="a3"/>
        <w:jc w:val="both"/>
        <w:rPr>
          <w:rtl/>
        </w:rPr>
      </w:pPr>
      <w:r>
        <w:rPr>
          <w:rStyle w:val="a5"/>
        </w:rPr>
        <w:footnoteRef/>
      </w:r>
      <w:r>
        <w:rPr>
          <w:rtl/>
        </w:rPr>
        <w:t xml:space="preserve"> </w:t>
      </w:r>
      <w:r>
        <w:rPr>
          <w:rFonts w:cs="David" w:hint="cs"/>
          <w:rtl/>
        </w:rPr>
        <w:t>סעיף 4 ל</w:t>
      </w:r>
      <w:r w:rsidRPr="00675020">
        <w:rPr>
          <w:rFonts w:cs="David" w:hint="cs"/>
          <w:rtl/>
        </w:rPr>
        <w:t xml:space="preserve">פקודת מניעת טרור, תש"ח-1948,"אדם (א) המפרסם, בכתב או בעל פה, דברי שבח, אהדה או עידוד למעשי אלימות העלולים לגרום למותו של אדם או לחבלתו או לאיומים במעשי אלימות כאלה [...] ייאשם בעבירה ובצאתו חייב בדין, יהא </w:t>
      </w:r>
      <w:r w:rsidRPr="003D5DF7">
        <w:rPr>
          <w:rFonts w:cs="David" w:hint="cs"/>
          <w:rtl/>
        </w:rPr>
        <w:t>צפוי [...]</w:t>
      </w:r>
      <w:r w:rsidRPr="003D5DF7">
        <w:rPr>
          <w:rFonts w:hint="cs"/>
          <w:rtl/>
        </w:rPr>
        <w:t>"</w:t>
      </w:r>
    </w:p>
  </w:footnote>
  <w:footnote w:id="104">
    <w:p w:rsidR="0014770C" w:rsidRDefault="0014770C" w:rsidP="005A7B7E">
      <w:pPr>
        <w:pStyle w:val="a3"/>
        <w:jc w:val="both"/>
      </w:pPr>
      <w:r>
        <w:rPr>
          <w:rStyle w:val="a5"/>
        </w:rPr>
        <w:footnoteRef/>
      </w:r>
      <w:r>
        <w:rPr>
          <w:rtl/>
        </w:rPr>
        <w:t xml:space="preserve"> </w:t>
      </w:r>
      <w:r w:rsidRPr="00935821">
        <w:rPr>
          <w:rFonts w:cs="David" w:hint="cs"/>
          <w:rtl/>
        </w:rPr>
        <w:t xml:space="preserve">ברק-ארז דפנה וזכריה דודי, </w:t>
      </w:r>
      <w:r w:rsidRPr="00935821">
        <w:rPr>
          <w:rFonts w:cs="David" w:hint="cs"/>
          <w:b/>
          <w:bCs/>
          <w:rtl/>
        </w:rPr>
        <w:t>הסתה לטרור וגבולות חופש הביטוי: בין הגבלות ישירות להגבלות עקיפות,</w:t>
      </w:r>
      <w:r>
        <w:rPr>
          <w:rFonts w:hint="cs"/>
          <w:rtl/>
        </w:rPr>
        <w:t xml:space="preserve"> </w:t>
      </w:r>
      <w:r w:rsidRPr="0039455A">
        <w:rPr>
          <w:rFonts w:cs="David" w:hint="cs"/>
          <w:rtl/>
        </w:rPr>
        <w:t>עמ' 561 (2013)</w:t>
      </w:r>
    </w:p>
  </w:footnote>
  <w:footnote w:id="105">
    <w:p w:rsidR="0014770C" w:rsidRPr="00C4449B" w:rsidRDefault="0014770C" w:rsidP="005A7B7E">
      <w:pPr>
        <w:pStyle w:val="a3"/>
        <w:jc w:val="both"/>
        <w:rPr>
          <w:rFonts w:cs="David"/>
          <w:rtl/>
        </w:rPr>
      </w:pPr>
      <w:r w:rsidRPr="00C4449B">
        <w:rPr>
          <w:rStyle w:val="a5"/>
          <w:rFonts w:cs="David"/>
        </w:rPr>
        <w:footnoteRef/>
      </w:r>
      <w:r w:rsidRPr="00C4449B">
        <w:rPr>
          <w:rFonts w:cs="David"/>
          <w:rtl/>
        </w:rPr>
        <w:t xml:space="preserve"> </w:t>
      </w:r>
      <w:r w:rsidRPr="00C4449B">
        <w:rPr>
          <w:rFonts w:cs="David" w:hint="cs"/>
          <w:rtl/>
        </w:rPr>
        <w:t>חוק המאבק בטרור, התשע"ו-2016.</w:t>
      </w:r>
    </w:p>
  </w:footnote>
  <w:footnote w:id="106">
    <w:p w:rsidR="0014770C" w:rsidRDefault="0014770C" w:rsidP="005A7B7E">
      <w:pPr>
        <w:pStyle w:val="a3"/>
        <w:jc w:val="both"/>
        <w:rPr>
          <w:rtl/>
        </w:rPr>
      </w:pPr>
      <w:r>
        <w:rPr>
          <w:rStyle w:val="a5"/>
        </w:rPr>
        <w:footnoteRef/>
      </w:r>
      <w:r>
        <w:rPr>
          <w:rtl/>
        </w:rPr>
        <w:t xml:space="preserve"> </w:t>
      </w:r>
      <w:r w:rsidRPr="00D25894">
        <w:rPr>
          <w:rFonts w:cs="David" w:hint="cs"/>
          <w:b/>
          <w:bCs/>
          <w:rtl/>
        </w:rPr>
        <w:t>עניין אלבה</w:t>
      </w:r>
      <w:r w:rsidRPr="00D25894">
        <w:rPr>
          <w:rFonts w:cs="David" w:hint="cs"/>
          <w:rtl/>
        </w:rPr>
        <w:t>, בחוות דעתו של השופט מצא, פסקה 16.</w:t>
      </w:r>
    </w:p>
  </w:footnote>
  <w:footnote w:id="107">
    <w:p w:rsidR="0014770C" w:rsidRDefault="0014770C" w:rsidP="005A7B7E">
      <w:pPr>
        <w:pStyle w:val="a3"/>
        <w:jc w:val="both"/>
        <w:rPr>
          <w:rtl/>
        </w:rPr>
      </w:pPr>
      <w:r w:rsidRPr="007A28A6">
        <w:rPr>
          <w:rStyle w:val="a5"/>
          <w:rFonts w:cs="David"/>
        </w:rPr>
        <w:footnoteRef/>
      </w:r>
      <w:r w:rsidRPr="007A28A6">
        <w:rPr>
          <w:rFonts w:cs="David"/>
          <w:rtl/>
        </w:rPr>
        <w:t xml:space="preserve"> </w:t>
      </w:r>
      <w:r w:rsidRPr="007A28A6">
        <w:rPr>
          <w:rFonts w:cs="David" w:hint="cs"/>
          <w:rtl/>
        </w:rPr>
        <w:t>חוק העונשין, התשל"ז-1977</w:t>
      </w:r>
      <w:r>
        <w:rPr>
          <w:rFonts w:cs="David" w:hint="cs"/>
          <w:rtl/>
        </w:rPr>
        <w:t>.</w:t>
      </w:r>
    </w:p>
  </w:footnote>
  <w:footnote w:id="108">
    <w:p w:rsidR="0014770C" w:rsidRPr="00CE3AFA" w:rsidRDefault="0014770C" w:rsidP="00C76A90">
      <w:pPr>
        <w:pStyle w:val="a3"/>
        <w:jc w:val="both"/>
        <w:rPr>
          <w:rFonts w:cs="David"/>
          <w:rtl/>
        </w:rPr>
      </w:pPr>
      <w:r w:rsidRPr="00CE3AFA">
        <w:rPr>
          <w:rStyle w:val="a5"/>
          <w:rFonts w:cs="David"/>
        </w:rPr>
        <w:footnoteRef/>
      </w:r>
      <w:r>
        <w:rPr>
          <w:rFonts w:cs="David" w:hint="cs"/>
          <w:rtl/>
        </w:rPr>
        <w:t xml:space="preserve"> עניין </w:t>
      </w:r>
      <w:r w:rsidRPr="00C76A90">
        <w:rPr>
          <w:rFonts w:cs="David" w:hint="cs"/>
          <w:b/>
          <w:bCs/>
          <w:rtl/>
        </w:rPr>
        <w:t>'תורת המלך',</w:t>
      </w:r>
      <w:r>
        <w:rPr>
          <w:rFonts w:cs="David" w:hint="cs"/>
          <w:rtl/>
        </w:rPr>
        <w:t xml:space="preserve"> </w:t>
      </w:r>
      <w:r w:rsidRPr="00CE3AFA">
        <w:rPr>
          <w:rFonts w:cs="David" w:hint="cs"/>
          <w:rtl/>
        </w:rPr>
        <w:t xml:space="preserve">בחוות דעתו של המשנה לנשיאה, א' רובינשטיין, פסקה </w:t>
      </w:r>
      <w:r>
        <w:rPr>
          <w:rFonts w:cs="David" w:hint="cs"/>
          <w:rtl/>
        </w:rPr>
        <w:t>נז</w:t>
      </w:r>
      <w:r w:rsidRPr="00CE3AFA">
        <w:rPr>
          <w:rFonts w:cs="David" w:hint="cs"/>
          <w:rtl/>
        </w:rPr>
        <w:t>'.</w:t>
      </w:r>
    </w:p>
  </w:footnote>
  <w:footnote w:id="109">
    <w:p w:rsidR="0014770C" w:rsidRPr="00CE3AFA" w:rsidRDefault="0014770C" w:rsidP="000773C9">
      <w:pPr>
        <w:pStyle w:val="a3"/>
        <w:jc w:val="both"/>
        <w:rPr>
          <w:rFonts w:cs="David"/>
        </w:rPr>
      </w:pPr>
      <w:r w:rsidRPr="00CE3AFA">
        <w:rPr>
          <w:rStyle w:val="a5"/>
          <w:rFonts w:cs="David"/>
        </w:rPr>
        <w:footnoteRef/>
      </w:r>
      <w:r w:rsidRPr="00CE3AFA">
        <w:rPr>
          <w:rFonts w:cs="David"/>
          <w:rtl/>
        </w:rPr>
        <w:t xml:space="preserve"> </w:t>
      </w:r>
      <w:r w:rsidRPr="00CE3AFA">
        <w:rPr>
          <w:rFonts w:cs="David" w:hint="cs"/>
          <w:rtl/>
        </w:rPr>
        <w:t>חוק העונשין , התשל"ז-1977 סעיף 20ב</w:t>
      </w:r>
      <w:r>
        <w:rPr>
          <w:rFonts w:cs="David" w:hint="cs"/>
          <w:rtl/>
        </w:rPr>
        <w:t xml:space="preserve"> -</w:t>
      </w:r>
      <w:r w:rsidRPr="00CE3AFA">
        <w:rPr>
          <w:rFonts w:cs="David" w:hint="cs"/>
          <w:rtl/>
        </w:rPr>
        <w:t xml:space="preserve"> "לעניין כוונה, ראיה מראש את התרחשות התוצאות, כאפשרות קרובה לוודאי, כמוה כמטרה לגרמן".</w:t>
      </w:r>
    </w:p>
  </w:footnote>
  <w:footnote w:id="110">
    <w:p w:rsidR="0014770C" w:rsidRDefault="0014770C" w:rsidP="00FE2E1C">
      <w:pPr>
        <w:pStyle w:val="a3"/>
        <w:rPr>
          <w:rtl/>
        </w:rPr>
      </w:pPr>
      <w:r w:rsidRPr="00CE3AFA">
        <w:rPr>
          <w:rStyle w:val="a5"/>
          <w:rFonts w:cs="David"/>
        </w:rPr>
        <w:footnoteRef/>
      </w:r>
      <w:r w:rsidRPr="00CE3AFA">
        <w:rPr>
          <w:rFonts w:cs="David"/>
          <w:rtl/>
        </w:rPr>
        <w:t xml:space="preserve"> </w:t>
      </w:r>
      <w:r w:rsidRPr="00CE3AFA">
        <w:rPr>
          <w:rFonts w:cs="David" w:hint="cs"/>
          <w:rtl/>
        </w:rPr>
        <w:t xml:space="preserve">ענין </w:t>
      </w:r>
      <w:r w:rsidRPr="009E51E1">
        <w:rPr>
          <w:rFonts w:cs="David" w:hint="cs"/>
          <w:b/>
          <w:bCs/>
          <w:rtl/>
        </w:rPr>
        <w:t>אלבה</w:t>
      </w:r>
      <w:r w:rsidRPr="00CE3AFA">
        <w:rPr>
          <w:rFonts w:cs="David" w:hint="cs"/>
          <w:rtl/>
        </w:rPr>
        <w:t>, חוות דעתו של השופט גולדברג, פסקה 5.</w:t>
      </w:r>
    </w:p>
  </w:footnote>
  <w:footnote w:id="111">
    <w:p w:rsidR="0014770C" w:rsidRPr="00BF52BC" w:rsidRDefault="0014770C" w:rsidP="00FE2E1C">
      <w:pPr>
        <w:pStyle w:val="a3"/>
        <w:rPr>
          <w:rFonts w:cs="David"/>
          <w:rtl/>
        </w:rPr>
      </w:pPr>
      <w:r w:rsidRPr="00BF52BC">
        <w:rPr>
          <w:rStyle w:val="a5"/>
          <w:rFonts w:cs="David"/>
        </w:rPr>
        <w:footnoteRef/>
      </w:r>
      <w:r w:rsidRPr="00BF52BC">
        <w:rPr>
          <w:rFonts w:cs="David"/>
          <w:rtl/>
        </w:rPr>
        <w:t xml:space="preserve"> </w:t>
      </w:r>
      <w:r w:rsidRPr="00BF52BC">
        <w:rPr>
          <w:rFonts w:cs="David" w:hint="cs"/>
          <w:rtl/>
        </w:rPr>
        <w:t xml:space="preserve">קרמניצר מרדכי, </w:t>
      </w:r>
      <w:r w:rsidRPr="00BF52BC">
        <w:rPr>
          <w:rFonts w:cs="David" w:hint="cs"/>
          <w:b/>
          <w:bCs/>
          <w:rtl/>
        </w:rPr>
        <w:t>פרשת אלבה: "ברור הלכות הסתה לגזענות"</w:t>
      </w:r>
      <w:r>
        <w:rPr>
          <w:rFonts w:cs="David" w:hint="cs"/>
          <w:rtl/>
        </w:rPr>
        <w:t>, עמ' 143-105 (1999).</w:t>
      </w:r>
    </w:p>
  </w:footnote>
  <w:footnote w:id="112">
    <w:p w:rsidR="0014770C" w:rsidRPr="00BF52BC" w:rsidRDefault="0014770C" w:rsidP="00FE2E1C">
      <w:pPr>
        <w:pStyle w:val="a3"/>
        <w:rPr>
          <w:rFonts w:cs="David"/>
          <w:rtl/>
        </w:rPr>
      </w:pPr>
      <w:r w:rsidRPr="00BF52BC">
        <w:rPr>
          <w:rStyle w:val="a5"/>
          <w:rFonts w:cs="David"/>
        </w:rPr>
        <w:footnoteRef/>
      </w:r>
      <w:r w:rsidRPr="00BF52BC">
        <w:rPr>
          <w:rFonts w:cs="David"/>
          <w:rtl/>
        </w:rPr>
        <w:t xml:space="preserve"> </w:t>
      </w:r>
      <w:r w:rsidRPr="00BF52BC">
        <w:rPr>
          <w:rFonts w:cs="David" w:hint="cs"/>
          <w:rtl/>
        </w:rPr>
        <w:t>שם, עמ' 114.</w:t>
      </w:r>
    </w:p>
  </w:footnote>
  <w:footnote w:id="113">
    <w:p w:rsidR="0014770C" w:rsidRDefault="0014770C" w:rsidP="00FE2E1C">
      <w:pPr>
        <w:pStyle w:val="a3"/>
        <w:rPr>
          <w:rtl/>
        </w:rPr>
      </w:pPr>
      <w:r w:rsidRPr="00BF52BC">
        <w:rPr>
          <w:rStyle w:val="a5"/>
          <w:rFonts w:cs="David"/>
        </w:rPr>
        <w:footnoteRef/>
      </w:r>
      <w:r w:rsidRPr="00BF52BC">
        <w:rPr>
          <w:rFonts w:cs="David"/>
          <w:rtl/>
        </w:rPr>
        <w:t xml:space="preserve"> </w:t>
      </w:r>
      <w:r w:rsidRPr="00BF52BC">
        <w:rPr>
          <w:rFonts w:cs="David" w:hint="cs"/>
          <w:rtl/>
        </w:rPr>
        <w:t>שם, עמ' 118.</w:t>
      </w:r>
    </w:p>
  </w:footnote>
  <w:footnote w:id="114">
    <w:p w:rsidR="0014770C" w:rsidRPr="0024351C" w:rsidRDefault="0014770C" w:rsidP="005A7B7E">
      <w:pPr>
        <w:pStyle w:val="a3"/>
        <w:jc w:val="both"/>
        <w:rPr>
          <w:rFonts w:cs="David"/>
        </w:rPr>
      </w:pPr>
      <w:r>
        <w:rPr>
          <w:rStyle w:val="a5"/>
        </w:rPr>
        <w:footnoteRef/>
      </w:r>
      <w:r>
        <w:rPr>
          <w:rtl/>
        </w:rPr>
        <w:t xml:space="preserve"> </w:t>
      </w:r>
      <w:r w:rsidRPr="0024351C">
        <w:rPr>
          <w:rFonts w:cs="David" w:hint="cs"/>
          <w:rtl/>
        </w:rPr>
        <w:t xml:space="preserve">קרמניצר מרדכי, </w:t>
      </w:r>
      <w:r w:rsidRPr="0024351C">
        <w:rPr>
          <w:rFonts w:cs="David" w:hint="cs"/>
          <w:b/>
          <w:bCs/>
          <w:rtl/>
        </w:rPr>
        <w:t>פרשת אלבה: "ברור הלכות הסתה לגזענות"</w:t>
      </w:r>
      <w:r w:rsidRPr="0024351C">
        <w:rPr>
          <w:rFonts w:cs="David" w:hint="cs"/>
          <w:rtl/>
        </w:rPr>
        <w:t>, עמ'</w:t>
      </w:r>
      <w:r w:rsidRPr="0042217A">
        <w:rPr>
          <w:rFonts w:cs="David" w:hint="cs"/>
          <w:rtl/>
        </w:rPr>
        <w:t xml:space="preserve"> </w:t>
      </w:r>
      <w:r w:rsidRPr="0024351C">
        <w:rPr>
          <w:rFonts w:cs="David" w:hint="cs"/>
          <w:rtl/>
        </w:rPr>
        <w:t>109-106</w:t>
      </w:r>
      <w:r>
        <w:rPr>
          <w:rFonts w:cs="David" w:hint="cs"/>
          <w:rtl/>
        </w:rPr>
        <w:t>, (1999)</w:t>
      </w:r>
      <w:r w:rsidRPr="0024351C">
        <w:rPr>
          <w:rFonts w:cs="David" w:hint="cs"/>
          <w:rtl/>
        </w:rPr>
        <w:t xml:space="preserve"> </w:t>
      </w:r>
      <w:r w:rsidRPr="0024351C">
        <w:rPr>
          <w:rFonts w:cs="David"/>
          <w:rtl/>
        </w:rPr>
        <w:t>–</w:t>
      </w:r>
      <w:r w:rsidRPr="0024351C">
        <w:rPr>
          <w:rFonts w:cs="David" w:hint="cs"/>
          <w:rtl/>
        </w:rPr>
        <w:t xml:space="preserve"> שם מנתח פרופ' קרמניצר את העובדה כי ההנחה הזו בכל מקרה לא היתה מבוססת לכל אורך ההתפתחות המשפטית של סוגיית חופש הביטוי וכי פסק הדין </w:t>
      </w:r>
      <w:r w:rsidRPr="0012706D">
        <w:rPr>
          <w:rFonts w:cs="David" w:hint="cs"/>
          <w:b/>
          <w:bCs/>
          <w:rtl/>
        </w:rPr>
        <w:t>בעניין אלבה</w:t>
      </w:r>
      <w:r w:rsidRPr="0024351C">
        <w:rPr>
          <w:rFonts w:cs="David" w:hint="cs"/>
          <w:rtl/>
        </w:rPr>
        <w:t xml:space="preserve"> ""הוא מהלומה סופית להנחה זו".</w:t>
      </w:r>
    </w:p>
  </w:footnote>
  <w:footnote w:id="115">
    <w:p w:rsidR="0014770C" w:rsidRPr="0024351C" w:rsidRDefault="0014770C" w:rsidP="005A7B7E">
      <w:pPr>
        <w:pStyle w:val="a3"/>
        <w:jc w:val="both"/>
        <w:rPr>
          <w:rFonts w:cs="David"/>
        </w:rPr>
      </w:pPr>
      <w:r w:rsidRPr="0024351C">
        <w:rPr>
          <w:rStyle w:val="a5"/>
          <w:rFonts w:cs="David"/>
        </w:rPr>
        <w:footnoteRef/>
      </w:r>
      <w:r w:rsidRPr="0024351C">
        <w:rPr>
          <w:rFonts w:cs="David"/>
          <w:rtl/>
        </w:rPr>
        <w:t xml:space="preserve"> </w:t>
      </w:r>
      <w:r w:rsidRPr="00741D8B">
        <w:rPr>
          <w:rFonts w:cs="David" w:hint="cs"/>
          <w:b/>
          <w:bCs/>
          <w:rtl/>
        </w:rPr>
        <w:t>עניין א</w:t>
      </w:r>
      <w:r w:rsidRPr="0024351C">
        <w:rPr>
          <w:rFonts w:cs="David" w:hint="cs"/>
          <w:b/>
          <w:bCs/>
          <w:rtl/>
        </w:rPr>
        <w:t>לבה</w:t>
      </w:r>
      <w:r w:rsidRPr="0024351C">
        <w:rPr>
          <w:rFonts w:cs="David" w:hint="cs"/>
          <w:rtl/>
        </w:rPr>
        <w:t xml:space="preserve">, </w:t>
      </w:r>
      <w:r>
        <w:rPr>
          <w:rFonts w:cs="David" w:hint="cs"/>
          <w:rtl/>
        </w:rPr>
        <w:t>ב</w:t>
      </w:r>
      <w:r w:rsidRPr="0024351C">
        <w:rPr>
          <w:rFonts w:cs="David" w:hint="cs"/>
          <w:rtl/>
        </w:rPr>
        <w:t>חוות דעתו של השופט מצא, פסקה 24.</w:t>
      </w:r>
    </w:p>
  </w:footnote>
  <w:footnote w:id="116">
    <w:p w:rsidR="0014770C" w:rsidRPr="00D6558E" w:rsidRDefault="0014770C" w:rsidP="00344961">
      <w:pPr>
        <w:pStyle w:val="a3"/>
        <w:jc w:val="both"/>
        <w:rPr>
          <w:rFonts w:cs="David"/>
          <w:rtl/>
        </w:rPr>
      </w:pPr>
      <w:r w:rsidRPr="00D6558E">
        <w:rPr>
          <w:rStyle w:val="a5"/>
          <w:rFonts w:cs="David"/>
        </w:rPr>
        <w:footnoteRef/>
      </w:r>
      <w:r w:rsidRPr="00D6558E">
        <w:rPr>
          <w:rFonts w:cs="David"/>
          <w:rtl/>
        </w:rPr>
        <w:t xml:space="preserve"> </w:t>
      </w:r>
      <w:r w:rsidRPr="00D6558E">
        <w:rPr>
          <w:rFonts w:cs="David" w:hint="cs"/>
          <w:rtl/>
        </w:rPr>
        <w:t xml:space="preserve">רבין יורם, ואקי יניב, </w:t>
      </w:r>
      <w:r w:rsidRPr="008463DD">
        <w:rPr>
          <w:rFonts w:cs="David" w:hint="cs"/>
          <w:b/>
          <w:bCs/>
          <w:rtl/>
        </w:rPr>
        <w:t>דיני עונשין</w:t>
      </w:r>
      <w:r w:rsidRPr="00D6558E">
        <w:rPr>
          <w:rFonts w:cs="David" w:hint="cs"/>
          <w:rtl/>
        </w:rPr>
        <w:t>, מהדורה שלישית, כרך א', עמ' 387 (2014)</w:t>
      </w:r>
      <w:r>
        <w:rPr>
          <w:rFonts w:cs="David" w:hint="cs"/>
          <w:rtl/>
        </w:rPr>
        <w:t>.</w:t>
      </w:r>
    </w:p>
  </w:footnote>
  <w:footnote w:id="117">
    <w:p w:rsidR="0014770C" w:rsidRPr="00D6558E" w:rsidRDefault="0014770C" w:rsidP="005A7B7E">
      <w:pPr>
        <w:pStyle w:val="p00"/>
        <w:bidi/>
        <w:spacing w:before="72" w:beforeAutospacing="0" w:after="0" w:afterAutospacing="0"/>
        <w:ind w:left="-57" w:right="1134"/>
        <w:jc w:val="both"/>
        <w:rPr>
          <w:rFonts w:cs="David"/>
          <w:sz w:val="20"/>
          <w:szCs w:val="20"/>
        </w:rPr>
      </w:pPr>
      <w:r w:rsidRPr="00D6558E">
        <w:rPr>
          <w:rStyle w:val="a5"/>
          <w:rFonts w:cs="David"/>
          <w:sz w:val="20"/>
          <w:szCs w:val="20"/>
        </w:rPr>
        <w:footnoteRef/>
      </w:r>
      <w:r w:rsidRPr="00D6558E">
        <w:rPr>
          <w:rFonts w:cs="David"/>
          <w:sz w:val="20"/>
          <w:szCs w:val="20"/>
          <w:rtl/>
        </w:rPr>
        <w:t xml:space="preserve"> </w:t>
      </w:r>
      <w:r w:rsidRPr="00D6558E">
        <w:rPr>
          <w:rFonts w:cs="David" w:hint="cs"/>
          <w:sz w:val="20"/>
          <w:szCs w:val="20"/>
          <w:rtl/>
        </w:rPr>
        <w:t>סע</w:t>
      </w:r>
      <w:r>
        <w:rPr>
          <w:rFonts w:cs="David" w:hint="cs"/>
          <w:sz w:val="20"/>
          <w:szCs w:val="20"/>
          <w:rtl/>
        </w:rPr>
        <w:t>יף 20 לחוק העונשין התשל"ז-1977, "</w:t>
      </w:r>
      <w:r w:rsidRPr="00D6558E">
        <w:rPr>
          <w:rFonts w:cs="David" w:hint="cs"/>
          <w:sz w:val="20"/>
          <w:szCs w:val="20"/>
          <w:rtl/>
        </w:rPr>
        <w:t xml:space="preserve">(א) </w:t>
      </w:r>
      <w:r w:rsidRPr="00D6558E">
        <w:rPr>
          <w:rStyle w:val="default"/>
          <w:rFonts w:cs="David" w:hint="cs"/>
          <w:sz w:val="20"/>
          <w:szCs w:val="20"/>
          <w:rtl/>
        </w:rPr>
        <w:t>מחשבה פלילית - מודעות לטיב המעשה, לקיום הנסיבות ולאפשרות הגרימה לתוצאות המעשה, הנמנים עם פרטי העבירה, ולעני</w:t>
      </w:r>
      <w:r>
        <w:rPr>
          <w:rStyle w:val="default"/>
          <w:rFonts w:cs="David" w:hint="cs"/>
          <w:sz w:val="20"/>
          <w:szCs w:val="20"/>
          <w:rtl/>
        </w:rPr>
        <w:t>י</w:t>
      </w:r>
      <w:r w:rsidRPr="00D6558E">
        <w:rPr>
          <w:rStyle w:val="default"/>
          <w:rFonts w:cs="David" w:hint="cs"/>
          <w:sz w:val="20"/>
          <w:szCs w:val="20"/>
          <w:rtl/>
        </w:rPr>
        <w:t>ן התוצאות גם אחת מאלה:</w:t>
      </w:r>
    </w:p>
    <w:p w:rsidR="0014770C" w:rsidRPr="00D6558E" w:rsidRDefault="0014770C" w:rsidP="005A7B7E">
      <w:pPr>
        <w:pStyle w:val="p22"/>
        <w:bidi/>
        <w:spacing w:before="72" w:beforeAutospacing="0" w:after="0" w:afterAutospacing="0"/>
        <w:ind w:left="454" w:right="1134"/>
        <w:jc w:val="both"/>
        <w:rPr>
          <w:rFonts w:cs="David"/>
          <w:sz w:val="20"/>
          <w:szCs w:val="20"/>
          <w:rtl/>
        </w:rPr>
      </w:pPr>
      <w:r w:rsidRPr="00D6558E">
        <w:rPr>
          <w:rStyle w:val="default"/>
          <w:rFonts w:cs="David" w:hint="cs"/>
          <w:sz w:val="20"/>
          <w:szCs w:val="20"/>
          <w:rtl/>
        </w:rPr>
        <w:t>(1)</w:t>
      </w:r>
      <w:r w:rsidRPr="00D6558E">
        <w:rPr>
          <w:rStyle w:val="default"/>
          <w:rFonts w:cs="David" w:hint="cs"/>
          <w:sz w:val="20"/>
          <w:szCs w:val="20"/>
          <w:rtl/>
        </w:rPr>
        <w:tab/>
        <w:t xml:space="preserve"> כוונה - במטרה לגרום לאותן תוצאות;</w:t>
      </w:r>
    </w:p>
    <w:p w:rsidR="0014770C" w:rsidRPr="00D6558E" w:rsidRDefault="0014770C" w:rsidP="005A7B7E">
      <w:pPr>
        <w:pStyle w:val="p22"/>
        <w:bidi/>
        <w:spacing w:before="72" w:beforeAutospacing="0" w:after="0" w:afterAutospacing="0"/>
        <w:ind w:left="454" w:right="1134"/>
        <w:jc w:val="both"/>
        <w:rPr>
          <w:rFonts w:cs="David"/>
          <w:sz w:val="20"/>
          <w:szCs w:val="20"/>
          <w:rtl/>
        </w:rPr>
      </w:pPr>
      <w:r w:rsidRPr="00D6558E">
        <w:rPr>
          <w:rStyle w:val="default"/>
          <w:rFonts w:cs="David" w:hint="cs"/>
          <w:sz w:val="20"/>
          <w:szCs w:val="20"/>
          <w:rtl/>
        </w:rPr>
        <w:t>(2)</w:t>
      </w:r>
      <w:r w:rsidRPr="00D6558E">
        <w:rPr>
          <w:rStyle w:val="default"/>
          <w:rFonts w:cs="David" w:hint="cs"/>
          <w:sz w:val="20"/>
          <w:szCs w:val="20"/>
          <w:rtl/>
        </w:rPr>
        <w:tab/>
        <w:t xml:space="preserve"> פזיזות שבאחת מאלה:</w:t>
      </w:r>
    </w:p>
    <w:p w:rsidR="0014770C" w:rsidRPr="00D6558E" w:rsidRDefault="0014770C" w:rsidP="005A7B7E">
      <w:pPr>
        <w:pStyle w:val="p33"/>
        <w:bidi/>
        <w:spacing w:before="72" w:beforeAutospacing="0" w:after="0" w:afterAutospacing="0"/>
        <w:ind w:left="794" w:right="1134"/>
        <w:jc w:val="both"/>
        <w:rPr>
          <w:rFonts w:cs="David"/>
          <w:sz w:val="20"/>
          <w:szCs w:val="20"/>
          <w:rtl/>
        </w:rPr>
      </w:pPr>
      <w:r w:rsidRPr="00D6558E">
        <w:rPr>
          <w:rStyle w:val="default"/>
          <w:rFonts w:cs="David" w:hint="cs"/>
          <w:sz w:val="20"/>
          <w:szCs w:val="20"/>
          <w:rtl/>
        </w:rPr>
        <w:t>(א) אדישות - בשוויון נפש לאפשרות גרימת התוצאות האמורות;</w:t>
      </w:r>
    </w:p>
    <w:p w:rsidR="0014770C" w:rsidRPr="00D6558E" w:rsidRDefault="0014770C" w:rsidP="005A7B7E">
      <w:pPr>
        <w:pStyle w:val="p33"/>
        <w:bidi/>
        <w:spacing w:before="72" w:beforeAutospacing="0" w:after="0" w:afterAutospacing="0"/>
        <w:ind w:left="794" w:right="1134"/>
        <w:jc w:val="both"/>
        <w:rPr>
          <w:rFonts w:cs="David"/>
          <w:sz w:val="20"/>
          <w:szCs w:val="20"/>
          <w:rtl/>
        </w:rPr>
      </w:pPr>
      <w:r w:rsidRPr="00D6558E">
        <w:rPr>
          <w:rStyle w:val="default"/>
          <w:rFonts w:cs="David" w:hint="cs"/>
          <w:sz w:val="20"/>
          <w:szCs w:val="20"/>
          <w:rtl/>
        </w:rPr>
        <w:t>(ב) קלות דעת - בנטילת סיכון בלתי סביר לאפשרות גרימת התוצאות האמורות, מתוך תקווה להצליח למנען.</w:t>
      </w:r>
    </w:p>
    <w:p w:rsidR="0014770C" w:rsidRPr="00D6558E" w:rsidRDefault="0014770C" w:rsidP="005A7B7E">
      <w:pPr>
        <w:pStyle w:val="p00"/>
        <w:bidi/>
        <w:spacing w:before="72" w:beforeAutospacing="0" w:after="0" w:afterAutospacing="0"/>
        <w:ind w:left="-57" w:right="1134"/>
        <w:jc w:val="both"/>
        <w:rPr>
          <w:rStyle w:val="default"/>
          <w:rFonts w:cs="David"/>
          <w:sz w:val="20"/>
          <w:szCs w:val="20"/>
          <w:rtl/>
        </w:rPr>
      </w:pPr>
      <w:r w:rsidRPr="00D6558E">
        <w:rPr>
          <w:rFonts w:cs="David" w:hint="cs"/>
          <w:sz w:val="20"/>
          <w:szCs w:val="20"/>
          <w:rtl/>
        </w:rPr>
        <w:tab/>
      </w:r>
      <w:r w:rsidRPr="00D6558E">
        <w:rPr>
          <w:rStyle w:val="default"/>
          <w:rFonts w:cs="David" w:hint="cs"/>
          <w:sz w:val="20"/>
          <w:szCs w:val="20"/>
          <w:rtl/>
        </w:rPr>
        <w:t>(ב) לעניין כוונה, ראייה מראש את התרחשות התוצאות, כאפשרות קרובה לוודאי, כמוה כמטרה לגרמן.</w:t>
      </w:r>
    </w:p>
    <w:p w:rsidR="0014770C" w:rsidRPr="00D6558E" w:rsidRDefault="0014770C" w:rsidP="005A7B7E">
      <w:pPr>
        <w:pStyle w:val="p00"/>
        <w:bidi/>
        <w:spacing w:before="72" w:beforeAutospacing="0" w:after="0" w:afterAutospacing="0"/>
        <w:ind w:left="-57" w:right="1134"/>
        <w:jc w:val="both"/>
        <w:rPr>
          <w:rFonts w:cs="David"/>
          <w:sz w:val="20"/>
          <w:szCs w:val="20"/>
          <w:rtl/>
        </w:rPr>
      </w:pPr>
      <w:r w:rsidRPr="00D6558E">
        <w:rPr>
          <w:rStyle w:val="default"/>
          <w:rFonts w:cs="David" w:hint="cs"/>
          <w:sz w:val="20"/>
          <w:szCs w:val="20"/>
          <w:rtl/>
        </w:rPr>
        <w:t xml:space="preserve"> (ג) לעניין סעיף זה –</w:t>
      </w:r>
    </w:p>
    <w:p w:rsidR="0014770C" w:rsidRPr="00D6558E" w:rsidRDefault="0014770C" w:rsidP="005A7B7E">
      <w:pPr>
        <w:pStyle w:val="p22"/>
        <w:bidi/>
        <w:spacing w:before="72" w:beforeAutospacing="0" w:after="0" w:afterAutospacing="0"/>
        <w:ind w:left="340" w:right="1134"/>
        <w:jc w:val="both"/>
        <w:rPr>
          <w:rFonts w:cs="David"/>
          <w:sz w:val="20"/>
          <w:szCs w:val="20"/>
          <w:rtl/>
        </w:rPr>
      </w:pPr>
      <w:r w:rsidRPr="00D6558E">
        <w:rPr>
          <w:rStyle w:val="default"/>
          <w:rFonts w:cs="David" w:hint="cs"/>
          <w:sz w:val="20"/>
          <w:szCs w:val="20"/>
          <w:rtl/>
        </w:rPr>
        <w:t>(1)</w:t>
      </w:r>
      <w:r w:rsidRPr="00D6558E">
        <w:rPr>
          <w:rStyle w:val="default"/>
          <w:rFonts w:cs="David" w:hint="cs"/>
          <w:sz w:val="20"/>
          <w:szCs w:val="20"/>
          <w:rtl/>
        </w:rPr>
        <w:tab/>
        <w:t>רואים אדם שחשד בדבר טיב ההתנהגות או בדבר אפשרות קיום הנסיבות כמי שהיה מודע להם, אם נמנע מלבררם;</w:t>
      </w:r>
    </w:p>
    <w:p w:rsidR="0014770C" w:rsidRPr="00AD4E04" w:rsidRDefault="0014770C" w:rsidP="005A7B7E">
      <w:pPr>
        <w:pStyle w:val="p22"/>
        <w:bidi/>
        <w:spacing w:before="72" w:beforeAutospacing="0" w:after="0" w:afterAutospacing="0"/>
        <w:ind w:left="340" w:right="1134"/>
        <w:jc w:val="both"/>
        <w:rPr>
          <w:rFonts w:cs="David"/>
          <w:sz w:val="20"/>
          <w:szCs w:val="20"/>
          <w:rtl/>
        </w:rPr>
      </w:pPr>
      <w:r w:rsidRPr="00D6558E">
        <w:rPr>
          <w:rStyle w:val="default"/>
          <w:rFonts w:cs="David" w:hint="cs"/>
          <w:sz w:val="20"/>
          <w:szCs w:val="20"/>
          <w:rtl/>
        </w:rPr>
        <w:t>(2)</w:t>
      </w:r>
      <w:r w:rsidRPr="00D6558E">
        <w:rPr>
          <w:rStyle w:val="default"/>
          <w:rFonts w:cs="David" w:hint="cs"/>
          <w:sz w:val="20"/>
          <w:szCs w:val="20"/>
          <w:rtl/>
        </w:rPr>
        <w:tab/>
        <w:t>אין נפקה מינה אם נעשה המעשה באדם אחר או בנכס אחר, מזה שלגביו אמור היה המעשה להיעשות.</w:t>
      </w:r>
    </w:p>
  </w:footnote>
  <w:footnote w:id="118">
    <w:p w:rsidR="0014770C" w:rsidRPr="00AD4E04" w:rsidRDefault="0014770C" w:rsidP="005A7B7E">
      <w:pPr>
        <w:pStyle w:val="a3"/>
        <w:jc w:val="both"/>
        <w:rPr>
          <w:rFonts w:cs="David"/>
        </w:rPr>
      </w:pPr>
      <w:r w:rsidRPr="00AD4E04">
        <w:rPr>
          <w:rStyle w:val="a5"/>
          <w:rFonts w:cs="David"/>
        </w:rPr>
        <w:footnoteRef/>
      </w:r>
      <w:r w:rsidRPr="00AD4E04">
        <w:rPr>
          <w:rFonts w:cs="David"/>
          <w:rtl/>
        </w:rPr>
        <w:t xml:space="preserve"> </w:t>
      </w:r>
      <w:r w:rsidRPr="00D6558E">
        <w:rPr>
          <w:rFonts w:cs="David" w:hint="cs"/>
          <w:rtl/>
        </w:rPr>
        <w:t xml:space="preserve">רבין יורם, ואקי יניב, </w:t>
      </w:r>
      <w:r w:rsidRPr="008463DD">
        <w:rPr>
          <w:rFonts w:cs="David" w:hint="cs"/>
          <w:b/>
          <w:bCs/>
          <w:rtl/>
        </w:rPr>
        <w:t>דיני עונשין</w:t>
      </w:r>
      <w:r w:rsidRPr="00D6558E">
        <w:rPr>
          <w:rFonts w:cs="David" w:hint="cs"/>
          <w:rtl/>
        </w:rPr>
        <w:t>, מהדורה שלישית, כרך א'</w:t>
      </w:r>
      <w:r w:rsidRPr="00AD4E04">
        <w:rPr>
          <w:rFonts w:cs="David" w:hint="cs"/>
          <w:rtl/>
        </w:rPr>
        <w:t>, עמ' 392.</w:t>
      </w:r>
    </w:p>
  </w:footnote>
  <w:footnote w:id="119">
    <w:p w:rsidR="0014770C" w:rsidRPr="00760667" w:rsidRDefault="0014770C" w:rsidP="005A7B7E">
      <w:pPr>
        <w:pStyle w:val="a3"/>
        <w:jc w:val="both"/>
        <w:rPr>
          <w:rFonts w:cs="David"/>
        </w:rPr>
      </w:pPr>
      <w:r w:rsidRPr="00760667">
        <w:rPr>
          <w:rStyle w:val="a5"/>
          <w:rFonts w:cs="David"/>
        </w:rPr>
        <w:footnoteRef/>
      </w:r>
      <w:r w:rsidRPr="00760667">
        <w:rPr>
          <w:rFonts w:cs="David"/>
          <w:rtl/>
        </w:rPr>
        <w:t xml:space="preserve"> </w:t>
      </w:r>
      <w:r w:rsidRPr="00760667">
        <w:rPr>
          <w:rFonts w:cs="David" w:hint="cs"/>
          <w:rtl/>
        </w:rPr>
        <w:t>שם, עמ' 416.</w:t>
      </w:r>
    </w:p>
  </w:footnote>
  <w:footnote w:id="120">
    <w:p w:rsidR="0014770C" w:rsidRPr="009C4309" w:rsidRDefault="0014770C" w:rsidP="005A7B7E">
      <w:pPr>
        <w:pStyle w:val="a3"/>
        <w:jc w:val="both"/>
        <w:rPr>
          <w:rFonts w:cs="David"/>
        </w:rPr>
      </w:pPr>
      <w:r w:rsidRPr="009C4309">
        <w:rPr>
          <w:rStyle w:val="a5"/>
          <w:rFonts w:cs="David"/>
        </w:rPr>
        <w:footnoteRef/>
      </w:r>
      <w:r w:rsidRPr="009C4309">
        <w:rPr>
          <w:rFonts w:cs="David"/>
          <w:rtl/>
        </w:rPr>
        <w:t xml:space="preserve"> </w:t>
      </w:r>
      <w:r>
        <w:rPr>
          <w:rFonts w:cs="David" w:hint="cs"/>
          <w:rtl/>
        </w:rPr>
        <w:t xml:space="preserve">שם, </w:t>
      </w:r>
      <w:r w:rsidRPr="009C4309">
        <w:rPr>
          <w:rFonts w:cs="David" w:hint="cs"/>
          <w:rtl/>
        </w:rPr>
        <w:t>עמ' 421-419.</w:t>
      </w:r>
    </w:p>
  </w:footnote>
  <w:footnote w:id="121">
    <w:p w:rsidR="0014770C" w:rsidRPr="004C0651" w:rsidRDefault="0014770C" w:rsidP="004C0651">
      <w:pPr>
        <w:pStyle w:val="a3"/>
        <w:jc w:val="both"/>
        <w:rPr>
          <w:rtl/>
        </w:rPr>
      </w:pPr>
      <w:r>
        <w:rPr>
          <w:rStyle w:val="a5"/>
        </w:rPr>
        <w:footnoteRef/>
      </w:r>
      <w:r>
        <w:rPr>
          <w:rtl/>
        </w:rPr>
        <w:t xml:space="preserve"> </w:t>
      </w:r>
      <w:r w:rsidRPr="00741D8B">
        <w:rPr>
          <w:rFonts w:cs="David" w:hint="cs"/>
          <w:b/>
          <w:bCs/>
          <w:rtl/>
        </w:rPr>
        <w:t xml:space="preserve">עניין </w:t>
      </w:r>
      <w:r w:rsidRPr="0024351C">
        <w:rPr>
          <w:rFonts w:cs="David" w:hint="cs"/>
          <w:b/>
          <w:bCs/>
          <w:rtl/>
        </w:rPr>
        <w:t>אלבה</w:t>
      </w:r>
      <w:r w:rsidRPr="0024351C">
        <w:rPr>
          <w:rFonts w:cs="David" w:hint="cs"/>
          <w:rtl/>
        </w:rPr>
        <w:t>, בחוות דעתו של השופט מצא, פסקה 17.</w:t>
      </w:r>
    </w:p>
  </w:footnote>
  <w:footnote w:id="122">
    <w:p w:rsidR="0014770C" w:rsidRPr="007163C9" w:rsidRDefault="0014770C" w:rsidP="00FE2E1C">
      <w:pPr>
        <w:pStyle w:val="a3"/>
        <w:jc w:val="both"/>
        <w:rPr>
          <w:rFonts w:cs="David"/>
          <w:rtl/>
        </w:rPr>
      </w:pPr>
      <w:r w:rsidRPr="007163C9">
        <w:rPr>
          <w:rStyle w:val="a5"/>
          <w:rFonts w:cs="David"/>
        </w:rPr>
        <w:footnoteRef/>
      </w:r>
      <w:r w:rsidRPr="007163C9">
        <w:rPr>
          <w:rFonts w:cs="David"/>
          <w:rtl/>
        </w:rPr>
        <w:t xml:space="preserve"> </w:t>
      </w:r>
      <w:r w:rsidRPr="007163C9">
        <w:rPr>
          <w:rFonts w:cs="David" w:hint="cs"/>
          <w:rtl/>
        </w:rPr>
        <w:t>שם, פסקה 18.</w:t>
      </w:r>
    </w:p>
  </w:footnote>
  <w:footnote w:id="123">
    <w:p w:rsidR="0014770C" w:rsidRPr="007163C9" w:rsidRDefault="0014770C" w:rsidP="00FE2E1C">
      <w:pPr>
        <w:pStyle w:val="a3"/>
        <w:jc w:val="both"/>
        <w:rPr>
          <w:rFonts w:cs="David"/>
          <w:rtl/>
        </w:rPr>
      </w:pPr>
      <w:r w:rsidRPr="007163C9">
        <w:rPr>
          <w:rStyle w:val="a5"/>
          <w:rFonts w:cs="David"/>
        </w:rPr>
        <w:footnoteRef/>
      </w:r>
      <w:r w:rsidRPr="007163C9">
        <w:rPr>
          <w:rFonts w:cs="David"/>
          <w:rtl/>
        </w:rPr>
        <w:t xml:space="preserve"> </w:t>
      </w:r>
      <w:r w:rsidRPr="007163C9">
        <w:rPr>
          <w:rFonts w:cs="David" w:hint="cs"/>
          <w:rtl/>
        </w:rPr>
        <w:t xml:space="preserve">קרמניצר מרדכי, </w:t>
      </w:r>
      <w:r w:rsidRPr="007163C9">
        <w:rPr>
          <w:rFonts w:cs="David" w:hint="cs"/>
          <w:b/>
          <w:bCs/>
          <w:rtl/>
        </w:rPr>
        <w:t>פרשת אלבה: "ברור הלכות הסתה לגזענות"</w:t>
      </w:r>
      <w:r w:rsidRPr="007163C9">
        <w:rPr>
          <w:rFonts w:cs="David" w:hint="cs"/>
          <w:rtl/>
        </w:rPr>
        <w:t>, עמ' 143</w:t>
      </w:r>
      <w:r>
        <w:rPr>
          <w:rFonts w:cs="David" w:hint="cs"/>
          <w:rtl/>
        </w:rPr>
        <w:t>, (1999).</w:t>
      </w:r>
    </w:p>
  </w:footnote>
  <w:footnote w:id="124">
    <w:p w:rsidR="0014770C" w:rsidRPr="007163C9" w:rsidRDefault="0014770C" w:rsidP="00FE2E1C">
      <w:pPr>
        <w:pStyle w:val="a3"/>
        <w:jc w:val="both"/>
        <w:rPr>
          <w:rFonts w:cs="David"/>
          <w:rtl/>
        </w:rPr>
      </w:pPr>
      <w:r w:rsidRPr="007163C9">
        <w:rPr>
          <w:rStyle w:val="a5"/>
          <w:rFonts w:cs="David"/>
        </w:rPr>
        <w:footnoteRef/>
      </w:r>
      <w:r w:rsidRPr="007163C9">
        <w:rPr>
          <w:rFonts w:cs="David"/>
          <w:rtl/>
        </w:rPr>
        <w:t xml:space="preserve"> </w:t>
      </w:r>
      <w:r w:rsidRPr="007163C9">
        <w:rPr>
          <w:rFonts w:cs="David" w:hint="cs"/>
          <w:rtl/>
        </w:rPr>
        <w:t>שם, עמ' 126.</w:t>
      </w:r>
    </w:p>
  </w:footnote>
  <w:footnote w:id="125">
    <w:p w:rsidR="0014770C" w:rsidRDefault="0014770C" w:rsidP="00FE2E1C">
      <w:pPr>
        <w:pStyle w:val="a3"/>
        <w:jc w:val="both"/>
      </w:pPr>
      <w:r w:rsidRPr="00FC10BB">
        <w:rPr>
          <w:rStyle w:val="a5"/>
          <w:rFonts w:cs="David"/>
        </w:rPr>
        <w:footnoteRef/>
      </w:r>
      <w:r w:rsidRPr="00FC10BB">
        <w:rPr>
          <w:rFonts w:cs="David"/>
          <w:rtl/>
        </w:rPr>
        <w:t xml:space="preserve"> </w:t>
      </w:r>
      <w:r w:rsidRPr="00FC10BB">
        <w:rPr>
          <w:rFonts w:cs="David" w:hint="cs"/>
          <w:rtl/>
        </w:rPr>
        <w:t>שם</w:t>
      </w:r>
      <w:r>
        <w:rPr>
          <w:rFonts w:hint="cs"/>
          <w:rtl/>
        </w:rPr>
        <w:t>.</w:t>
      </w:r>
    </w:p>
  </w:footnote>
  <w:footnote w:id="126">
    <w:p w:rsidR="0014770C" w:rsidRPr="00BF2B01" w:rsidRDefault="0014770C" w:rsidP="005A7B7E">
      <w:pPr>
        <w:pStyle w:val="a3"/>
        <w:jc w:val="both"/>
        <w:rPr>
          <w:rFonts w:cs="David"/>
          <w:rtl/>
        </w:rPr>
      </w:pPr>
      <w:r w:rsidRPr="00BF2B01">
        <w:rPr>
          <w:rStyle w:val="a5"/>
          <w:rFonts w:cs="David"/>
        </w:rPr>
        <w:footnoteRef/>
      </w:r>
      <w:r w:rsidRPr="00BF2B01">
        <w:rPr>
          <w:rFonts w:cs="David"/>
          <w:rtl/>
        </w:rPr>
        <w:t xml:space="preserve"> </w:t>
      </w:r>
      <w:r w:rsidRPr="00BF2B01">
        <w:rPr>
          <w:rFonts w:cs="David" w:hint="cs"/>
          <w:rtl/>
        </w:rPr>
        <w:t xml:space="preserve">עניין </w:t>
      </w:r>
      <w:r w:rsidRPr="00BF2B01">
        <w:rPr>
          <w:rFonts w:cs="David" w:hint="cs"/>
          <w:b/>
          <w:bCs/>
          <w:rtl/>
        </w:rPr>
        <w:t>'תורת המלך'</w:t>
      </w:r>
      <w:r w:rsidRPr="00BF2B01">
        <w:rPr>
          <w:rFonts w:cs="David" w:hint="cs"/>
          <w:rtl/>
        </w:rPr>
        <w:t xml:space="preserve">, </w:t>
      </w:r>
      <w:r>
        <w:rPr>
          <w:rFonts w:cs="David" w:hint="cs"/>
          <w:rtl/>
        </w:rPr>
        <w:t>ב</w:t>
      </w:r>
      <w:r w:rsidRPr="00BF2B01">
        <w:rPr>
          <w:rFonts w:cs="David" w:hint="cs"/>
          <w:rtl/>
        </w:rPr>
        <w:t>חוות דעתו של השופט ג'ובראן, פסקה 18-16.</w:t>
      </w:r>
    </w:p>
  </w:footnote>
  <w:footnote w:id="127">
    <w:p w:rsidR="0014770C" w:rsidRPr="00BF2B01" w:rsidRDefault="0014770C" w:rsidP="005A7B7E">
      <w:pPr>
        <w:pStyle w:val="a3"/>
        <w:jc w:val="both"/>
        <w:rPr>
          <w:rFonts w:cs="David"/>
        </w:rPr>
      </w:pPr>
      <w:r w:rsidRPr="00BF2B01">
        <w:rPr>
          <w:rStyle w:val="a5"/>
          <w:rFonts w:cs="David"/>
        </w:rPr>
        <w:footnoteRef/>
      </w:r>
      <w:r w:rsidRPr="00BF2B01">
        <w:rPr>
          <w:rFonts w:cs="David"/>
          <w:rtl/>
        </w:rPr>
        <w:t xml:space="preserve"> </w:t>
      </w:r>
      <w:r w:rsidRPr="00BF2B01">
        <w:rPr>
          <w:rFonts w:cs="David" w:hint="cs"/>
          <w:rtl/>
        </w:rPr>
        <w:t xml:space="preserve">ניתוח מפורט בעמדות השופטים בפסק הדין </w:t>
      </w:r>
      <w:r w:rsidRPr="00741D8B">
        <w:rPr>
          <w:rFonts w:cs="David" w:hint="cs"/>
          <w:b/>
          <w:bCs/>
          <w:rtl/>
        </w:rPr>
        <w:t>עניין אלבה</w:t>
      </w:r>
      <w:r w:rsidRPr="00BF2B01">
        <w:rPr>
          <w:rFonts w:cs="David" w:hint="cs"/>
          <w:rtl/>
        </w:rPr>
        <w:t xml:space="preserve"> ראו קרמניצר מרדכי, </w:t>
      </w:r>
      <w:r w:rsidRPr="00BF2B01">
        <w:rPr>
          <w:rFonts w:cs="David" w:hint="cs"/>
          <w:b/>
          <w:bCs/>
          <w:rtl/>
        </w:rPr>
        <w:t>פרשת אלבה: "ברור הלכות הסתה לגזענות"</w:t>
      </w:r>
      <w:r w:rsidRPr="00BF2B01">
        <w:rPr>
          <w:rFonts w:cs="David" w:hint="cs"/>
          <w:rtl/>
        </w:rPr>
        <w:t xml:space="preserve">, עמ' 136-126 </w:t>
      </w:r>
      <w:r>
        <w:rPr>
          <w:rFonts w:cs="David" w:hint="cs"/>
          <w:rtl/>
        </w:rPr>
        <w:t xml:space="preserve">(1999) </w:t>
      </w:r>
      <w:r w:rsidRPr="00BF2B01">
        <w:rPr>
          <w:rFonts w:cs="David" w:hint="cs"/>
          <w:rtl/>
        </w:rPr>
        <w:t xml:space="preserve">וכן בחוות דעתו המפורטת של השופט ג'ובראן בעניין </w:t>
      </w:r>
      <w:r w:rsidRPr="00BF2B01">
        <w:rPr>
          <w:rFonts w:cs="David" w:hint="cs"/>
          <w:b/>
          <w:bCs/>
          <w:rtl/>
        </w:rPr>
        <w:t>'תורת המלך'</w:t>
      </w:r>
      <w:r w:rsidRPr="00BF2B01">
        <w:rPr>
          <w:rFonts w:cs="David" w:hint="cs"/>
          <w:rtl/>
        </w:rPr>
        <w:t>, פסקאות 36-21.</w:t>
      </w:r>
    </w:p>
  </w:footnote>
  <w:footnote w:id="128">
    <w:p w:rsidR="0014770C" w:rsidRPr="00583973" w:rsidRDefault="0014770C" w:rsidP="005A7B7E">
      <w:pPr>
        <w:pStyle w:val="a3"/>
        <w:jc w:val="both"/>
        <w:rPr>
          <w:rFonts w:cs="David"/>
        </w:rPr>
      </w:pPr>
      <w:r w:rsidRPr="00583973">
        <w:rPr>
          <w:rStyle w:val="a5"/>
          <w:rFonts w:cs="David"/>
        </w:rPr>
        <w:footnoteRef/>
      </w:r>
      <w:r w:rsidRPr="00583973">
        <w:rPr>
          <w:rFonts w:cs="David"/>
          <w:rtl/>
        </w:rPr>
        <w:t xml:space="preserve"> </w:t>
      </w:r>
      <w:r w:rsidRPr="00583973">
        <w:rPr>
          <w:rFonts w:cs="David" w:hint="cs"/>
          <w:b/>
          <w:bCs/>
          <w:rtl/>
        </w:rPr>
        <w:t xml:space="preserve">ענין </w:t>
      </w:r>
      <w:r>
        <w:rPr>
          <w:rFonts w:cs="David" w:hint="cs"/>
          <w:b/>
          <w:bCs/>
          <w:rtl/>
        </w:rPr>
        <w:t>'</w:t>
      </w:r>
      <w:r w:rsidRPr="00583973">
        <w:rPr>
          <w:rFonts w:cs="David" w:hint="cs"/>
          <w:b/>
          <w:bCs/>
          <w:rtl/>
        </w:rPr>
        <w:t>תורת המלך</w:t>
      </w:r>
      <w:r>
        <w:rPr>
          <w:rFonts w:cs="David" w:hint="cs"/>
          <w:b/>
          <w:bCs/>
          <w:rtl/>
        </w:rPr>
        <w:t>'</w:t>
      </w:r>
      <w:r w:rsidRPr="00583973">
        <w:rPr>
          <w:rFonts w:cs="David" w:hint="cs"/>
          <w:rtl/>
        </w:rPr>
        <w:t>, בחוות דעתו של השופט ג'ובראן, פסקה 32.</w:t>
      </w:r>
    </w:p>
  </w:footnote>
  <w:footnote w:id="129">
    <w:p w:rsidR="0014770C" w:rsidRDefault="0014770C" w:rsidP="005A7B7E">
      <w:pPr>
        <w:pStyle w:val="a3"/>
        <w:jc w:val="both"/>
      </w:pPr>
      <w:r>
        <w:rPr>
          <w:rStyle w:val="a5"/>
        </w:rPr>
        <w:footnoteRef/>
      </w:r>
      <w:r>
        <w:rPr>
          <w:rtl/>
        </w:rPr>
        <w:t xml:space="preserve"> </w:t>
      </w:r>
      <w:r w:rsidRPr="00583973">
        <w:rPr>
          <w:rFonts w:cs="David" w:hint="cs"/>
          <w:rtl/>
        </w:rPr>
        <w:t xml:space="preserve">קרמניצר מרדכי, </w:t>
      </w:r>
      <w:r w:rsidRPr="00583973">
        <w:rPr>
          <w:rFonts w:cs="David" w:hint="cs"/>
          <w:b/>
          <w:bCs/>
          <w:rtl/>
        </w:rPr>
        <w:t>פרשת אלבה: "ברור הלכות הסתה לגזענות"</w:t>
      </w:r>
      <w:r w:rsidRPr="00583973">
        <w:rPr>
          <w:rFonts w:cs="David" w:hint="cs"/>
          <w:rtl/>
        </w:rPr>
        <w:t xml:space="preserve">, עמ' </w:t>
      </w:r>
      <w:r>
        <w:rPr>
          <w:rFonts w:cs="David" w:hint="cs"/>
          <w:rtl/>
        </w:rPr>
        <w:t>143-142 (1999).</w:t>
      </w:r>
    </w:p>
  </w:footnote>
  <w:footnote w:id="130">
    <w:p w:rsidR="0014770C" w:rsidRDefault="0014770C" w:rsidP="003233BD">
      <w:pPr>
        <w:pStyle w:val="a3"/>
      </w:pPr>
      <w:r>
        <w:rPr>
          <w:rStyle w:val="a5"/>
        </w:rPr>
        <w:footnoteRef/>
      </w:r>
      <w:r>
        <w:rPr>
          <w:rtl/>
        </w:rPr>
        <w:t xml:space="preserve"> </w:t>
      </w:r>
      <w:r w:rsidRPr="00666C6B">
        <w:rPr>
          <w:rFonts w:cs="David" w:hint="cs"/>
          <w:rtl/>
        </w:rPr>
        <w:t xml:space="preserve">ראו גם את ביקורתו של השופט ג'ובראן </w:t>
      </w:r>
      <w:r w:rsidRPr="00666C6B">
        <w:rPr>
          <w:rFonts w:cs="David" w:hint="cs"/>
          <w:b/>
          <w:bCs/>
          <w:rtl/>
        </w:rPr>
        <w:t>בעניין 'תורת המלך'</w:t>
      </w:r>
      <w:r w:rsidRPr="00666C6B">
        <w:rPr>
          <w:rFonts w:cs="David" w:hint="cs"/>
          <w:rtl/>
        </w:rPr>
        <w:t xml:space="preserve">, </w:t>
      </w:r>
      <w:r>
        <w:rPr>
          <w:rFonts w:cs="David" w:hint="cs"/>
          <w:rtl/>
        </w:rPr>
        <w:t xml:space="preserve">בחוות דעתו, </w:t>
      </w:r>
      <w:r w:rsidRPr="00666C6B">
        <w:rPr>
          <w:rFonts w:cs="David" w:hint="cs"/>
          <w:rtl/>
        </w:rPr>
        <w:t>פסקה 25.</w:t>
      </w:r>
    </w:p>
  </w:footnote>
  <w:footnote w:id="131">
    <w:p w:rsidR="0014770C" w:rsidRPr="00DE57D6" w:rsidRDefault="0014770C">
      <w:pPr>
        <w:pStyle w:val="a3"/>
        <w:rPr>
          <w:rFonts w:cs="David"/>
          <w:rtl/>
        </w:rPr>
      </w:pPr>
      <w:r w:rsidRPr="00DE57D6">
        <w:rPr>
          <w:rStyle w:val="a5"/>
          <w:rFonts w:cs="David"/>
        </w:rPr>
        <w:footnoteRef/>
      </w:r>
      <w:r w:rsidRPr="00DE57D6">
        <w:rPr>
          <w:rFonts w:cs="David"/>
          <w:rtl/>
        </w:rPr>
        <w:t xml:space="preserve"> </w:t>
      </w:r>
      <w:r w:rsidRPr="00DE57D6">
        <w:rPr>
          <w:rFonts w:cs="David" w:hint="cs"/>
          <w:rtl/>
        </w:rPr>
        <w:t>חוק העונשין, התשל"ז-1977.</w:t>
      </w:r>
    </w:p>
  </w:footnote>
  <w:footnote w:id="132">
    <w:p w:rsidR="0014770C" w:rsidRPr="00DE57D6" w:rsidRDefault="0014770C" w:rsidP="00FE2E1C">
      <w:pPr>
        <w:pStyle w:val="a3"/>
        <w:jc w:val="both"/>
        <w:rPr>
          <w:rFonts w:cs="David"/>
        </w:rPr>
      </w:pPr>
      <w:r w:rsidRPr="00DE57D6">
        <w:rPr>
          <w:rFonts w:cs="David"/>
        </w:rPr>
        <w:footnoteRef/>
      </w:r>
      <w:r w:rsidRPr="00DE57D6">
        <w:rPr>
          <w:rFonts w:cs="David"/>
          <w:rtl/>
        </w:rPr>
        <w:t xml:space="preserve"> </w:t>
      </w:r>
      <w:r w:rsidRPr="00DE57D6">
        <w:rPr>
          <w:rFonts w:cs="David" w:hint="cs"/>
          <w:rtl/>
        </w:rPr>
        <w:t xml:space="preserve">סעיף 34 כד לחוק העונשין תשל"ז-1977, </w:t>
      </w:r>
      <w:r w:rsidRPr="00DE57D6">
        <w:rPr>
          <w:rFonts w:cs="David" w:hint="cs"/>
          <w:b/>
          <w:bCs/>
          <w:rtl/>
        </w:rPr>
        <w:t xml:space="preserve">"פרסום" </w:t>
      </w:r>
      <w:r w:rsidRPr="00DE57D6">
        <w:rPr>
          <w:rFonts w:cs="David"/>
          <w:rtl/>
        </w:rPr>
        <w:t>–</w:t>
      </w:r>
      <w:r w:rsidRPr="00DE57D6">
        <w:rPr>
          <w:rFonts w:cs="David" w:hint="cs"/>
          <w:rtl/>
        </w:rPr>
        <w:t xml:space="preserve"> כתב, דבר דפוס, חומר מחשב, או כל מוצג חזותי אחר וכן כל אמצעי שמיעתי העשוים להעלות מלים או רעיונות, בין לבדם ובין בעזרת אמצעי כלשהו. </w:t>
      </w:r>
      <w:r w:rsidRPr="00DE57D6">
        <w:rPr>
          <w:rFonts w:cs="David"/>
          <w:rtl/>
        </w:rPr>
        <w:br/>
      </w:r>
      <w:r w:rsidRPr="00DE57D6">
        <w:rPr>
          <w:rFonts w:cs="David" w:hint="cs"/>
          <w:b/>
          <w:bCs/>
          <w:rtl/>
        </w:rPr>
        <w:t>"פרסם"</w:t>
      </w:r>
      <w:r w:rsidRPr="00DE57D6">
        <w:rPr>
          <w:rFonts w:cs="David" w:hint="cs"/>
          <w:rtl/>
        </w:rPr>
        <w:t xml:space="preserve"> - </w:t>
      </w:r>
      <w:r w:rsidRPr="00DE57D6">
        <w:rPr>
          <w:rFonts w:cs="David" w:hint="cs"/>
        </w:rPr>
        <w:t>(1)</w:t>
      </w:r>
      <w:r w:rsidRPr="00DE57D6">
        <w:rPr>
          <w:rFonts w:cs="David" w:hint="cs"/>
          <w:rtl/>
        </w:rPr>
        <w:t xml:space="preserve"> בדברים שבעל פה - להשמיע מלים בפה או באמצעים אחרים, בהתקהלות ציבורית או במקום ציבורי או באופן שאנשים הנמצאים במקום ציבורי יכולים לשמוע אותם</w:t>
      </w:r>
      <w:r w:rsidRPr="00DE57D6">
        <w:rPr>
          <w:rFonts w:cs="David" w:hint="cs"/>
        </w:rPr>
        <w:t xml:space="preserve">, </w:t>
      </w:r>
      <w:r w:rsidRPr="00DE57D6">
        <w:rPr>
          <w:rFonts w:cs="David" w:hint="cs"/>
          <w:rtl/>
        </w:rPr>
        <w:t xml:space="preserve">או להשמיען בשידורי רדיו או טלוויזיה הניתנים לציבור, או להפיצן באמצעות מחשב בדרך הזמינה לציבור, או להציען לציבור באמצעות מחשב </w:t>
      </w:r>
      <w:r w:rsidRPr="00DE57D6">
        <w:rPr>
          <w:rFonts w:cs="David"/>
          <w:rtl/>
        </w:rPr>
        <w:br/>
      </w:r>
      <w:r w:rsidRPr="00DE57D6">
        <w:rPr>
          <w:rFonts w:cs="David" w:hint="cs"/>
          <w:rtl/>
        </w:rPr>
        <w:t>(2) בפרסום שאינו דברים שבעל פה - להפיצו בקרב אנשים או להציגו באופן שאנשים במקום ציבורי יכולים לראותו, או למכרו או להציעו למכירה בכל מקום שהוא, או להפיצו בשידורי טלוויזיה הניתנים לציבור, או להפיצו לציבור באמצעות מחשב בדרך הזמינה לציבור, או להציעו לציבור באמצעות מחשב.</w:t>
      </w:r>
    </w:p>
  </w:footnote>
  <w:footnote w:id="133">
    <w:p w:rsidR="0014770C" w:rsidRPr="00DE57D6" w:rsidRDefault="0014770C" w:rsidP="00215481">
      <w:pPr>
        <w:pStyle w:val="a3"/>
        <w:jc w:val="both"/>
        <w:rPr>
          <w:rFonts w:cs="David"/>
        </w:rPr>
      </w:pPr>
      <w:r w:rsidRPr="00DE57D6">
        <w:rPr>
          <w:rStyle w:val="a5"/>
          <w:rFonts w:cs="David"/>
        </w:rPr>
        <w:footnoteRef/>
      </w:r>
      <w:r w:rsidRPr="00DE57D6">
        <w:rPr>
          <w:rFonts w:cs="David"/>
          <w:rtl/>
        </w:rPr>
        <w:t xml:space="preserve"> </w:t>
      </w:r>
      <w:r>
        <w:rPr>
          <w:rFonts w:cs="David" w:hint="cs"/>
          <w:rtl/>
        </w:rPr>
        <w:t xml:space="preserve">עניין </w:t>
      </w:r>
      <w:r w:rsidRPr="00215481">
        <w:rPr>
          <w:rFonts w:cs="David" w:hint="cs"/>
          <w:b/>
          <w:bCs/>
          <w:rtl/>
        </w:rPr>
        <w:t>'בן חורין'</w:t>
      </w:r>
      <w:r>
        <w:rPr>
          <w:rFonts w:cs="David" w:hint="cs"/>
          <w:rtl/>
        </w:rPr>
        <w:t>, ב</w:t>
      </w:r>
      <w:r w:rsidRPr="00DE57D6">
        <w:rPr>
          <w:rFonts w:cs="David" w:hint="cs"/>
          <w:rtl/>
        </w:rPr>
        <w:t>חוות דעתו של השופט הנדל, פסקה 6.</w:t>
      </w:r>
    </w:p>
  </w:footnote>
  <w:footnote w:id="134">
    <w:p w:rsidR="0014770C" w:rsidRPr="00DE57D6" w:rsidRDefault="0014770C" w:rsidP="00FE2E1C">
      <w:pPr>
        <w:pStyle w:val="a3"/>
        <w:jc w:val="both"/>
        <w:rPr>
          <w:rFonts w:cs="David"/>
        </w:rPr>
      </w:pPr>
      <w:r w:rsidRPr="00DE57D6">
        <w:rPr>
          <w:rStyle w:val="a5"/>
          <w:rFonts w:cs="David"/>
        </w:rPr>
        <w:footnoteRef/>
      </w:r>
      <w:r w:rsidRPr="00DE57D6">
        <w:rPr>
          <w:rFonts w:cs="David"/>
          <w:rtl/>
        </w:rPr>
        <w:t xml:space="preserve"> </w:t>
      </w:r>
      <w:r w:rsidRPr="00DE57D6">
        <w:rPr>
          <w:rFonts w:cs="David" w:hint="cs"/>
          <w:rtl/>
        </w:rPr>
        <w:t>שם.</w:t>
      </w:r>
    </w:p>
  </w:footnote>
  <w:footnote w:id="135">
    <w:p w:rsidR="0014770C" w:rsidRPr="00A24DCF" w:rsidRDefault="0014770C" w:rsidP="00FE2E1C">
      <w:pPr>
        <w:pStyle w:val="a3"/>
        <w:rPr>
          <w:rFonts w:cs="David"/>
        </w:rPr>
      </w:pPr>
      <w:r w:rsidRPr="00DE57D6">
        <w:rPr>
          <w:rStyle w:val="a5"/>
          <w:rFonts w:cs="David"/>
        </w:rPr>
        <w:footnoteRef/>
      </w:r>
      <w:r w:rsidRPr="00DE57D6">
        <w:rPr>
          <w:rFonts w:cs="David"/>
          <w:rtl/>
        </w:rPr>
        <w:t xml:space="preserve"> </w:t>
      </w:r>
      <w:r w:rsidRPr="00DE57D6">
        <w:rPr>
          <w:rFonts w:cs="David" w:hint="cs"/>
          <w:rtl/>
        </w:rPr>
        <w:t>שם, פסקה 7.</w:t>
      </w:r>
    </w:p>
  </w:footnote>
  <w:footnote w:id="136">
    <w:p w:rsidR="0014770C" w:rsidRPr="00A24DCF" w:rsidRDefault="0014770C" w:rsidP="00FE2E1C">
      <w:pPr>
        <w:pStyle w:val="a3"/>
        <w:rPr>
          <w:rFonts w:cs="David"/>
        </w:rPr>
      </w:pPr>
      <w:r w:rsidRPr="00A24DCF">
        <w:rPr>
          <w:rStyle w:val="a5"/>
          <w:rFonts w:cs="David"/>
        </w:rPr>
        <w:footnoteRef/>
      </w:r>
      <w:r w:rsidRPr="00A24DCF">
        <w:rPr>
          <w:rFonts w:cs="David"/>
          <w:rtl/>
        </w:rPr>
        <w:t xml:space="preserve"> </w:t>
      </w:r>
      <w:r w:rsidRPr="00A24DCF">
        <w:rPr>
          <w:rFonts w:cs="David" w:hint="cs"/>
          <w:rtl/>
        </w:rPr>
        <w:t>שם.</w:t>
      </w:r>
    </w:p>
  </w:footnote>
  <w:footnote w:id="137">
    <w:p w:rsidR="0014770C" w:rsidRDefault="0014770C" w:rsidP="00944862">
      <w:pPr>
        <w:pStyle w:val="a3"/>
        <w:rPr>
          <w:rtl/>
        </w:rPr>
      </w:pPr>
      <w:r w:rsidRPr="00A24DCF">
        <w:rPr>
          <w:rStyle w:val="a5"/>
          <w:rFonts w:cs="David"/>
        </w:rPr>
        <w:footnoteRef/>
      </w:r>
      <w:r w:rsidRPr="00A24DCF">
        <w:rPr>
          <w:rFonts w:cs="David"/>
          <w:rtl/>
        </w:rPr>
        <w:t xml:space="preserve"> </w:t>
      </w:r>
      <w:r w:rsidRPr="00A24DCF">
        <w:rPr>
          <w:rFonts w:cs="David" w:hint="cs"/>
          <w:rtl/>
        </w:rPr>
        <w:t xml:space="preserve">רע"פ 7669/15 </w:t>
      </w:r>
      <w:r w:rsidRPr="00FE0120">
        <w:rPr>
          <w:rFonts w:cs="David" w:hint="cs"/>
          <w:b/>
          <w:bCs/>
          <w:rtl/>
        </w:rPr>
        <w:t>ראאד סלאח מחאג'נה נ' מדינת ישראל</w:t>
      </w:r>
      <w:r w:rsidRPr="00A24DCF">
        <w:rPr>
          <w:rFonts w:cs="David" w:hint="cs"/>
          <w:rtl/>
        </w:rPr>
        <w:t xml:space="preserve">, </w:t>
      </w:r>
      <w:r>
        <w:rPr>
          <w:rFonts w:cs="David" w:hint="cs"/>
          <w:rtl/>
        </w:rPr>
        <w:t>פדאור 15 (62) 473 (2016), ב</w:t>
      </w:r>
      <w:r w:rsidRPr="00A24DCF">
        <w:rPr>
          <w:rFonts w:cs="David" w:hint="cs"/>
          <w:rtl/>
        </w:rPr>
        <w:t>חוות דעתו של השופט ג'ובראן.</w:t>
      </w:r>
    </w:p>
  </w:footnote>
  <w:footnote w:id="138">
    <w:p w:rsidR="0014770C" w:rsidRPr="00EB2F84" w:rsidRDefault="0014770C" w:rsidP="00FE2E1C">
      <w:pPr>
        <w:pStyle w:val="a3"/>
        <w:jc w:val="both"/>
        <w:rPr>
          <w:rFonts w:cs="David"/>
        </w:rPr>
      </w:pPr>
      <w:r w:rsidRPr="00EB2F84">
        <w:rPr>
          <w:rStyle w:val="a5"/>
          <w:rFonts w:cs="David"/>
        </w:rPr>
        <w:footnoteRef/>
      </w:r>
      <w:r w:rsidRPr="00EB2F84">
        <w:rPr>
          <w:rFonts w:cs="David"/>
          <w:rtl/>
        </w:rPr>
        <w:t xml:space="preserve"> </w:t>
      </w:r>
      <w:r w:rsidRPr="00EB2F84">
        <w:rPr>
          <w:rFonts w:cs="David" w:hint="cs"/>
          <w:rtl/>
        </w:rPr>
        <w:t xml:space="preserve">להבדלים האמורים ראו בעניין </w:t>
      </w:r>
      <w:r w:rsidRPr="0012706D">
        <w:rPr>
          <w:rFonts w:cs="David" w:hint="cs"/>
          <w:b/>
          <w:bCs/>
          <w:rtl/>
        </w:rPr>
        <w:t>'תורת המלך'</w:t>
      </w:r>
      <w:r w:rsidRPr="00EB2F84">
        <w:rPr>
          <w:rFonts w:cs="David" w:hint="cs"/>
          <w:rtl/>
        </w:rPr>
        <w:t>, התייחסותו של השופט ג'ובראן, פסקה 11-10.</w:t>
      </w:r>
    </w:p>
  </w:footnote>
  <w:footnote w:id="139">
    <w:p w:rsidR="0014770C" w:rsidRPr="00EB2F84" w:rsidRDefault="0014770C" w:rsidP="0065087B">
      <w:pPr>
        <w:pStyle w:val="a3"/>
        <w:jc w:val="both"/>
        <w:rPr>
          <w:rFonts w:cs="David"/>
          <w:rtl/>
        </w:rPr>
      </w:pPr>
      <w:r w:rsidRPr="00EB2F84">
        <w:rPr>
          <w:rStyle w:val="a5"/>
          <w:rFonts w:cs="David"/>
        </w:rPr>
        <w:footnoteRef/>
      </w:r>
      <w:r w:rsidRPr="00EB2F84">
        <w:rPr>
          <w:rFonts w:cs="David"/>
          <w:rtl/>
        </w:rPr>
        <w:t xml:space="preserve"> </w:t>
      </w:r>
      <w:r w:rsidRPr="00EB2F84">
        <w:rPr>
          <w:rFonts w:cs="David" w:hint="cs"/>
          <w:rtl/>
        </w:rPr>
        <w:t xml:space="preserve">עניין </w:t>
      </w:r>
      <w:r w:rsidRPr="00EB2F84">
        <w:rPr>
          <w:rFonts w:cs="David" w:hint="cs"/>
          <w:b/>
          <w:bCs/>
          <w:rtl/>
        </w:rPr>
        <w:t>'תורת המלך'</w:t>
      </w:r>
      <w:r w:rsidRPr="00EB2F84">
        <w:rPr>
          <w:rFonts w:cs="David" w:hint="cs"/>
          <w:rtl/>
        </w:rPr>
        <w:t xml:space="preserve">, </w:t>
      </w:r>
      <w:r>
        <w:rPr>
          <w:rFonts w:cs="David" w:hint="cs"/>
          <w:rtl/>
        </w:rPr>
        <w:t>ב</w:t>
      </w:r>
      <w:r w:rsidRPr="00EB2F84">
        <w:rPr>
          <w:rFonts w:cs="David" w:hint="cs"/>
          <w:rtl/>
        </w:rPr>
        <w:t xml:space="preserve">חוות דעת של השופט ג'ובראן פסקה 27 ועניין </w:t>
      </w:r>
      <w:r w:rsidRPr="00EB2F84">
        <w:rPr>
          <w:rFonts w:cs="David" w:hint="cs"/>
          <w:b/>
          <w:bCs/>
          <w:rtl/>
        </w:rPr>
        <w:t>ראאד סלאח</w:t>
      </w:r>
      <w:r w:rsidRPr="00EB2F84">
        <w:rPr>
          <w:rFonts w:cs="David" w:hint="cs"/>
          <w:rtl/>
        </w:rPr>
        <w:t xml:space="preserve">, </w:t>
      </w:r>
      <w:r>
        <w:rPr>
          <w:rFonts w:cs="David" w:hint="cs"/>
          <w:rtl/>
        </w:rPr>
        <w:t>ב</w:t>
      </w:r>
      <w:r w:rsidRPr="00EB2F84">
        <w:rPr>
          <w:rFonts w:cs="David" w:hint="cs"/>
          <w:rtl/>
        </w:rPr>
        <w:t>חוות דעתה של השופטת ע' ברון, פסקה 1.</w:t>
      </w:r>
    </w:p>
  </w:footnote>
  <w:footnote w:id="140">
    <w:p w:rsidR="0014770C" w:rsidRPr="00EB2F84" w:rsidRDefault="0014770C" w:rsidP="00C40C61">
      <w:pPr>
        <w:pStyle w:val="a3"/>
        <w:jc w:val="both"/>
        <w:rPr>
          <w:rFonts w:cs="David"/>
          <w:rtl/>
        </w:rPr>
      </w:pPr>
      <w:r w:rsidRPr="00EB2F84">
        <w:rPr>
          <w:rStyle w:val="a5"/>
          <w:rFonts w:cs="David"/>
        </w:rPr>
        <w:footnoteRef/>
      </w:r>
      <w:r w:rsidRPr="00EB2F84">
        <w:rPr>
          <w:rFonts w:cs="David"/>
          <w:rtl/>
        </w:rPr>
        <w:t xml:space="preserve"> </w:t>
      </w:r>
      <w:r w:rsidRPr="00EB2F84">
        <w:rPr>
          <w:rFonts w:cs="David" w:hint="cs"/>
          <w:rtl/>
        </w:rPr>
        <w:t xml:space="preserve">דנ"פ 1789/98 </w:t>
      </w:r>
      <w:r w:rsidRPr="00EB2F84">
        <w:rPr>
          <w:rFonts w:cs="David" w:hint="cs"/>
          <w:b/>
          <w:bCs/>
          <w:rtl/>
        </w:rPr>
        <w:t>מדינת ישראל נ' בנימין כהנא</w:t>
      </w:r>
      <w:r w:rsidRPr="00EB2F84">
        <w:rPr>
          <w:rFonts w:cs="David" w:hint="cs"/>
          <w:rtl/>
        </w:rPr>
        <w:t>, פ"ד נד</w:t>
      </w:r>
      <w:r>
        <w:rPr>
          <w:rFonts w:cs="David" w:hint="cs"/>
          <w:rtl/>
        </w:rPr>
        <w:t>(5), 145 (2000).</w:t>
      </w:r>
    </w:p>
  </w:footnote>
  <w:footnote w:id="141">
    <w:p w:rsidR="0014770C" w:rsidRPr="00EB2F84" w:rsidRDefault="0014770C" w:rsidP="0065087B">
      <w:pPr>
        <w:pStyle w:val="a3"/>
        <w:jc w:val="both"/>
        <w:rPr>
          <w:rFonts w:cs="David"/>
          <w:rtl/>
        </w:rPr>
      </w:pPr>
      <w:r w:rsidRPr="00EB2F84">
        <w:rPr>
          <w:rStyle w:val="a5"/>
          <w:rFonts w:cs="David"/>
        </w:rPr>
        <w:footnoteRef/>
      </w:r>
      <w:r w:rsidRPr="00EB2F84">
        <w:rPr>
          <w:rFonts w:cs="David"/>
          <w:rtl/>
        </w:rPr>
        <w:t xml:space="preserve"> </w:t>
      </w:r>
      <w:r>
        <w:rPr>
          <w:rFonts w:cs="David" w:hint="cs"/>
          <w:rtl/>
        </w:rPr>
        <w:t>סעיפים 133 ו- 134 ג ל</w:t>
      </w:r>
      <w:r w:rsidRPr="00EB2F84">
        <w:rPr>
          <w:rFonts w:cs="David" w:hint="cs"/>
          <w:rtl/>
        </w:rPr>
        <w:t>חוק העונשין</w:t>
      </w:r>
      <w:r>
        <w:rPr>
          <w:rFonts w:cs="David" w:hint="cs"/>
          <w:rtl/>
        </w:rPr>
        <w:t xml:space="preserve"> התשל"ז-1977.</w:t>
      </w:r>
    </w:p>
  </w:footnote>
  <w:footnote w:id="142">
    <w:p w:rsidR="0014770C" w:rsidRPr="00E226C7" w:rsidRDefault="0014770C">
      <w:pPr>
        <w:pStyle w:val="a3"/>
        <w:rPr>
          <w:rFonts w:cs="David"/>
          <w:rtl/>
        </w:rPr>
      </w:pPr>
      <w:r>
        <w:rPr>
          <w:rStyle w:val="a5"/>
        </w:rPr>
        <w:footnoteRef/>
      </w:r>
      <w:r>
        <w:rPr>
          <w:rtl/>
        </w:rPr>
        <w:t xml:space="preserve"> </w:t>
      </w:r>
      <w:r w:rsidRPr="00E226C7">
        <w:rPr>
          <w:rFonts w:cs="David" w:hint="cs"/>
          <w:rtl/>
        </w:rPr>
        <w:t>סעיף 144א לחוק העונשין התשל"ז-1977.</w:t>
      </w:r>
    </w:p>
  </w:footnote>
  <w:footnote w:id="143">
    <w:p w:rsidR="0014770C" w:rsidRPr="00EB2F84" w:rsidRDefault="0014770C" w:rsidP="00E226C7">
      <w:pPr>
        <w:pStyle w:val="a3"/>
        <w:jc w:val="both"/>
        <w:rPr>
          <w:rFonts w:cs="David"/>
          <w:rtl/>
        </w:rPr>
      </w:pPr>
      <w:r w:rsidRPr="00EB2F84">
        <w:rPr>
          <w:rStyle w:val="a5"/>
          <w:rFonts w:cs="David"/>
        </w:rPr>
        <w:footnoteRef/>
      </w:r>
      <w:r w:rsidRPr="00EB2F84">
        <w:rPr>
          <w:rFonts w:cs="David"/>
          <w:rtl/>
        </w:rPr>
        <w:t xml:space="preserve"> </w:t>
      </w:r>
      <w:r>
        <w:rPr>
          <w:rFonts w:cs="David" w:hint="cs"/>
          <w:rtl/>
        </w:rPr>
        <w:t xml:space="preserve">בשתי העבירות מופיעה ההגדרה - </w:t>
      </w:r>
      <w:r w:rsidRPr="00EB2F84">
        <w:rPr>
          <w:rFonts w:cs="David" w:hint="cs"/>
          <w:rtl/>
        </w:rPr>
        <w:t>"</w:t>
      </w:r>
      <w:r>
        <w:rPr>
          <w:rFonts w:cs="David" w:hint="cs"/>
          <w:rtl/>
        </w:rPr>
        <w:t>[</w:t>
      </w:r>
      <w:r w:rsidRPr="00EB2F84">
        <w:rPr>
          <w:rFonts w:cs="David" w:hint="cs"/>
          <w:rtl/>
        </w:rPr>
        <w:t>...</w:t>
      </w:r>
      <w:r>
        <w:rPr>
          <w:rFonts w:cs="David" w:hint="cs"/>
          <w:rtl/>
        </w:rPr>
        <w:t>]</w:t>
      </w:r>
      <w:r w:rsidRPr="00EB2F84">
        <w:rPr>
          <w:rFonts w:cs="David" w:hint="cs"/>
          <w:rtl/>
        </w:rPr>
        <w:t xml:space="preserve"> או גרימת מדנים כלפי ציבור או חלקים של האוכלוסייה".</w:t>
      </w:r>
    </w:p>
  </w:footnote>
  <w:footnote w:id="144">
    <w:p w:rsidR="0014770C" w:rsidRDefault="0014770C" w:rsidP="0065087B">
      <w:pPr>
        <w:pStyle w:val="a3"/>
        <w:jc w:val="both"/>
      </w:pPr>
      <w:r w:rsidRPr="00EB2F84">
        <w:rPr>
          <w:rStyle w:val="a5"/>
          <w:rFonts w:cs="David"/>
        </w:rPr>
        <w:footnoteRef/>
      </w:r>
      <w:r w:rsidRPr="00EB2F84">
        <w:rPr>
          <w:rFonts w:cs="David"/>
          <w:rtl/>
        </w:rPr>
        <w:t xml:space="preserve"> </w:t>
      </w:r>
      <w:r w:rsidRPr="001E4ABC">
        <w:rPr>
          <w:rFonts w:cs="David" w:hint="cs"/>
          <w:b/>
          <w:bCs/>
          <w:rtl/>
        </w:rPr>
        <w:t>עניין כהנא [2]</w:t>
      </w:r>
      <w:r w:rsidRPr="00EB2F84">
        <w:rPr>
          <w:rFonts w:cs="David" w:hint="cs"/>
          <w:rtl/>
        </w:rPr>
        <w:t xml:space="preserve">, </w:t>
      </w:r>
      <w:r>
        <w:rPr>
          <w:rFonts w:cs="David" w:hint="cs"/>
          <w:rtl/>
        </w:rPr>
        <w:t>ב</w:t>
      </w:r>
      <w:r w:rsidRPr="00EB2F84">
        <w:rPr>
          <w:rFonts w:cs="David" w:hint="cs"/>
          <w:rtl/>
        </w:rPr>
        <w:t>חוות דעתו של השופט אור, פסקה 22-21</w:t>
      </w:r>
    </w:p>
  </w:footnote>
  <w:footnote w:id="145">
    <w:p w:rsidR="0014770C" w:rsidRPr="00CA24E2" w:rsidRDefault="0014770C" w:rsidP="0065087B">
      <w:pPr>
        <w:pStyle w:val="a3"/>
        <w:jc w:val="both"/>
        <w:rPr>
          <w:rFonts w:cs="David"/>
        </w:rPr>
      </w:pPr>
      <w:r w:rsidRPr="00CA24E2">
        <w:rPr>
          <w:rStyle w:val="a5"/>
          <w:rFonts w:cs="David"/>
        </w:rPr>
        <w:footnoteRef/>
      </w:r>
      <w:r w:rsidRPr="00CA24E2">
        <w:rPr>
          <w:rFonts w:cs="David"/>
          <w:rtl/>
        </w:rPr>
        <w:t xml:space="preserve"> </w:t>
      </w:r>
      <w:r w:rsidRPr="00FE3E5D">
        <w:rPr>
          <w:rFonts w:cs="David" w:hint="cs"/>
          <w:b/>
          <w:bCs/>
          <w:rtl/>
        </w:rPr>
        <w:t>עניין</w:t>
      </w:r>
      <w:r w:rsidRPr="00CA24E2">
        <w:rPr>
          <w:rFonts w:cs="David" w:hint="cs"/>
          <w:rtl/>
        </w:rPr>
        <w:t xml:space="preserve"> </w:t>
      </w:r>
      <w:r w:rsidRPr="00CA24E2">
        <w:rPr>
          <w:rFonts w:cs="David" w:hint="cs"/>
          <w:b/>
          <w:bCs/>
          <w:rtl/>
        </w:rPr>
        <w:t>כהנא [2]</w:t>
      </w:r>
      <w:r w:rsidRPr="00CA24E2">
        <w:rPr>
          <w:rFonts w:cs="David" w:hint="cs"/>
          <w:rtl/>
        </w:rPr>
        <w:t xml:space="preserve">, </w:t>
      </w:r>
      <w:r>
        <w:rPr>
          <w:rFonts w:cs="David" w:hint="cs"/>
          <w:rtl/>
        </w:rPr>
        <w:t>ב</w:t>
      </w:r>
      <w:r w:rsidRPr="00CA24E2">
        <w:rPr>
          <w:rFonts w:cs="David" w:hint="cs"/>
          <w:rtl/>
        </w:rPr>
        <w:t>חוות דעתו של השופט אור, פסקאות 22-21.</w:t>
      </w:r>
    </w:p>
  </w:footnote>
  <w:footnote w:id="146">
    <w:p w:rsidR="0014770C" w:rsidRPr="00CA24E2" w:rsidRDefault="0014770C" w:rsidP="00422C9D">
      <w:pPr>
        <w:pStyle w:val="a3"/>
        <w:jc w:val="both"/>
        <w:rPr>
          <w:rFonts w:cs="David"/>
          <w:rtl/>
        </w:rPr>
      </w:pPr>
      <w:r w:rsidRPr="00CA24E2">
        <w:rPr>
          <w:rStyle w:val="a5"/>
          <w:rFonts w:cs="David"/>
        </w:rPr>
        <w:footnoteRef/>
      </w:r>
      <w:r w:rsidRPr="00CA24E2">
        <w:rPr>
          <w:rFonts w:cs="David"/>
          <w:rtl/>
        </w:rPr>
        <w:t xml:space="preserve"> </w:t>
      </w:r>
      <w:r w:rsidRPr="00CA24E2">
        <w:rPr>
          <w:rFonts w:cs="David" w:hint="cs"/>
          <w:rtl/>
        </w:rPr>
        <w:t xml:space="preserve">בג"צ 399/85 </w:t>
      </w:r>
      <w:r w:rsidRPr="00CA24E2">
        <w:rPr>
          <w:rFonts w:cs="David" w:hint="cs"/>
          <w:b/>
          <w:bCs/>
          <w:rtl/>
        </w:rPr>
        <w:t>כהנא נ' הועד המנהל של רשות השידור</w:t>
      </w:r>
      <w:r w:rsidRPr="00CA24E2">
        <w:rPr>
          <w:rFonts w:cs="David" w:hint="cs"/>
          <w:rtl/>
        </w:rPr>
        <w:t>, פ"ד מא(3), 255</w:t>
      </w:r>
      <w:r>
        <w:rPr>
          <w:rFonts w:cs="David" w:hint="cs"/>
          <w:rtl/>
        </w:rPr>
        <w:t xml:space="preserve"> (1987).</w:t>
      </w:r>
    </w:p>
  </w:footnote>
  <w:footnote w:id="147">
    <w:p w:rsidR="0014770C" w:rsidRPr="00CA24E2" w:rsidRDefault="0014770C" w:rsidP="0065087B">
      <w:pPr>
        <w:pStyle w:val="a3"/>
        <w:jc w:val="both"/>
        <w:rPr>
          <w:rFonts w:cs="David"/>
        </w:rPr>
      </w:pPr>
      <w:r w:rsidRPr="00CA24E2">
        <w:rPr>
          <w:rStyle w:val="a5"/>
          <w:rFonts w:cs="David"/>
        </w:rPr>
        <w:footnoteRef/>
      </w:r>
      <w:r w:rsidRPr="00CA24E2">
        <w:rPr>
          <w:rFonts w:cs="David"/>
          <w:rtl/>
        </w:rPr>
        <w:t xml:space="preserve"> </w:t>
      </w:r>
      <w:r w:rsidRPr="00CA24E2">
        <w:rPr>
          <w:rFonts w:cs="David" w:hint="cs"/>
          <w:rtl/>
        </w:rPr>
        <w:t xml:space="preserve">שם, </w:t>
      </w:r>
      <w:r>
        <w:rPr>
          <w:rFonts w:cs="David" w:hint="cs"/>
          <w:rtl/>
        </w:rPr>
        <w:t>ב</w:t>
      </w:r>
      <w:r w:rsidRPr="00CA24E2">
        <w:rPr>
          <w:rFonts w:cs="David" w:hint="cs"/>
          <w:rtl/>
        </w:rPr>
        <w:t>חוות דעתו של השופט ברק (כתוארו אז), פסקה 20.</w:t>
      </w:r>
    </w:p>
  </w:footnote>
  <w:footnote w:id="148">
    <w:p w:rsidR="0014770C" w:rsidRDefault="0014770C" w:rsidP="003452F6">
      <w:pPr>
        <w:pStyle w:val="a3"/>
        <w:jc w:val="both"/>
      </w:pPr>
      <w:r w:rsidRPr="00CA24E2">
        <w:rPr>
          <w:rStyle w:val="a5"/>
          <w:rFonts w:cs="David"/>
        </w:rPr>
        <w:footnoteRef/>
      </w:r>
      <w:r w:rsidRPr="00CA24E2">
        <w:rPr>
          <w:rFonts w:cs="David"/>
          <w:rtl/>
        </w:rPr>
        <w:t xml:space="preserve"> </w:t>
      </w:r>
      <w:r w:rsidRPr="00CA24E2">
        <w:rPr>
          <w:rFonts w:cs="David" w:hint="cs"/>
          <w:rtl/>
        </w:rPr>
        <w:t xml:space="preserve">ברק אהרון, </w:t>
      </w:r>
      <w:r w:rsidRPr="00CA24E2">
        <w:rPr>
          <w:rFonts w:cs="David" w:hint="cs"/>
          <w:b/>
          <w:bCs/>
          <w:rtl/>
        </w:rPr>
        <w:t>המסורת של חופש הביטוי בישראל ובעיותיה</w:t>
      </w:r>
      <w:r w:rsidRPr="00CA24E2">
        <w:rPr>
          <w:rFonts w:cs="David" w:hint="cs"/>
          <w:rtl/>
        </w:rPr>
        <w:t>, עמ' 235</w:t>
      </w:r>
      <w:r>
        <w:rPr>
          <w:rFonts w:cs="David" w:hint="cs"/>
          <w:rtl/>
        </w:rPr>
        <w:t xml:space="preserve"> (1996)</w:t>
      </w:r>
    </w:p>
  </w:footnote>
  <w:footnote w:id="149">
    <w:p w:rsidR="0014770C" w:rsidRPr="00935821" w:rsidRDefault="0014770C" w:rsidP="00935821">
      <w:pPr>
        <w:pStyle w:val="a3"/>
        <w:jc w:val="both"/>
        <w:rPr>
          <w:rFonts w:cs="David"/>
          <w:rtl/>
        </w:rPr>
      </w:pPr>
      <w:r w:rsidRPr="00935821">
        <w:rPr>
          <w:rStyle w:val="a5"/>
          <w:rFonts w:cs="David"/>
        </w:rPr>
        <w:footnoteRef/>
      </w:r>
      <w:r w:rsidRPr="00935821">
        <w:rPr>
          <w:rFonts w:cs="David"/>
          <w:rtl/>
        </w:rPr>
        <w:t xml:space="preserve"> </w:t>
      </w:r>
      <w:r w:rsidRPr="00935821">
        <w:rPr>
          <w:rFonts w:cs="David" w:hint="cs"/>
          <w:rtl/>
        </w:rPr>
        <w:t xml:space="preserve">ראו בעניין זה את מאמרם של ברק-ארז דפנה וזכריה דודי, </w:t>
      </w:r>
      <w:r w:rsidRPr="00935821">
        <w:rPr>
          <w:rFonts w:cs="David" w:hint="cs"/>
          <w:b/>
          <w:bCs/>
          <w:rtl/>
        </w:rPr>
        <w:t>הסתה לטרור וגבולות חופש הביטוי: בין הגבלות ישירות להגבלות עקיפות,</w:t>
      </w:r>
      <w:r w:rsidRPr="00935821">
        <w:rPr>
          <w:rFonts w:cs="David" w:hint="cs"/>
          <w:rtl/>
        </w:rPr>
        <w:t xml:space="preserve"> עמ' 558,</w:t>
      </w:r>
      <w:r>
        <w:rPr>
          <w:rFonts w:cs="David" w:hint="cs"/>
          <w:rtl/>
        </w:rPr>
        <w:t xml:space="preserve"> (2013),</w:t>
      </w:r>
      <w:r w:rsidRPr="00935821">
        <w:rPr>
          <w:rFonts w:cs="David" w:hint="cs"/>
          <w:rtl/>
        </w:rPr>
        <w:t xml:space="preserve"> שם ישנה הפניה בסעיף 9 להרצאתו של השופט מצא בשנת 2005.</w:t>
      </w:r>
    </w:p>
  </w:footnote>
  <w:footnote w:id="150">
    <w:p w:rsidR="0014770C" w:rsidRPr="00935821" w:rsidRDefault="0014770C" w:rsidP="00935821">
      <w:pPr>
        <w:pStyle w:val="a3"/>
        <w:jc w:val="both"/>
        <w:rPr>
          <w:rFonts w:cs="David"/>
        </w:rPr>
      </w:pPr>
      <w:r w:rsidRPr="00935821">
        <w:rPr>
          <w:rStyle w:val="a5"/>
          <w:rFonts w:cs="David"/>
        </w:rPr>
        <w:footnoteRef/>
      </w:r>
      <w:r w:rsidRPr="00935821">
        <w:rPr>
          <w:rFonts w:cs="David"/>
          <w:rtl/>
        </w:rPr>
        <w:t xml:space="preserve"> </w:t>
      </w:r>
      <w:r w:rsidRPr="00741D8B">
        <w:rPr>
          <w:rFonts w:cs="David" w:hint="cs"/>
          <w:b/>
          <w:bCs/>
          <w:rtl/>
        </w:rPr>
        <w:t>עניין אלבה</w:t>
      </w:r>
      <w:r w:rsidRPr="00935821">
        <w:rPr>
          <w:rFonts w:cs="David" w:hint="cs"/>
          <w:rtl/>
        </w:rPr>
        <w:t xml:space="preserve">, </w:t>
      </w:r>
      <w:r>
        <w:rPr>
          <w:rFonts w:cs="David" w:hint="cs"/>
          <w:rtl/>
        </w:rPr>
        <w:t>ב</w:t>
      </w:r>
      <w:r w:rsidRPr="00935821">
        <w:rPr>
          <w:rFonts w:cs="David" w:hint="cs"/>
          <w:rtl/>
        </w:rPr>
        <w:t>חוות דעתו של השופט מצא, פסקה 24.</w:t>
      </w:r>
    </w:p>
  </w:footnote>
  <w:footnote w:id="151">
    <w:p w:rsidR="0014770C" w:rsidRPr="00935821" w:rsidRDefault="0014770C" w:rsidP="00935821">
      <w:pPr>
        <w:pStyle w:val="a3"/>
        <w:jc w:val="both"/>
        <w:rPr>
          <w:rFonts w:cs="David"/>
          <w:rtl/>
        </w:rPr>
      </w:pPr>
      <w:r w:rsidRPr="00935821">
        <w:rPr>
          <w:rStyle w:val="a5"/>
          <w:rFonts w:cs="David"/>
        </w:rPr>
        <w:footnoteRef/>
      </w:r>
      <w:r w:rsidRPr="00935821">
        <w:rPr>
          <w:rFonts w:cs="David"/>
          <w:rtl/>
        </w:rPr>
        <w:t xml:space="preserve"> </w:t>
      </w:r>
      <w:r w:rsidRPr="00741D8B">
        <w:rPr>
          <w:rFonts w:cs="David" w:hint="cs"/>
          <w:b/>
          <w:bCs/>
          <w:rtl/>
        </w:rPr>
        <w:t>עניין '</w:t>
      </w:r>
      <w:r w:rsidRPr="00935821">
        <w:rPr>
          <w:rFonts w:cs="David" w:hint="cs"/>
          <w:b/>
          <w:bCs/>
          <w:rtl/>
        </w:rPr>
        <w:t>תורת המלך'</w:t>
      </w:r>
      <w:r w:rsidRPr="00935821">
        <w:rPr>
          <w:rFonts w:cs="David" w:hint="cs"/>
          <w:rtl/>
        </w:rPr>
        <w:t xml:space="preserve"> </w:t>
      </w:r>
      <w:r>
        <w:rPr>
          <w:rFonts w:cs="David" w:hint="cs"/>
          <w:rtl/>
        </w:rPr>
        <w:t>ב</w:t>
      </w:r>
      <w:r w:rsidRPr="00935821">
        <w:rPr>
          <w:rFonts w:cs="David" w:hint="cs"/>
          <w:rtl/>
        </w:rPr>
        <w:t>חוות דעתו של השופט רובינשטיין, פסקה ס'.</w:t>
      </w:r>
    </w:p>
  </w:footnote>
  <w:footnote w:id="152">
    <w:p w:rsidR="0014770C" w:rsidRDefault="0014770C" w:rsidP="00935821">
      <w:pPr>
        <w:pStyle w:val="a3"/>
        <w:jc w:val="both"/>
      </w:pPr>
      <w:r w:rsidRPr="00935821">
        <w:rPr>
          <w:rStyle w:val="a5"/>
          <w:rFonts w:cs="David"/>
        </w:rPr>
        <w:footnoteRef/>
      </w:r>
      <w:r w:rsidRPr="00935821">
        <w:rPr>
          <w:rFonts w:cs="David"/>
          <w:rtl/>
        </w:rPr>
        <w:t xml:space="preserve"> </w:t>
      </w:r>
      <w:r w:rsidRPr="00935821">
        <w:rPr>
          <w:rFonts w:cs="David" w:hint="cs"/>
          <w:rtl/>
        </w:rPr>
        <w:t xml:space="preserve">כהן-אלמגור, </w:t>
      </w:r>
      <w:r w:rsidRPr="00935821">
        <w:rPr>
          <w:rFonts w:cs="David" w:hint="cs"/>
          <w:b/>
          <w:bCs/>
          <w:rtl/>
        </w:rPr>
        <w:t>מדוע יש להוציא דברי הסתה מגדר עקרון חופש הביטוי</w:t>
      </w:r>
      <w:r>
        <w:rPr>
          <w:rFonts w:cs="David" w:hint="cs"/>
          <w:rtl/>
        </w:rPr>
        <w:t>, עמ' 578 (2003).</w:t>
      </w:r>
    </w:p>
  </w:footnote>
  <w:footnote w:id="153">
    <w:p w:rsidR="0014770C" w:rsidRPr="007B47C0" w:rsidRDefault="0014770C">
      <w:pPr>
        <w:pStyle w:val="a3"/>
        <w:rPr>
          <w:rFonts w:cs="David"/>
        </w:rPr>
      </w:pPr>
      <w:r w:rsidRPr="007B47C0">
        <w:rPr>
          <w:rStyle w:val="a5"/>
          <w:rFonts w:cs="David"/>
        </w:rPr>
        <w:footnoteRef/>
      </w:r>
      <w:r w:rsidRPr="007B47C0">
        <w:rPr>
          <w:rFonts w:cs="David"/>
          <w:rtl/>
        </w:rPr>
        <w:t xml:space="preserve"> </w:t>
      </w:r>
      <w:r w:rsidRPr="007B47C0">
        <w:rPr>
          <w:rFonts w:cs="David" w:hint="cs"/>
          <w:rtl/>
        </w:rPr>
        <w:t>שם, עמ' 563.</w:t>
      </w:r>
    </w:p>
  </w:footnote>
  <w:footnote w:id="154">
    <w:p w:rsidR="0014770C" w:rsidRPr="003D5DF7" w:rsidRDefault="0014770C" w:rsidP="00B9032E">
      <w:pPr>
        <w:pStyle w:val="a3"/>
        <w:jc w:val="both"/>
        <w:rPr>
          <w:rtl/>
        </w:rPr>
      </w:pPr>
      <w:r w:rsidRPr="00675020">
        <w:rPr>
          <w:rStyle w:val="a5"/>
          <w:rFonts w:cs="David"/>
        </w:rPr>
        <w:footnoteRef/>
      </w:r>
      <w:r w:rsidRPr="00675020">
        <w:rPr>
          <w:rFonts w:cs="David"/>
          <w:rtl/>
        </w:rPr>
        <w:t xml:space="preserve"> </w:t>
      </w:r>
      <w:r>
        <w:rPr>
          <w:rFonts w:cs="David" w:hint="cs"/>
          <w:rtl/>
        </w:rPr>
        <w:t>סעיף 4 ל</w:t>
      </w:r>
      <w:r w:rsidRPr="00675020">
        <w:rPr>
          <w:rFonts w:cs="David" w:hint="cs"/>
          <w:rtl/>
        </w:rPr>
        <w:t xml:space="preserve">פקודת מניעת טרור, תש"ח-1948,"אדם (א) המפרסם, בכתב או בעל פה, דברי שבח, אהדה או עידוד למעשי אלימות העלולים לגרום למותו של אדם או לחבלתו או לאיומים במעשי אלימות כאלה [...] ייאשם בעבירה ובצאתו חייב בדין, יהא </w:t>
      </w:r>
      <w:r w:rsidRPr="003D5DF7">
        <w:rPr>
          <w:rFonts w:cs="David" w:hint="cs"/>
          <w:rtl/>
        </w:rPr>
        <w:t>צפוי [...]</w:t>
      </w:r>
      <w:r w:rsidRPr="003D5DF7">
        <w:rPr>
          <w:rFonts w:hint="cs"/>
          <w:rtl/>
        </w:rPr>
        <w:t>"</w:t>
      </w:r>
    </w:p>
  </w:footnote>
  <w:footnote w:id="155">
    <w:p w:rsidR="0014770C" w:rsidRPr="007F2E97" w:rsidRDefault="0014770C" w:rsidP="005736E0">
      <w:pPr>
        <w:pStyle w:val="a3"/>
        <w:jc w:val="both"/>
        <w:rPr>
          <w:rFonts w:cs="David"/>
          <w:rtl/>
        </w:rPr>
      </w:pPr>
      <w:r w:rsidRPr="007F2E97">
        <w:rPr>
          <w:rStyle w:val="a5"/>
          <w:rFonts w:cs="David"/>
        </w:rPr>
        <w:footnoteRef/>
      </w:r>
      <w:r w:rsidRPr="007F2E97">
        <w:rPr>
          <w:rFonts w:cs="David"/>
          <w:rtl/>
        </w:rPr>
        <w:t xml:space="preserve"> </w:t>
      </w:r>
      <w:r w:rsidRPr="007F2E97">
        <w:rPr>
          <w:rFonts w:cs="David" w:hint="cs"/>
          <w:rtl/>
        </w:rPr>
        <w:t xml:space="preserve">דנ"פ 7383/08 </w:t>
      </w:r>
      <w:r w:rsidRPr="007F2E97">
        <w:rPr>
          <w:rFonts w:cs="David" w:hint="cs"/>
          <w:b/>
          <w:bCs/>
          <w:rtl/>
        </w:rPr>
        <w:t>אונגרפלד נ' מדינת ישראל</w:t>
      </w:r>
      <w:r>
        <w:rPr>
          <w:rFonts w:cs="David" w:hint="cs"/>
          <w:rtl/>
        </w:rPr>
        <w:t xml:space="preserve">, פ"ד ס"ה(1) 23 (2009), </w:t>
      </w:r>
      <w:r w:rsidRPr="007F2E97">
        <w:rPr>
          <w:rFonts w:cs="David" w:hint="cs"/>
          <w:rtl/>
        </w:rPr>
        <w:t>בחוות דעתו של המשנה לנשיאה השופט רובינשטיין, פסקה 10.</w:t>
      </w:r>
    </w:p>
  </w:footnote>
  <w:footnote w:id="156">
    <w:p w:rsidR="0014770C" w:rsidRPr="007F2E97" w:rsidRDefault="0014770C" w:rsidP="007F2E97">
      <w:pPr>
        <w:pStyle w:val="a3"/>
        <w:jc w:val="both"/>
        <w:rPr>
          <w:rFonts w:cs="David"/>
          <w:rtl/>
        </w:rPr>
      </w:pPr>
      <w:r w:rsidRPr="007F2E97">
        <w:rPr>
          <w:rStyle w:val="a5"/>
          <w:rFonts w:cs="David"/>
        </w:rPr>
        <w:footnoteRef/>
      </w:r>
      <w:r w:rsidRPr="007F2E97">
        <w:rPr>
          <w:rFonts w:cs="David"/>
          <w:rtl/>
        </w:rPr>
        <w:t xml:space="preserve"> </w:t>
      </w:r>
      <w:r w:rsidRPr="007F2E97">
        <w:rPr>
          <w:rFonts w:cs="David" w:hint="cs"/>
          <w:rtl/>
        </w:rPr>
        <w:t xml:space="preserve">עניין </w:t>
      </w:r>
      <w:r w:rsidRPr="00675020">
        <w:rPr>
          <w:rFonts w:cs="David" w:hint="cs"/>
          <w:b/>
          <w:bCs/>
          <w:rtl/>
        </w:rPr>
        <w:t>'בן-חורין'</w:t>
      </w:r>
      <w:r w:rsidRPr="007F2E97">
        <w:rPr>
          <w:rFonts w:cs="David" w:hint="cs"/>
          <w:rtl/>
        </w:rPr>
        <w:t>, בחוות דעתו ל של השופט הנדל, פסקה 5.</w:t>
      </w:r>
    </w:p>
  </w:footnote>
  <w:footnote w:id="157">
    <w:p w:rsidR="0014770C" w:rsidRDefault="0014770C" w:rsidP="007F2E97">
      <w:pPr>
        <w:pStyle w:val="a3"/>
        <w:jc w:val="both"/>
        <w:rPr>
          <w:rtl/>
        </w:rPr>
      </w:pPr>
      <w:r w:rsidRPr="007F2E97">
        <w:rPr>
          <w:rStyle w:val="a5"/>
          <w:rFonts w:cs="David"/>
        </w:rPr>
        <w:footnoteRef/>
      </w:r>
      <w:r w:rsidRPr="007F2E97">
        <w:rPr>
          <w:rFonts w:cs="David"/>
          <w:rtl/>
        </w:rPr>
        <w:t xml:space="preserve"> </w:t>
      </w:r>
      <w:r w:rsidRPr="007F2E97">
        <w:rPr>
          <w:rFonts w:cs="David" w:hint="cs"/>
          <w:rtl/>
        </w:rPr>
        <w:t>שם.</w:t>
      </w:r>
    </w:p>
  </w:footnote>
  <w:footnote w:id="158">
    <w:p w:rsidR="0014770C" w:rsidRPr="00AC7367" w:rsidRDefault="0014770C" w:rsidP="00744272">
      <w:pPr>
        <w:pStyle w:val="a3"/>
        <w:jc w:val="both"/>
        <w:rPr>
          <w:rFonts w:cs="David"/>
        </w:rPr>
      </w:pPr>
      <w:r w:rsidRPr="00AC7367">
        <w:rPr>
          <w:rStyle w:val="a5"/>
          <w:rFonts w:cs="David"/>
        </w:rPr>
        <w:footnoteRef/>
      </w:r>
      <w:r w:rsidRPr="00AC7367">
        <w:rPr>
          <w:rFonts w:cs="David"/>
          <w:rtl/>
        </w:rPr>
        <w:t xml:space="preserve"> </w:t>
      </w:r>
      <w:r w:rsidRPr="00AC7367">
        <w:rPr>
          <w:rFonts w:cs="David" w:hint="cs"/>
          <w:rtl/>
        </w:rPr>
        <w:t xml:space="preserve">עניין </w:t>
      </w:r>
      <w:r w:rsidRPr="00747091">
        <w:rPr>
          <w:rFonts w:cs="David" w:hint="cs"/>
          <w:b/>
          <w:bCs/>
          <w:rtl/>
        </w:rPr>
        <w:t>ראאד צלאח</w:t>
      </w:r>
      <w:r w:rsidRPr="00AC7367">
        <w:rPr>
          <w:rFonts w:cs="David" w:hint="cs"/>
          <w:rtl/>
        </w:rPr>
        <w:t>, בחוות דעתו של המשנה מנשיאה רובינשטיין, פסקה ל"ו.</w:t>
      </w:r>
    </w:p>
  </w:footnote>
  <w:footnote w:id="159">
    <w:p w:rsidR="0014770C" w:rsidRDefault="0014770C" w:rsidP="00C80269">
      <w:pPr>
        <w:pStyle w:val="a3"/>
        <w:rPr>
          <w:rtl/>
        </w:rPr>
      </w:pPr>
      <w:r>
        <w:rPr>
          <w:rStyle w:val="a5"/>
        </w:rPr>
        <w:footnoteRef/>
      </w:r>
      <w:r>
        <w:rPr>
          <w:rtl/>
        </w:rPr>
        <w:t xml:space="preserve"> </w:t>
      </w:r>
      <w:r w:rsidRPr="00AA096E">
        <w:rPr>
          <w:rFonts w:cs="David" w:hint="cs"/>
          <w:rtl/>
        </w:rPr>
        <w:t xml:space="preserve">שגב ראם, </w:t>
      </w:r>
      <w:r w:rsidRPr="00AA096E">
        <w:rPr>
          <w:rFonts w:cs="David" w:hint="cs"/>
          <w:b/>
          <w:bCs/>
          <w:rtl/>
        </w:rPr>
        <w:t>חופש הביטוי הצדקות וסייגים</w:t>
      </w:r>
      <w:r w:rsidRPr="00AA096E">
        <w:rPr>
          <w:rFonts w:cs="David" w:hint="cs"/>
          <w:rtl/>
        </w:rPr>
        <w:t xml:space="preserve">, עמ' </w:t>
      </w:r>
      <w:r>
        <w:rPr>
          <w:rFonts w:cs="David" w:hint="cs"/>
          <w:rtl/>
        </w:rPr>
        <w:t>438, (</w:t>
      </w:r>
      <w:r w:rsidRPr="00AA096E">
        <w:rPr>
          <w:rFonts w:cs="David" w:hint="cs"/>
          <w:rtl/>
        </w:rPr>
        <w:t>2008)</w:t>
      </w:r>
      <w:r>
        <w:rPr>
          <w:rFonts w:hint="cs"/>
          <w:rtl/>
        </w:rPr>
        <w:t>.</w:t>
      </w:r>
    </w:p>
  </w:footnote>
  <w:footnote w:id="160">
    <w:p w:rsidR="0014770C" w:rsidRDefault="0014770C" w:rsidP="00C80269">
      <w:pPr>
        <w:pStyle w:val="a3"/>
      </w:pPr>
      <w:r>
        <w:rPr>
          <w:rStyle w:val="a5"/>
        </w:rPr>
        <w:footnoteRef/>
      </w:r>
      <w:r>
        <w:rPr>
          <w:rtl/>
        </w:rPr>
        <w:t xml:space="preserve"> </w:t>
      </w:r>
      <w:r w:rsidRPr="00F362DB">
        <w:rPr>
          <w:rFonts w:cs="David" w:hint="cs"/>
          <w:rtl/>
        </w:rPr>
        <w:t>שם, עמ' 440-438.</w:t>
      </w:r>
    </w:p>
  </w:footnote>
  <w:footnote w:id="161">
    <w:p w:rsidR="0014770C" w:rsidRDefault="0014770C" w:rsidP="00C80269">
      <w:pPr>
        <w:pStyle w:val="a3"/>
        <w:rPr>
          <w:rtl/>
        </w:rPr>
      </w:pPr>
      <w:r>
        <w:rPr>
          <w:rStyle w:val="a5"/>
        </w:rPr>
        <w:footnoteRef/>
      </w:r>
      <w:r>
        <w:rPr>
          <w:rtl/>
        </w:rPr>
        <w:t xml:space="preserve"> </w:t>
      </w:r>
      <w:r w:rsidRPr="001D4092">
        <w:rPr>
          <w:rFonts w:cs="David" w:hint="cs"/>
          <w:rtl/>
        </w:rPr>
        <w:t>שם, עמ' 442-440.</w:t>
      </w:r>
    </w:p>
  </w:footnote>
  <w:footnote w:id="162">
    <w:p w:rsidR="0014770C" w:rsidRPr="00CB38B6" w:rsidRDefault="0014770C" w:rsidP="00C80269">
      <w:pPr>
        <w:pStyle w:val="a3"/>
        <w:rPr>
          <w:rFonts w:cs="David"/>
        </w:rPr>
      </w:pPr>
      <w:r w:rsidRPr="00CB38B6">
        <w:rPr>
          <w:rStyle w:val="a5"/>
          <w:rFonts w:cs="David"/>
        </w:rPr>
        <w:footnoteRef/>
      </w:r>
      <w:r w:rsidRPr="00CB38B6">
        <w:rPr>
          <w:rFonts w:cs="David"/>
          <w:rtl/>
        </w:rPr>
        <w:t xml:space="preserve"> </w:t>
      </w:r>
      <w:r w:rsidRPr="00CB38B6">
        <w:rPr>
          <w:rFonts w:cs="David" w:hint="cs"/>
          <w:rtl/>
        </w:rPr>
        <w:t>למשל, מחקר המצביע על הבדלים בין קבוצות אוכלוסייה בכל הנוגע לרמות משכל</w:t>
      </w:r>
      <w:r>
        <w:rPr>
          <w:rFonts w:cs="David" w:hint="cs"/>
          <w:rtl/>
        </w:rPr>
        <w:t>, או למידת שכיחות השתתפותם בפעילות עבריינית.</w:t>
      </w:r>
    </w:p>
  </w:footnote>
  <w:footnote w:id="163">
    <w:p w:rsidR="0014770C" w:rsidRDefault="0014770C" w:rsidP="00C80269">
      <w:pPr>
        <w:pStyle w:val="a3"/>
        <w:rPr>
          <w:rtl/>
        </w:rPr>
      </w:pPr>
      <w:r>
        <w:rPr>
          <w:rStyle w:val="a5"/>
        </w:rPr>
        <w:footnoteRef/>
      </w:r>
      <w:r>
        <w:rPr>
          <w:rtl/>
        </w:rPr>
        <w:t xml:space="preserve"> </w:t>
      </w:r>
      <w:r w:rsidRPr="00803724">
        <w:rPr>
          <w:rFonts w:cs="David" w:hint="cs"/>
          <w:rtl/>
        </w:rPr>
        <w:t>שם, עמ' 148.</w:t>
      </w:r>
    </w:p>
  </w:footnote>
  <w:footnote w:id="164">
    <w:p w:rsidR="0014770C" w:rsidRDefault="0014770C" w:rsidP="00480B62">
      <w:pPr>
        <w:pStyle w:val="a3"/>
        <w:rPr>
          <w:rtl/>
        </w:rPr>
      </w:pPr>
      <w:r>
        <w:rPr>
          <w:rStyle w:val="a5"/>
        </w:rPr>
        <w:footnoteRef/>
      </w:r>
      <w:r>
        <w:rPr>
          <w:rtl/>
        </w:rPr>
        <w:t xml:space="preserve"> </w:t>
      </w:r>
      <w:r w:rsidRPr="00AA096E">
        <w:rPr>
          <w:rFonts w:cs="David" w:hint="cs"/>
          <w:rtl/>
        </w:rPr>
        <w:t xml:space="preserve">שגב ראם, </w:t>
      </w:r>
      <w:r w:rsidRPr="00AA096E">
        <w:rPr>
          <w:rFonts w:cs="David" w:hint="cs"/>
          <w:b/>
          <w:bCs/>
          <w:rtl/>
        </w:rPr>
        <w:t>חופש הביטוי הצדקות וסייגים</w:t>
      </w:r>
      <w:r w:rsidRPr="00AA096E">
        <w:rPr>
          <w:rFonts w:cs="David" w:hint="cs"/>
          <w:rtl/>
        </w:rPr>
        <w:t xml:space="preserve">, עמ' </w:t>
      </w:r>
      <w:r>
        <w:rPr>
          <w:rFonts w:cs="David" w:hint="cs"/>
          <w:rtl/>
        </w:rPr>
        <w:t>412, (</w:t>
      </w:r>
      <w:r w:rsidRPr="00AA096E">
        <w:rPr>
          <w:rFonts w:cs="David" w:hint="cs"/>
          <w:rtl/>
        </w:rPr>
        <w:t>2008)</w:t>
      </w:r>
      <w:r>
        <w:rPr>
          <w:rFonts w:hint="cs"/>
          <w:rtl/>
        </w:rPr>
        <w:t>.</w:t>
      </w:r>
    </w:p>
  </w:footnote>
  <w:footnote w:id="165">
    <w:p w:rsidR="0014770C" w:rsidRDefault="0014770C">
      <w:pPr>
        <w:pStyle w:val="a3"/>
        <w:rPr>
          <w:rtl/>
        </w:rPr>
      </w:pPr>
      <w:r>
        <w:rPr>
          <w:rStyle w:val="a5"/>
        </w:rPr>
        <w:footnoteRef/>
      </w:r>
      <w:r>
        <w:rPr>
          <w:rFonts w:hint="cs"/>
          <w:rtl/>
        </w:rPr>
        <w:t xml:space="preserve"> </w:t>
      </w:r>
      <w:r w:rsidRPr="00D76449">
        <w:rPr>
          <w:rFonts w:cs="David" w:hint="cs"/>
          <w:rtl/>
        </w:rPr>
        <w:t>שם, עמ' 413.</w:t>
      </w:r>
      <w:r>
        <w:rPr>
          <w:rtl/>
        </w:rPr>
        <w:t xml:space="preserve"> </w:t>
      </w:r>
    </w:p>
  </w:footnote>
  <w:footnote w:id="166">
    <w:p w:rsidR="0014770C" w:rsidRPr="002B0F93" w:rsidRDefault="0014770C" w:rsidP="00C80269">
      <w:pPr>
        <w:pStyle w:val="a3"/>
        <w:rPr>
          <w:rFonts w:cs="David"/>
        </w:rPr>
      </w:pPr>
      <w:r w:rsidRPr="002B0F93">
        <w:rPr>
          <w:rStyle w:val="a5"/>
          <w:rFonts w:cs="David"/>
        </w:rPr>
        <w:footnoteRef/>
      </w:r>
      <w:r w:rsidRPr="002B0F93">
        <w:rPr>
          <w:rFonts w:cs="David"/>
          <w:rtl/>
        </w:rPr>
        <w:t xml:space="preserve"> </w:t>
      </w:r>
      <w:r w:rsidRPr="002B0F93">
        <w:rPr>
          <w:rFonts w:cs="David" w:hint="cs"/>
          <w:rtl/>
        </w:rPr>
        <w:t>שם.</w:t>
      </w:r>
    </w:p>
  </w:footnote>
  <w:footnote w:id="167">
    <w:p w:rsidR="0014770C" w:rsidRDefault="0014770C" w:rsidP="00C80269">
      <w:pPr>
        <w:pStyle w:val="a3"/>
        <w:rPr>
          <w:rtl/>
        </w:rPr>
      </w:pPr>
      <w:r>
        <w:rPr>
          <w:rStyle w:val="a5"/>
        </w:rPr>
        <w:footnoteRef/>
      </w:r>
      <w:r>
        <w:rPr>
          <w:rtl/>
        </w:rPr>
        <w:t xml:space="preserve"> </w:t>
      </w:r>
      <w:r w:rsidRPr="002B0F93">
        <w:rPr>
          <w:rFonts w:cs="David" w:hint="cs"/>
          <w:rtl/>
        </w:rPr>
        <w:t>שם, עמ' 414.</w:t>
      </w:r>
    </w:p>
  </w:footnote>
  <w:footnote w:id="168">
    <w:p w:rsidR="0014770C" w:rsidRDefault="0014770C" w:rsidP="00C80269">
      <w:pPr>
        <w:pStyle w:val="a3"/>
        <w:rPr>
          <w:rtl/>
        </w:rPr>
      </w:pPr>
      <w:r>
        <w:rPr>
          <w:rStyle w:val="a5"/>
        </w:rPr>
        <w:footnoteRef/>
      </w:r>
      <w:r w:rsidRPr="002B0F93">
        <w:rPr>
          <w:rFonts w:cs="David"/>
          <w:rtl/>
        </w:rPr>
        <w:t xml:space="preserve"> </w:t>
      </w:r>
      <w:r w:rsidRPr="002B0F93">
        <w:rPr>
          <w:rFonts w:cs="David" w:hint="cs"/>
          <w:rtl/>
        </w:rPr>
        <w:t>שם, עמ' 415.</w:t>
      </w:r>
    </w:p>
  </w:footnote>
  <w:footnote w:id="169">
    <w:p w:rsidR="0014770C" w:rsidRPr="00AC7367" w:rsidRDefault="0014770C" w:rsidP="00A92459">
      <w:pPr>
        <w:pStyle w:val="a3"/>
        <w:jc w:val="both"/>
        <w:rPr>
          <w:rFonts w:cs="David"/>
          <w:rtl/>
        </w:rPr>
      </w:pPr>
      <w:r w:rsidRPr="00AC7367">
        <w:rPr>
          <w:rStyle w:val="a5"/>
          <w:rFonts w:cs="David"/>
        </w:rPr>
        <w:footnoteRef/>
      </w:r>
      <w:r w:rsidRPr="00AC7367">
        <w:rPr>
          <w:rFonts w:cs="David"/>
          <w:rtl/>
        </w:rPr>
        <w:t xml:space="preserve"> </w:t>
      </w:r>
      <w:r w:rsidRPr="00AA096E">
        <w:rPr>
          <w:rFonts w:cs="David" w:hint="cs"/>
          <w:rtl/>
        </w:rPr>
        <w:t xml:space="preserve">שגב ראם, </w:t>
      </w:r>
      <w:r w:rsidRPr="00AA096E">
        <w:rPr>
          <w:rFonts w:cs="David" w:hint="cs"/>
          <w:b/>
          <w:bCs/>
          <w:rtl/>
        </w:rPr>
        <w:t>חופש הביטוי הצדקות וסייגים</w:t>
      </w:r>
      <w:r w:rsidRPr="00AC7367">
        <w:rPr>
          <w:rFonts w:cs="David" w:hint="cs"/>
          <w:rtl/>
        </w:rPr>
        <w:t>, עמ' 393</w:t>
      </w:r>
      <w:r>
        <w:rPr>
          <w:rFonts w:cs="David" w:hint="cs"/>
          <w:rtl/>
        </w:rPr>
        <w:t>, (2008)</w:t>
      </w:r>
    </w:p>
  </w:footnote>
  <w:footnote w:id="170">
    <w:p w:rsidR="0014770C" w:rsidRDefault="0014770C" w:rsidP="00A92459">
      <w:pPr>
        <w:pStyle w:val="a3"/>
        <w:jc w:val="both"/>
        <w:rPr>
          <w:rtl/>
        </w:rPr>
      </w:pPr>
      <w:r w:rsidRPr="00B9768E">
        <w:rPr>
          <w:rStyle w:val="a5"/>
          <w:rFonts w:cs="David"/>
        </w:rPr>
        <w:footnoteRef/>
      </w:r>
      <w:r w:rsidRPr="00B9768E">
        <w:rPr>
          <w:rFonts w:cs="David"/>
          <w:rtl/>
        </w:rPr>
        <w:t xml:space="preserve"> </w:t>
      </w:r>
      <w:r w:rsidRPr="00B9768E">
        <w:rPr>
          <w:rFonts w:cs="David" w:hint="cs"/>
          <w:rtl/>
        </w:rPr>
        <w:t>שם</w:t>
      </w:r>
      <w:r>
        <w:rPr>
          <w:rFonts w:hint="cs"/>
          <w:rtl/>
        </w:rPr>
        <w:t>.</w:t>
      </w:r>
    </w:p>
  </w:footnote>
  <w:footnote w:id="171">
    <w:p w:rsidR="0014770C" w:rsidRDefault="0014770C" w:rsidP="00A92459">
      <w:pPr>
        <w:pStyle w:val="a3"/>
        <w:jc w:val="both"/>
      </w:pPr>
      <w:r w:rsidRPr="00AC7367">
        <w:rPr>
          <w:rStyle w:val="a5"/>
          <w:rFonts w:cs="David"/>
        </w:rPr>
        <w:footnoteRef/>
      </w:r>
      <w:r w:rsidRPr="00AC7367">
        <w:rPr>
          <w:rFonts w:cs="David"/>
          <w:rtl/>
        </w:rPr>
        <w:t xml:space="preserve"> </w:t>
      </w:r>
      <w:r w:rsidRPr="00AC7367">
        <w:rPr>
          <w:rFonts w:cs="David" w:hint="cs"/>
          <w:rtl/>
        </w:rPr>
        <w:t>ראה לדוגמא הגבלות על פרסום סקרי בחירות גם על המרשתת והחלטת מועצת העיתונות להחיל את תקנון האתיקה המקצועית שלה על עיתונים מקוונים.</w:t>
      </w:r>
    </w:p>
  </w:footnote>
  <w:footnote w:id="172">
    <w:p w:rsidR="0014770C" w:rsidRPr="00FE145E" w:rsidRDefault="0014770C" w:rsidP="00A92459">
      <w:pPr>
        <w:pStyle w:val="a3"/>
        <w:jc w:val="both"/>
        <w:rPr>
          <w:rFonts w:cs="David"/>
        </w:rPr>
      </w:pPr>
      <w:r w:rsidRPr="00FE145E">
        <w:rPr>
          <w:rStyle w:val="a5"/>
          <w:rFonts w:cs="David"/>
        </w:rPr>
        <w:footnoteRef/>
      </w:r>
      <w:r w:rsidRPr="00FE145E">
        <w:rPr>
          <w:rFonts w:cs="David"/>
          <w:rtl/>
        </w:rPr>
        <w:t xml:space="preserve"> </w:t>
      </w:r>
      <w:r w:rsidRPr="00FE145E">
        <w:rPr>
          <w:rFonts w:cs="David" w:hint="cs"/>
          <w:rtl/>
        </w:rPr>
        <w:t xml:space="preserve">נגבי עירית, </w:t>
      </w:r>
      <w:r w:rsidRPr="00FE145E">
        <w:rPr>
          <w:rFonts w:cs="David" w:hint="cs"/>
          <w:b/>
          <w:bCs/>
          <w:rtl/>
        </w:rPr>
        <w:t>המרשתת, מיזוגניה וחופש הביטוי</w:t>
      </w:r>
      <w:r w:rsidRPr="00FE145E">
        <w:rPr>
          <w:rFonts w:cs="David" w:hint="cs"/>
          <w:rtl/>
        </w:rPr>
        <w:t>, עמ' 527, (2013)</w:t>
      </w:r>
    </w:p>
  </w:footnote>
  <w:footnote w:id="173">
    <w:p w:rsidR="0014770C" w:rsidRPr="00FE145E" w:rsidRDefault="0014770C" w:rsidP="00A92459">
      <w:pPr>
        <w:pStyle w:val="a3"/>
        <w:jc w:val="both"/>
        <w:rPr>
          <w:rFonts w:cs="David"/>
          <w:rtl/>
        </w:rPr>
      </w:pPr>
      <w:r w:rsidRPr="00FE145E">
        <w:rPr>
          <w:rStyle w:val="a5"/>
          <w:rFonts w:cs="David"/>
        </w:rPr>
        <w:footnoteRef/>
      </w:r>
      <w:r w:rsidRPr="00FE145E">
        <w:rPr>
          <w:rFonts w:cs="David"/>
          <w:rtl/>
        </w:rPr>
        <w:t xml:space="preserve"> </w:t>
      </w:r>
      <w:r w:rsidRPr="00FE145E">
        <w:rPr>
          <w:rFonts w:cs="David" w:hint="cs"/>
          <w:rtl/>
        </w:rPr>
        <w:t>לדוגמא, ראו הערת שוליים 74.</w:t>
      </w:r>
    </w:p>
  </w:footnote>
  <w:footnote w:id="174">
    <w:p w:rsidR="0014770C" w:rsidRPr="00FE145E" w:rsidRDefault="0014770C" w:rsidP="004B1862">
      <w:pPr>
        <w:pStyle w:val="a3"/>
        <w:jc w:val="both"/>
        <w:rPr>
          <w:rFonts w:cs="David"/>
          <w:rtl/>
        </w:rPr>
      </w:pPr>
      <w:r w:rsidRPr="00FE145E">
        <w:rPr>
          <w:rStyle w:val="a5"/>
          <w:rFonts w:cs="David"/>
        </w:rPr>
        <w:footnoteRef/>
      </w:r>
      <w:r w:rsidRPr="00FE145E">
        <w:rPr>
          <w:rFonts w:cs="David"/>
          <w:rtl/>
        </w:rPr>
        <w:t xml:space="preserve"> </w:t>
      </w:r>
      <w:r w:rsidRPr="00FE145E">
        <w:rPr>
          <w:rFonts w:cs="David" w:hint="cs"/>
          <w:rtl/>
        </w:rPr>
        <w:t xml:space="preserve">שגב ראם, </w:t>
      </w:r>
      <w:r w:rsidRPr="00FE145E">
        <w:rPr>
          <w:rFonts w:cs="David" w:hint="cs"/>
          <w:b/>
          <w:bCs/>
          <w:rtl/>
        </w:rPr>
        <w:t>חופש הביטוי הצדקות וסייגים</w:t>
      </w:r>
      <w:r w:rsidRPr="00FE145E">
        <w:rPr>
          <w:rFonts w:cs="David" w:hint="cs"/>
          <w:rtl/>
        </w:rPr>
        <w:t>, עמ' 395, (2008).</w:t>
      </w:r>
    </w:p>
  </w:footnote>
  <w:footnote w:id="175">
    <w:p w:rsidR="0014770C" w:rsidRDefault="0014770C" w:rsidP="004B1862">
      <w:pPr>
        <w:pStyle w:val="a3"/>
        <w:rPr>
          <w:rtl/>
        </w:rPr>
      </w:pPr>
      <w:r>
        <w:rPr>
          <w:rStyle w:val="a5"/>
        </w:rPr>
        <w:footnoteRef/>
      </w:r>
      <w:r>
        <w:rPr>
          <w:rtl/>
        </w:rPr>
        <w:t xml:space="preserve"> </w:t>
      </w:r>
      <w:r w:rsidRPr="006157B2">
        <w:rPr>
          <w:rFonts w:cs="David" w:hint="cs"/>
          <w:rtl/>
        </w:rPr>
        <w:t xml:space="preserve">נגבי עירית, </w:t>
      </w:r>
      <w:r w:rsidRPr="006157B2">
        <w:rPr>
          <w:rFonts w:cs="David" w:hint="cs"/>
          <w:b/>
          <w:bCs/>
          <w:rtl/>
        </w:rPr>
        <w:t>המרשתת, מיזוגניה וחופש הביטוי</w:t>
      </w:r>
      <w:r w:rsidRPr="006157B2">
        <w:rPr>
          <w:rFonts w:cs="David" w:hint="cs"/>
          <w:rtl/>
        </w:rPr>
        <w:t>,</w:t>
      </w:r>
      <w:r>
        <w:rPr>
          <w:rFonts w:cs="David" w:hint="cs"/>
          <w:rtl/>
        </w:rPr>
        <w:t xml:space="preserve"> עמ' 537 (2013).</w:t>
      </w:r>
    </w:p>
  </w:footnote>
  <w:footnote w:id="176">
    <w:p w:rsidR="0014770C" w:rsidRDefault="0014770C" w:rsidP="004B1862">
      <w:pPr>
        <w:pStyle w:val="a3"/>
        <w:jc w:val="both"/>
        <w:rPr>
          <w:rtl/>
        </w:rPr>
      </w:pPr>
      <w:r w:rsidRPr="006157B2">
        <w:rPr>
          <w:rStyle w:val="a5"/>
          <w:rFonts w:cs="David"/>
        </w:rPr>
        <w:footnoteRef/>
      </w:r>
      <w:r w:rsidRPr="006157B2">
        <w:rPr>
          <w:rFonts w:cs="David"/>
          <w:rtl/>
        </w:rPr>
        <w:t xml:space="preserve"> </w:t>
      </w:r>
      <w:r>
        <w:rPr>
          <w:rFonts w:cs="David" w:hint="cs"/>
          <w:rtl/>
        </w:rPr>
        <w:t>שם.</w:t>
      </w:r>
    </w:p>
  </w:footnote>
  <w:footnote w:id="177">
    <w:p w:rsidR="0014770C" w:rsidRPr="00D63E16" w:rsidRDefault="0014770C" w:rsidP="004B1862">
      <w:pPr>
        <w:pStyle w:val="a3"/>
        <w:rPr>
          <w:rFonts w:cs="David"/>
        </w:rPr>
      </w:pPr>
      <w:r w:rsidRPr="00D63E16">
        <w:rPr>
          <w:rStyle w:val="a5"/>
          <w:rFonts w:cs="David"/>
        </w:rPr>
        <w:footnoteRef/>
      </w:r>
      <w:r w:rsidRPr="00D63E16">
        <w:rPr>
          <w:rFonts w:cs="David"/>
          <w:rtl/>
        </w:rPr>
        <w:t xml:space="preserve"> </w:t>
      </w:r>
      <w:r w:rsidRPr="00D63E16">
        <w:rPr>
          <w:rFonts w:cs="David" w:hint="cs"/>
          <w:rtl/>
        </w:rPr>
        <w:t>שם.</w:t>
      </w:r>
    </w:p>
  </w:footnote>
  <w:footnote w:id="178">
    <w:p w:rsidR="0014770C" w:rsidRPr="008136AD" w:rsidRDefault="0014770C" w:rsidP="00A92459">
      <w:pPr>
        <w:pStyle w:val="a3"/>
        <w:jc w:val="both"/>
        <w:rPr>
          <w:rFonts w:cs="David"/>
          <w:rtl/>
        </w:rPr>
      </w:pPr>
      <w:r w:rsidRPr="008136AD">
        <w:rPr>
          <w:rStyle w:val="a5"/>
          <w:rFonts w:cs="David"/>
        </w:rPr>
        <w:footnoteRef/>
      </w:r>
      <w:r w:rsidRPr="008136AD">
        <w:rPr>
          <w:rFonts w:cs="David"/>
          <w:rtl/>
        </w:rPr>
        <w:t xml:space="preserve"> </w:t>
      </w:r>
      <w:r w:rsidRPr="008136AD">
        <w:rPr>
          <w:rFonts w:cs="David" w:hint="cs"/>
          <w:rtl/>
        </w:rPr>
        <w:t>ראיון שהתקיים עם</w:t>
      </w:r>
      <w:r>
        <w:rPr>
          <w:rFonts w:cs="David" w:hint="cs"/>
          <w:rtl/>
        </w:rPr>
        <w:t xml:space="preserve"> </w:t>
      </w:r>
      <w:r w:rsidRPr="00A92459">
        <w:rPr>
          <w:rFonts w:cs="David" w:hint="cs"/>
          <w:b/>
          <w:bCs/>
          <w:rtl/>
        </w:rPr>
        <w:t>מר</w:t>
      </w:r>
      <w:r w:rsidRPr="008136AD">
        <w:rPr>
          <w:rFonts w:cs="David" w:hint="cs"/>
          <w:rtl/>
        </w:rPr>
        <w:t xml:space="preserve"> </w:t>
      </w:r>
      <w:r w:rsidRPr="00A92459">
        <w:rPr>
          <w:rFonts w:cs="David" w:hint="cs"/>
          <w:b/>
          <w:bCs/>
          <w:rtl/>
        </w:rPr>
        <w:t>שלומי אברמזון</w:t>
      </w:r>
      <w:r w:rsidRPr="008136AD">
        <w:rPr>
          <w:rFonts w:cs="David" w:hint="cs"/>
          <w:rtl/>
        </w:rPr>
        <w:t xml:space="preserve">, </w:t>
      </w:r>
      <w:r>
        <w:rPr>
          <w:rFonts w:cs="David" w:hint="cs"/>
          <w:rtl/>
        </w:rPr>
        <w:t xml:space="preserve">ראש צוות הסתה ועבירות ביטוי בפרקליטות המדינה, </w:t>
      </w:r>
      <w:r w:rsidRPr="008136AD">
        <w:rPr>
          <w:rFonts w:cs="David" w:hint="cs"/>
          <w:rtl/>
        </w:rPr>
        <w:t>בתאריך 8 ינואר 2017.</w:t>
      </w:r>
    </w:p>
  </w:footnote>
  <w:footnote w:id="179">
    <w:p w:rsidR="0014770C" w:rsidRPr="003A4496" w:rsidRDefault="0014770C" w:rsidP="00A92459">
      <w:pPr>
        <w:pStyle w:val="a3"/>
        <w:jc w:val="both"/>
        <w:rPr>
          <w:rFonts w:cs="David"/>
        </w:rPr>
      </w:pPr>
      <w:r w:rsidRPr="003A4496">
        <w:rPr>
          <w:rStyle w:val="a5"/>
          <w:rFonts w:cs="David"/>
        </w:rPr>
        <w:footnoteRef/>
      </w:r>
      <w:r w:rsidRPr="003A4496">
        <w:rPr>
          <w:rFonts w:cs="David"/>
          <w:rtl/>
        </w:rPr>
        <w:t xml:space="preserve"> </w:t>
      </w:r>
      <w:r w:rsidRPr="006157B2">
        <w:rPr>
          <w:rFonts w:cs="David" w:hint="cs"/>
          <w:rtl/>
        </w:rPr>
        <w:t xml:space="preserve">נגבי עירית, </w:t>
      </w:r>
      <w:r w:rsidRPr="006157B2">
        <w:rPr>
          <w:rFonts w:cs="David" w:hint="cs"/>
          <w:b/>
          <w:bCs/>
          <w:rtl/>
        </w:rPr>
        <w:t>המרשתת, מיזוגניה וחופש הביטוי</w:t>
      </w:r>
      <w:r w:rsidRPr="006157B2">
        <w:rPr>
          <w:rFonts w:cs="David" w:hint="cs"/>
          <w:rtl/>
        </w:rPr>
        <w:t>, עמ' 5</w:t>
      </w:r>
      <w:r>
        <w:rPr>
          <w:rFonts w:cs="David" w:hint="cs"/>
          <w:rtl/>
        </w:rPr>
        <w:t>38, (2013).</w:t>
      </w:r>
    </w:p>
  </w:footnote>
  <w:footnote w:id="180">
    <w:p w:rsidR="0014770C" w:rsidRDefault="0014770C" w:rsidP="00A92459">
      <w:pPr>
        <w:pStyle w:val="a3"/>
        <w:jc w:val="both"/>
      </w:pPr>
      <w:r>
        <w:rPr>
          <w:rStyle w:val="a5"/>
        </w:rPr>
        <w:footnoteRef/>
      </w:r>
      <w:r>
        <w:rPr>
          <w:rtl/>
        </w:rPr>
        <w:t xml:space="preserve"> </w:t>
      </w:r>
      <w:r w:rsidRPr="00701247">
        <w:rPr>
          <w:rFonts w:cs="David" w:hint="cs"/>
          <w:rtl/>
        </w:rPr>
        <w:t xml:space="preserve">בירנהק מיכאל, </w:t>
      </w:r>
      <w:r w:rsidRPr="00701247">
        <w:rPr>
          <w:rFonts w:cs="David" w:hint="cs"/>
          <w:b/>
          <w:bCs/>
          <w:rtl/>
        </w:rPr>
        <w:t>חורים ברשת: פורנוגרפיה, מידע ועיצוב מדיניות בסביבה הדיגיטלית</w:t>
      </w:r>
      <w:r>
        <w:rPr>
          <w:rFonts w:cs="David" w:hint="cs"/>
          <w:rtl/>
        </w:rPr>
        <w:t>, עמ' 103-102, (2005).</w:t>
      </w:r>
    </w:p>
  </w:footnote>
  <w:footnote w:id="181">
    <w:p w:rsidR="0014770C" w:rsidRPr="005E546C" w:rsidRDefault="0014770C" w:rsidP="00C80269">
      <w:pPr>
        <w:pStyle w:val="a3"/>
        <w:rPr>
          <w:rFonts w:cs="David"/>
          <w:rtl/>
        </w:rPr>
      </w:pPr>
      <w:r>
        <w:rPr>
          <w:rStyle w:val="a5"/>
        </w:rPr>
        <w:footnoteRef/>
      </w:r>
      <w:r>
        <w:rPr>
          <w:rtl/>
        </w:rPr>
        <w:t xml:space="preserve"> </w:t>
      </w:r>
      <w:r w:rsidRPr="005E546C">
        <w:rPr>
          <w:rFonts w:cs="David" w:hint="cs"/>
          <w:rtl/>
        </w:rPr>
        <w:t xml:space="preserve">אגמון-גונן מיכל, </w:t>
      </w:r>
      <w:r w:rsidRPr="005E546C">
        <w:rPr>
          <w:rFonts w:cs="David" w:hint="cs"/>
          <w:b/>
          <w:bCs/>
          <w:rtl/>
        </w:rPr>
        <w:t>האינטרנט כעיר מקלט?! הסדרה משפטית לאור אפשרויות העקיפה הטכנולוגיות וגלובליות הרשת</w:t>
      </w:r>
      <w:r w:rsidRPr="005E546C">
        <w:rPr>
          <w:rFonts w:cs="David" w:hint="cs"/>
          <w:rtl/>
        </w:rPr>
        <w:t xml:space="preserve">, עמ' </w:t>
      </w:r>
      <w:r>
        <w:rPr>
          <w:rFonts w:cs="David" w:hint="cs"/>
          <w:rtl/>
        </w:rPr>
        <w:t>244-207</w:t>
      </w:r>
      <w:r w:rsidRPr="005E546C">
        <w:rPr>
          <w:rFonts w:cs="David" w:hint="cs"/>
          <w:rtl/>
        </w:rPr>
        <w:t xml:space="preserve"> (2011)</w:t>
      </w:r>
    </w:p>
    <w:p w:rsidR="0014770C" w:rsidRDefault="0014770C" w:rsidP="00C80269">
      <w:pPr>
        <w:pStyle w:val="a3"/>
        <w:rPr>
          <w:rtl/>
        </w:rPr>
      </w:pPr>
    </w:p>
  </w:footnote>
  <w:footnote w:id="182">
    <w:p w:rsidR="0014770C" w:rsidRPr="00665E91" w:rsidRDefault="0014770C" w:rsidP="00C80269">
      <w:pPr>
        <w:pStyle w:val="a3"/>
        <w:rPr>
          <w:rFonts w:cs="David"/>
        </w:rPr>
      </w:pPr>
      <w:r w:rsidRPr="00665E91">
        <w:rPr>
          <w:rStyle w:val="a5"/>
          <w:rFonts w:cs="David"/>
        </w:rPr>
        <w:footnoteRef/>
      </w:r>
      <w:r w:rsidRPr="00665E91">
        <w:rPr>
          <w:rFonts w:cs="David"/>
          <w:rtl/>
        </w:rPr>
        <w:t xml:space="preserve"> </w:t>
      </w:r>
      <w:r w:rsidRPr="00665E91">
        <w:rPr>
          <w:rFonts w:cs="David" w:hint="cs"/>
          <w:rtl/>
        </w:rPr>
        <w:t>שם, עמ' 214.</w:t>
      </w:r>
    </w:p>
  </w:footnote>
  <w:footnote w:id="183">
    <w:p w:rsidR="0014770C" w:rsidRPr="00665E91" w:rsidRDefault="0014770C" w:rsidP="00C80269">
      <w:pPr>
        <w:pStyle w:val="a3"/>
        <w:rPr>
          <w:rFonts w:cs="David"/>
          <w:rtl/>
        </w:rPr>
      </w:pPr>
      <w:r w:rsidRPr="00665E91">
        <w:rPr>
          <w:rStyle w:val="a5"/>
          <w:rFonts w:cs="David"/>
        </w:rPr>
        <w:footnoteRef/>
      </w:r>
      <w:r w:rsidRPr="00665E91">
        <w:rPr>
          <w:rFonts w:cs="David"/>
          <w:rtl/>
        </w:rPr>
        <w:t xml:space="preserve"> </w:t>
      </w:r>
      <w:r w:rsidRPr="00665E91">
        <w:rPr>
          <w:rFonts w:cs="David" w:hint="cs"/>
          <w:rtl/>
        </w:rPr>
        <w:t>שם, עמ' 217.</w:t>
      </w:r>
    </w:p>
  </w:footnote>
  <w:footnote w:id="184">
    <w:p w:rsidR="0014770C" w:rsidRPr="00665E91" w:rsidRDefault="0014770C" w:rsidP="00C80269">
      <w:pPr>
        <w:pStyle w:val="a3"/>
        <w:rPr>
          <w:rFonts w:cs="David"/>
        </w:rPr>
      </w:pPr>
      <w:r w:rsidRPr="00665E91">
        <w:rPr>
          <w:rStyle w:val="a5"/>
          <w:rFonts w:cs="David"/>
        </w:rPr>
        <w:footnoteRef/>
      </w:r>
      <w:r w:rsidRPr="00665E91">
        <w:rPr>
          <w:rFonts w:cs="David"/>
          <w:rtl/>
        </w:rPr>
        <w:t xml:space="preserve"> </w:t>
      </w:r>
      <w:r w:rsidRPr="00665E91">
        <w:rPr>
          <w:rFonts w:cs="David" w:hint="cs"/>
          <w:rtl/>
        </w:rPr>
        <w:t>שם.</w:t>
      </w:r>
    </w:p>
  </w:footnote>
  <w:footnote w:id="185">
    <w:p w:rsidR="0014770C" w:rsidRPr="00665E91" w:rsidRDefault="0014770C" w:rsidP="00C80269">
      <w:pPr>
        <w:pStyle w:val="a3"/>
        <w:rPr>
          <w:rFonts w:cs="David"/>
          <w:rtl/>
        </w:rPr>
      </w:pPr>
      <w:r w:rsidRPr="00665E91">
        <w:rPr>
          <w:rStyle w:val="a5"/>
          <w:rFonts w:cs="David"/>
        </w:rPr>
        <w:footnoteRef/>
      </w:r>
      <w:r w:rsidRPr="00665E91">
        <w:rPr>
          <w:rFonts w:cs="David"/>
          <w:rtl/>
        </w:rPr>
        <w:t xml:space="preserve"> </w:t>
      </w:r>
      <w:r w:rsidRPr="00665E91">
        <w:rPr>
          <w:rFonts w:cs="David" w:hint="cs"/>
          <w:rtl/>
        </w:rPr>
        <w:t>שם, 218.</w:t>
      </w:r>
    </w:p>
  </w:footnote>
  <w:footnote w:id="186">
    <w:p w:rsidR="0014770C" w:rsidRDefault="0014770C" w:rsidP="00C80269">
      <w:pPr>
        <w:pStyle w:val="a3"/>
        <w:jc w:val="both"/>
      </w:pPr>
      <w:r>
        <w:rPr>
          <w:rStyle w:val="a5"/>
        </w:rPr>
        <w:footnoteRef/>
      </w:r>
      <w:r>
        <w:rPr>
          <w:rtl/>
        </w:rPr>
        <w:t xml:space="preserve"> </w:t>
      </w:r>
      <w:r w:rsidRPr="005E546C">
        <w:rPr>
          <w:rFonts w:cs="David" w:hint="cs"/>
          <w:rtl/>
        </w:rPr>
        <w:t xml:space="preserve">אגמון-גונן מיכל, </w:t>
      </w:r>
      <w:r w:rsidRPr="005E546C">
        <w:rPr>
          <w:rFonts w:cs="David" w:hint="cs"/>
          <w:b/>
          <w:bCs/>
          <w:rtl/>
        </w:rPr>
        <w:t>האינטרנט כעיר מקלט?! הסדרה משפטית לאור אפשרויות העקיפה הטכנולוגיות וגלובליות הרשת</w:t>
      </w:r>
      <w:r w:rsidRPr="005E546C">
        <w:rPr>
          <w:rFonts w:cs="David" w:hint="cs"/>
          <w:rtl/>
        </w:rPr>
        <w:t xml:space="preserve">, עמ' </w:t>
      </w:r>
      <w:r>
        <w:rPr>
          <w:rFonts w:cs="David" w:hint="cs"/>
          <w:rtl/>
        </w:rPr>
        <w:t xml:space="preserve">219 </w:t>
      </w:r>
      <w:r w:rsidRPr="005E546C">
        <w:rPr>
          <w:rFonts w:cs="David" w:hint="cs"/>
          <w:rtl/>
        </w:rPr>
        <w:t>(2011)</w:t>
      </w:r>
      <w:r>
        <w:rPr>
          <w:rFonts w:cs="David" w:hint="cs"/>
          <w:rtl/>
        </w:rPr>
        <w:t>.</w:t>
      </w:r>
    </w:p>
  </w:footnote>
  <w:footnote w:id="187">
    <w:p w:rsidR="0014770C" w:rsidRDefault="0014770C" w:rsidP="00C80269">
      <w:pPr>
        <w:pStyle w:val="a3"/>
        <w:jc w:val="both"/>
        <w:rPr>
          <w:rtl/>
        </w:rPr>
      </w:pPr>
      <w:r>
        <w:rPr>
          <w:rStyle w:val="a5"/>
        </w:rPr>
        <w:footnoteRef/>
      </w:r>
      <w:r>
        <w:rPr>
          <w:rtl/>
        </w:rPr>
        <w:t xml:space="preserve"> </w:t>
      </w:r>
      <w:r w:rsidRPr="004C168A">
        <w:rPr>
          <w:rFonts w:cs="David" w:hint="cs"/>
          <w:rtl/>
        </w:rPr>
        <w:t xml:space="preserve">קרניאל יובל ושניר עידן, </w:t>
      </w:r>
      <w:r w:rsidRPr="004C168A">
        <w:rPr>
          <w:rFonts w:cs="David" w:hint="cs"/>
          <w:b/>
          <w:bCs/>
          <w:rtl/>
        </w:rPr>
        <w:t>חוק חופש המידע והאינטרנט, האם הגיעה העת לשינוי חקיקתי?</w:t>
      </w:r>
      <w:r w:rsidRPr="004C168A">
        <w:rPr>
          <w:rFonts w:cs="David" w:hint="cs"/>
          <w:rtl/>
        </w:rPr>
        <w:t xml:space="preserve">, עמ' </w:t>
      </w:r>
      <w:r>
        <w:rPr>
          <w:rFonts w:cs="David" w:hint="cs"/>
          <w:rtl/>
        </w:rPr>
        <w:t>327-322</w:t>
      </w:r>
      <w:r w:rsidRPr="004C168A">
        <w:rPr>
          <w:rFonts w:cs="David" w:hint="cs"/>
          <w:rtl/>
        </w:rPr>
        <w:t>, (2009).</w:t>
      </w:r>
    </w:p>
  </w:footnote>
  <w:footnote w:id="188">
    <w:p w:rsidR="0014770C" w:rsidRDefault="0014770C" w:rsidP="00C80269">
      <w:pPr>
        <w:pStyle w:val="a3"/>
        <w:jc w:val="both"/>
      </w:pPr>
      <w:r>
        <w:rPr>
          <w:rStyle w:val="a5"/>
        </w:rPr>
        <w:footnoteRef/>
      </w:r>
      <w:r>
        <w:rPr>
          <w:rtl/>
        </w:rPr>
        <w:t xml:space="preserve"> </w:t>
      </w:r>
      <w:r w:rsidRPr="005E546C">
        <w:rPr>
          <w:rFonts w:cs="David" w:hint="cs"/>
          <w:rtl/>
        </w:rPr>
        <w:t xml:space="preserve">אגמון-גונן מיכל, </w:t>
      </w:r>
      <w:r w:rsidRPr="005E546C">
        <w:rPr>
          <w:rFonts w:cs="David" w:hint="cs"/>
          <w:b/>
          <w:bCs/>
          <w:rtl/>
        </w:rPr>
        <w:t>האינטרנט כעיר מקלט?! הסדרה משפטית לאור אפשרויות העקיפה הטכנולוגיות וגלובליות הרשת</w:t>
      </w:r>
      <w:r w:rsidRPr="005E546C">
        <w:rPr>
          <w:rFonts w:cs="David" w:hint="cs"/>
          <w:rtl/>
        </w:rPr>
        <w:t xml:space="preserve">, עמ' </w:t>
      </w:r>
      <w:r>
        <w:rPr>
          <w:rFonts w:cs="David" w:hint="cs"/>
          <w:rtl/>
        </w:rPr>
        <w:t xml:space="preserve">228-221 </w:t>
      </w:r>
      <w:r w:rsidRPr="005E546C">
        <w:rPr>
          <w:rFonts w:cs="David" w:hint="cs"/>
          <w:rtl/>
        </w:rPr>
        <w:t>(2011)</w:t>
      </w:r>
      <w:r>
        <w:rPr>
          <w:rFonts w:cs="David" w:hint="cs"/>
          <w:rtl/>
        </w:rPr>
        <w:t>.</w:t>
      </w:r>
    </w:p>
  </w:footnote>
  <w:footnote w:id="189">
    <w:p w:rsidR="0014770C" w:rsidRDefault="0014770C" w:rsidP="00C80269">
      <w:pPr>
        <w:pStyle w:val="a3"/>
        <w:jc w:val="both"/>
        <w:rPr>
          <w:rtl/>
        </w:rPr>
      </w:pPr>
      <w:r>
        <w:rPr>
          <w:rStyle w:val="a5"/>
        </w:rPr>
        <w:footnoteRef/>
      </w:r>
      <w:r>
        <w:rPr>
          <w:rtl/>
        </w:rPr>
        <w:t xml:space="preserve"> </w:t>
      </w:r>
      <w:r w:rsidRPr="004C168A">
        <w:rPr>
          <w:rFonts w:cs="David" w:hint="cs"/>
          <w:rtl/>
        </w:rPr>
        <w:t xml:space="preserve">קרניאל יובל ושניר עידן, </w:t>
      </w:r>
      <w:r w:rsidRPr="004C168A">
        <w:rPr>
          <w:rFonts w:cs="David" w:hint="cs"/>
          <w:b/>
          <w:bCs/>
          <w:rtl/>
        </w:rPr>
        <w:t>חוק חופש המידע והאינטרנט, האם הגיעה העת לשינוי חקיקתי?</w:t>
      </w:r>
      <w:r w:rsidRPr="004C168A">
        <w:rPr>
          <w:rFonts w:cs="David" w:hint="cs"/>
          <w:rtl/>
        </w:rPr>
        <w:t xml:space="preserve">, עמ' </w:t>
      </w:r>
      <w:r>
        <w:rPr>
          <w:rFonts w:cs="David" w:hint="cs"/>
          <w:rtl/>
        </w:rPr>
        <w:t>322</w:t>
      </w:r>
      <w:r w:rsidRPr="004C168A">
        <w:rPr>
          <w:rFonts w:cs="David" w:hint="cs"/>
          <w:rtl/>
        </w:rPr>
        <w:t>, (2009).</w:t>
      </w:r>
    </w:p>
  </w:footnote>
  <w:footnote w:id="190">
    <w:p w:rsidR="0014770C" w:rsidRPr="00D12D11" w:rsidRDefault="0014770C" w:rsidP="00C80269">
      <w:pPr>
        <w:pStyle w:val="a3"/>
        <w:rPr>
          <w:rFonts w:cs="David"/>
          <w:rtl/>
        </w:rPr>
      </w:pPr>
      <w:r>
        <w:rPr>
          <w:rStyle w:val="a5"/>
        </w:rPr>
        <w:footnoteRef/>
      </w:r>
      <w:r>
        <w:rPr>
          <w:rtl/>
        </w:rPr>
        <w:t xml:space="preserve"> </w:t>
      </w:r>
      <w:r w:rsidRPr="00D12D11">
        <w:rPr>
          <w:rFonts w:cs="David" w:hint="cs"/>
          <w:rtl/>
        </w:rPr>
        <w:t>שם, עמ' 324.</w:t>
      </w:r>
    </w:p>
  </w:footnote>
  <w:footnote w:id="191">
    <w:p w:rsidR="0014770C" w:rsidRDefault="0014770C" w:rsidP="00C80269">
      <w:pPr>
        <w:pStyle w:val="a3"/>
      </w:pPr>
      <w:r w:rsidRPr="00D12D11">
        <w:rPr>
          <w:rStyle w:val="a5"/>
          <w:rFonts w:cs="David"/>
        </w:rPr>
        <w:footnoteRef/>
      </w:r>
      <w:r w:rsidRPr="00D12D11">
        <w:rPr>
          <w:rFonts w:cs="David"/>
          <w:rtl/>
        </w:rPr>
        <w:t xml:space="preserve"> </w:t>
      </w:r>
      <w:r w:rsidRPr="00D12D11">
        <w:rPr>
          <w:rFonts w:cs="David" w:hint="cs"/>
          <w:rtl/>
        </w:rPr>
        <w:t>שם, עמ' 324.</w:t>
      </w:r>
    </w:p>
  </w:footnote>
  <w:footnote w:id="192">
    <w:p w:rsidR="0014770C" w:rsidRDefault="0014770C" w:rsidP="00C80269">
      <w:pPr>
        <w:pStyle w:val="a3"/>
        <w:jc w:val="both"/>
      </w:pPr>
      <w:r>
        <w:rPr>
          <w:rStyle w:val="a5"/>
        </w:rPr>
        <w:footnoteRef/>
      </w:r>
      <w:r>
        <w:rPr>
          <w:rtl/>
        </w:rPr>
        <w:t xml:space="preserve"> </w:t>
      </w:r>
      <w:r w:rsidRPr="005E546C">
        <w:rPr>
          <w:rFonts w:cs="David" w:hint="cs"/>
          <w:rtl/>
        </w:rPr>
        <w:t xml:space="preserve">אגמון-גונן מיכל, </w:t>
      </w:r>
      <w:r w:rsidRPr="005E546C">
        <w:rPr>
          <w:rFonts w:cs="David" w:hint="cs"/>
          <w:b/>
          <w:bCs/>
          <w:rtl/>
        </w:rPr>
        <w:t>האינטרנט כעיר מקלט?! הסדרה משפטית לאור אפשרויות העקיפה הטכנולוגיות וגלובליות הרשת</w:t>
      </w:r>
      <w:r w:rsidRPr="005E546C">
        <w:rPr>
          <w:rFonts w:cs="David" w:hint="cs"/>
          <w:rtl/>
        </w:rPr>
        <w:t xml:space="preserve">, עמ' </w:t>
      </w:r>
      <w:r>
        <w:rPr>
          <w:rFonts w:cs="David" w:hint="cs"/>
          <w:rtl/>
        </w:rPr>
        <w:t xml:space="preserve">221, </w:t>
      </w:r>
      <w:r w:rsidRPr="005E546C">
        <w:rPr>
          <w:rFonts w:cs="David" w:hint="cs"/>
          <w:rtl/>
        </w:rPr>
        <w:t>(2011)</w:t>
      </w:r>
      <w:r>
        <w:rPr>
          <w:rFonts w:cs="David" w:hint="cs"/>
          <w:rtl/>
        </w:rPr>
        <w:t>.</w:t>
      </w:r>
    </w:p>
  </w:footnote>
  <w:footnote w:id="193">
    <w:p w:rsidR="0014770C" w:rsidRDefault="0014770C">
      <w:pPr>
        <w:pStyle w:val="a3"/>
      </w:pPr>
      <w:r>
        <w:rPr>
          <w:rStyle w:val="a5"/>
        </w:rPr>
        <w:footnoteRef/>
      </w:r>
      <w:r>
        <w:rPr>
          <w:rtl/>
        </w:rPr>
        <w:t xml:space="preserve"> </w:t>
      </w:r>
      <w:r w:rsidRPr="00DA2B39">
        <w:rPr>
          <w:rFonts w:cs="David" w:hint="cs"/>
          <w:rtl/>
        </w:rPr>
        <w:t xml:space="preserve">ראיון </w:t>
      </w:r>
      <w:r>
        <w:rPr>
          <w:rFonts w:cs="David" w:hint="cs"/>
          <w:rtl/>
        </w:rPr>
        <w:t xml:space="preserve">שהתקיים </w:t>
      </w:r>
      <w:r w:rsidRPr="00DA2B39">
        <w:rPr>
          <w:rFonts w:cs="David" w:hint="cs"/>
          <w:rtl/>
        </w:rPr>
        <w:t xml:space="preserve">עם </w:t>
      </w:r>
      <w:r w:rsidRPr="00CE7E60">
        <w:rPr>
          <w:rFonts w:cs="David" w:hint="cs"/>
          <w:b/>
          <w:bCs/>
          <w:rtl/>
        </w:rPr>
        <w:t>רפ"ק ליאת רוטנברג</w:t>
      </w:r>
      <w:r w:rsidRPr="00DA2B39">
        <w:rPr>
          <w:rFonts w:cs="David" w:hint="cs"/>
          <w:rtl/>
        </w:rPr>
        <w:t>, ראש חוליית מידע גלוי במשטרה, מתאריך 29.1.17.</w:t>
      </w:r>
    </w:p>
  </w:footnote>
  <w:footnote w:id="194">
    <w:p w:rsidR="0014770C" w:rsidRPr="00916E72" w:rsidRDefault="0014770C" w:rsidP="00C80269">
      <w:pPr>
        <w:pStyle w:val="a3"/>
        <w:jc w:val="both"/>
        <w:rPr>
          <w:rFonts w:cs="David"/>
          <w:rtl/>
        </w:rPr>
      </w:pPr>
      <w:r w:rsidRPr="00916E72">
        <w:rPr>
          <w:rStyle w:val="a5"/>
          <w:rFonts w:cs="David"/>
        </w:rPr>
        <w:footnoteRef/>
      </w:r>
      <w:r w:rsidRPr="00916E72">
        <w:rPr>
          <w:rFonts w:cs="David"/>
          <w:rtl/>
        </w:rPr>
        <w:t xml:space="preserve"> </w:t>
      </w:r>
      <w:r w:rsidRPr="00916E72">
        <w:rPr>
          <w:rFonts w:cs="David" w:hint="cs"/>
          <w:rtl/>
        </w:rPr>
        <w:t>שם, עמ' 226.</w:t>
      </w:r>
    </w:p>
  </w:footnote>
  <w:footnote w:id="195">
    <w:p w:rsidR="0014770C" w:rsidRDefault="0014770C" w:rsidP="00C80269">
      <w:pPr>
        <w:pStyle w:val="a3"/>
        <w:jc w:val="both"/>
        <w:rPr>
          <w:rtl/>
        </w:rPr>
      </w:pPr>
      <w:r w:rsidRPr="00916E72">
        <w:rPr>
          <w:rStyle w:val="a5"/>
          <w:rFonts w:cs="David"/>
        </w:rPr>
        <w:footnoteRef/>
      </w:r>
      <w:r w:rsidRPr="00916E72">
        <w:rPr>
          <w:rFonts w:cs="David"/>
          <w:rtl/>
        </w:rPr>
        <w:t xml:space="preserve"> </w:t>
      </w:r>
      <w:r w:rsidRPr="00916E72">
        <w:rPr>
          <w:rFonts w:cs="David" w:hint="cs"/>
          <w:rtl/>
        </w:rPr>
        <w:t>שם, עמ' 221.</w:t>
      </w:r>
    </w:p>
  </w:footnote>
  <w:footnote w:id="196">
    <w:p w:rsidR="0014770C" w:rsidRDefault="0014770C" w:rsidP="00C80269">
      <w:pPr>
        <w:pStyle w:val="a3"/>
        <w:rPr>
          <w:rtl/>
        </w:rPr>
      </w:pPr>
      <w:r>
        <w:rPr>
          <w:rStyle w:val="a5"/>
        </w:rPr>
        <w:footnoteRef/>
      </w:r>
      <w:r>
        <w:rPr>
          <w:rtl/>
        </w:rPr>
        <w:t xml:space="preserve"> </w:t>
      </w:r>
      <w:r w:rsidRPr="00BB2441">
        <w:rPr>
          <w:rFonts w:cs="David" w:hint="cs"/>
          <w:rtl/>
        </w:rPr>
        <w:t>שם, עמ' 243-242.</w:t>
      </w:r>
    </w:p>
  </w:footnote>
  <w:footnote w:id="197">
    <w:p w:rsidR="0014770C" w:rsidRDefault="0014770C" w:rsidP="00C80269">
      <w:pPr>
        <w:pStyle w:val="a3"/>
        <w:rPr>
          <w:rtl/>
        </w:rPr>
      </w:pPr>
      <w:r>
        <w:rPr>
          <w:rStyle w:val="a5"/>
        </w:rPr>
        <w:footnoteRef/>
      </w:r>
      <w:r>
        <w:rPr>
          <w:rtl/>
        </w:rPr>
        <w:t xml:space="preserve"> </w:t>
      </w:r>
      <w:r w:rsidRPr="00AA096E">
        <w:rPr>
          <w:rFonts w:cs="David" w:hint="cs"/>
          <w:rtl/>
        </w:rPr>
        <w:t xml:space="preserve">שגב ראם, </w:t>
      </w:r>
      <w:r w:rsidRPr="00AA096E">
        <w:rPr>
          <w:rFonts w:cs="David" w:hint="cs"/>
          <w:b/>
          <w:bCs/>
          <w:rtl/>
        </w:rPr>
        <w:t>חופש הביטוי הצדקות וסייגים</w:t>
      </w:r>
      <w:r w:rsidRPr="00AA096E">
        <w:rPr>
          <w:rFonts w:cs="David" w:hint="cs"/>
          <w:rtl/>
        </w:rPr>
        <w:t xml:space="preserve">, עמ' </w:t>
      </w:r>
      <w:r>
        <w:rPr>
          <w:rFonts w:cs="David" w:hint="cs"/>
          <w:rtl/>
        </w:rPr>
        <w:t>406, (</w:t>
      </w:r>
      <w:r w:rsidRPr="00AA096E">
        <w:rPr>
          <w:rFonts w:cs="David" w:hint="cs"/>
          <w:rtl/>
        </w:rPr>
        <w:t>2008)</w:t>
      </w:r>
      <w:r>
        <w:rPr>
          <w:rFonts w:hint="cs"/>
          <w:rtl/>
        </w:rPr>
        <w:t>.</w:t>
      </w:r>
    </w:p>
  </w:footnote>
  <w:footnote w:id="198">
    <w:p w:rsidR="0014770C" w:rsidRDefault="0014770C" w:rsidP="00C80269">
      <w:pPr>
        <w:pStyle w:val="a3"/>
        <w:rPr>
          <w:rtl/>
        </w:rPr>
      </w:pPr>
      <w:r>
        <w:rPr>
          <w:rStyle w:val="a5"/>
        </w:rPr>
        <w:footnoteRef/>
      </w:r>
      <w:r>
        <w:rPr>
          <w:rtl/>
        </w:rPr>
        <w:t xml:space="preserve"> </w:t>
      </w:r>
      <w:r w:rsidRPr="002D7666">
        <w:rPr>
          <w:rFonts w:cs="David" w:hint="cs"/>
          <w:rtl/>
        </w:rPr>
        <w:t>שם.</w:t>
      </w:r>
    </w:p>
  </w:footnote>
  <w:footnote w:id="199">
    <w:p w:rsidR="0014770C" w:rsidRPr="00DA2B39" w:rsidRDefault="0014770C" w:rsidP="00C80269">
      <w:pPr>
        <w:pStyle w:val="a3"/>
        <w:jc w:val="both"/>
        <w:rPr>
          <w:rFonts w:cs="David"/>
          <w:rtl/>
        </w:rPr>
      </w:pPr>
      <w:r>
        <w:rPr>
          <w:rStyle w:val="a5"/>
        </w:rPr>
        <w:footnoteRef/>
      </w:r>
      <w:r w:rsidRPr="00DA2B39">
        <w:rPr>
          <w:rFonts w:cs="David"/>
          <w:rtl/>
        </w:rPr>
        <w:t xml:space="preserve"> </w:t>
      </w:r>
      <w:r w:rsidRPr="00DA2B39">
        <w:rPr>
          <w:rFonts w:cs="David" w:hint="cs"/>
          <w:rtl/>
        </w:rPr>
        <w:t>שם, עמ' 407.</w:t>
      </w:r>
    </w:p>
  </w:footnote>
  <w:footnote w:id="200">
    <w:p w:rsidR="0014770C" w:rsidRPr="00DA2B39" w:rsidRDefault="0014770C" w:rsidP="00FF3FC3">
      <w:pPr>
        <w:pStyle w:val="a3"/>
        <w:jc w:val="both"/>
        <w:rPr>
          <w:rFonts w:cs="David"/>
          <w:rtl/>
        </w:rPr>
      </w:pPr>
      <w:r w:rsidRPr="00DA2B39">
        <w:rPr>
          <w:rStyle w:val="a5"/>
          <w:rFonts w:cs="David"/>
        </w:rPr>
        <w:footnoteRef/>
      </w:r>
      <w:r w:rsidRPr="00DA2B39">
        <w:rPr>
          <w:rFonts w:cs="David"/>
          <w:rtl/>
        </w:rPr>
        <w:t xml:space="preserve"> </w:t>
      </w:r>
      <w:r w:rsidRPr="00DA2B39">
        <w:rPr>
          <w:rFonts w:cs="David" w:hint="cs"/>
          <w:rtl/>
        </w:rPr>
        <w:t xml:space="preserve">ראיון </w:t>
      </w:r>
      <w:r>
        <w:rPr>
          <w:rFonts w:cs="David" w:hint="cs"/>
          <w:rtl/>
        </w:rPr>
        <w:t xml:space="preserve">שהתקיים </w:t>
      </w:r>
      <w:r w:rsidRPr="00DA2B39">
        <w:rPr>
          <w:rFonts w:cs="David" w:hint="cs"/>
          <w:rtl/>
        </w:rPr>
        <w:t xml:space="preserve">עם </w:t>
      </w:r>
      <w:r w:rsidRPr="0015055C">
        <w:rPr>
          <w:rFonts w:cs="David" w:hint="cs"/>
          <w:b/>
          <w:bCs/>
          <w:rtl/>
        </w:rPr>
        <w:t>רפ"ק ליאת רוטנברג</w:t>
      </w:r>
      <w:r w:rsidRPr="00DA2B39">
        <w:rPr>
          <w:rFonts w:cs="David" w:hint="cs"/>
          <w:rtl/>
        </w:rPr>
        <w:t>, ראש חוליית מידע גלוי במשטרה, מתאריך 29.1.17.</w:t>
      </w:r>
      <w:r>
        <w:rPr>
          <w:rFonts w:cs="David" w:hint="cs"/>
          <w:rtl/>
        </w:rPr>
        <w:t xml:space="preserve"> בנוסף, טל רביב, </w:t>
      </w:r>
      <w:r w:rsidRPr="000350AB">
        <w:rPr>
          <w:rFonts w:cs="David" w:hint="cs"/>
          <w:b/>
          <w:bCs/>
          <w:rtl/>
        </w:rPr>
        <w:t>שיח שנאה ברשת</w:t>
      </w:r>
      <w:r>
        <w:rPr>
          <w:rFonts w:cs="David" w:hint="cs"/>
          <w:rtl/>
        </w:rPr>
        <w:t>, עמ' 99, (2015), לפיו 60% מהביטויים האלימים ברשת נכתבים מפרופילים אמיתיים ומזוהים ב'פייסבוק' או ב'טוויטר'.</w:t>
      </w:r>
    </w:p>
  </w:footnote>
  <w:footnote w:id="201">
    <w:p w:rsidR="0014770C" w:rsidRDefault="0014770C" w:rsidP="00430CCF">
      <w:pPr>
        <w:pStyle w:val="a3"/>
      </w:pPr>
      <w:r>
        <w:rPr>
          <w:rStyle w:val="a5"/>
        </w:rPr>
        <w:footnoteRef/>
      </w:r>
      <w:r>
        <w:rPr>
          <w:rtl/>
        </w:rPr>
        <w:t xml:space="preserve"> </w:t>
      </w:r>
      <w:r w:rsidRPr="00D326E7">
        <w:rPr>
          <w:rFonts w:cs="David" w:hint="cs"/>
          <w:rtl/>
        </w:rPr>
        <w:t>שם, עמ' 234.</w:t>
      </w:r>
    </w:p>
  </w:footnote>
  <w:footnote w:id="202">
    <w:p w:rsidR="0014770C" w:rsidRPr="00657AA3" w:rsidRDefault="0014770C" w:rsidP="00C80269">
      <w:pPr>
        <w:pStyle w:val="a3"/>
        <w:jc w:val="both"/>
        <w:rPr>
          <w:rFonts w:cs="David"/>
        </w:rPr>
      </w:pPr>
      <w:r w:rsidRPr="00657AA3">
        <w:rPr>
          <w:rStyle w:val="a5"/>
          <w:rFonts w:cs="David"/>
        </w:rPr>
        <w:footnoteRef/>
      </w:r>
      <w:r w:rsidRPr="00657AA3">
        <w:rPr>
          <w:rFonts w:cs="David"/>
          <w:rtl/>
        </w:rPr>
        <w:t xml:space="preserve"> </w:t>
      </w:r>
      <w:r w:rsidRPr="00657AA3">
        <w:rPr>
          <w:rFonts w:cs="David" w:hint="cs"/>
          <w:rtl/>
        </w:rPr>
        <w:t xml:space="preserve">בירנהק מיכאל, </w:t>
      </w:r>
      <w:r w:rsidRPr="00FE29C3">
        <w:rPr>
          <w:rFonts w:cs="David" w:hint="cs"/>
          <w:b/>
          <w:bCs/>
          <w:rtl/>
        </w:rPr>
        <w:t>אתיקה עיתונאית ברשת: על הסדרה פרטית, חופש העיתונות, כוח ותחרות</w:t>
      </w:r>
      <w:r w:rsidRPr="00657AA3">
        <w:rPr>
          <w:rFonts w:cs="David" w:hint="cs"/>
          <w:rtl/>
        </w:rPr>
        <w:t>, עמ' 187 (2003).</w:t>
      </w:r>
    </w:p>
  </w:footnote>
  <w:footnote w:id="203">
    <w:p w:rsidR="0014770C" w:rsidRPr="00657AA3" w:rsidRDefault="0014770C" w:rsidP="00C80269">
      <w:pPr>
        <w:pStyle w:val="a3"/>
        <w:jc w:val="both"/>
        <w:rPr>
          <w:rFonts w:cs="David"/>
          <w:rtl/>
        </w:rPr>
      </w:pPr>
      <w:r w:rsidRPr="00657AA3">
        <w:rPr>
          <w:rStyle w:val="a5"/>
          <w:rFonts w:cs="David"/>
        </w:rPr>
        <w:footnoteRef/>
      </w:r>
      <w:r w:rsidRPr="00657AA3">
        <w:rPr>
          <w:rFonts w:cs="David"/>
          <w:rtl/>
        </w:rPr>
        <w:t xml:space="preserve"> </w:t>
      </w:r>
      <w:r w:rsidRPr="00657AA3">
        <w:rPr>
          <w:rFonts w:cs="David" w:hint="cs"/>
          <w:rtl/>
        </w:rPr>
        <w:t>שם, עמ' 188.</w:t>
      </w:r>
    </w:p>
  </w:footnote>
  <w:footnote w:id="204">
    <w:p w:rsidR="0014770C" w:rsidRDefault="0014770C">
      <w:pPr>
        <w:pStyle w:val="a3"/>
        <w:rPr>
          <w:rtl/>
        </w:rPr>
      </w:pPr>
      <w:r>
        <w:rPr>
          <w:rStyle w:val="a5"/>
        </w:rPr>
        <w:footnoteRef/>
      </w:r>
      <w:r>
        <w:rPr>
          <w:rtl/>
        </w:rPr>
        <w:t xml:space="preserve"> </w:t>
      </w:r>
      <w:r w:rsidRPr="00AF602F">
        <w:rPr>
          <w:rFonts w:cs="David" w:hint="cs"/>
          <w:rtl/>
        </w:rPr>
        <w:t>ראו בפרק שני, בסעיף התפתחות החקיקה.</w:t>
      </w:r>
    </w:p>
  </w:footnote>
  <w:footnote w:id="205">
    <w:p w:rsidR="0014770C" w:rsidRPr="00657AA3" w:rsidRDefault="0014770C" w:rsidP="002644C9">
      <w:pPr>
        <w:pStyle w:val="a3"/>
        <w:jc w:val="both"/>
        <w:rPr>
          <w:rFonts w:cs="David"/>
        </w:rPr>
      </w:pPr>
      <w:r w:rsidRPr="00657AA3">
        <w:rPr>
          <w:rStyle w:val="a5"/>
          <w:rFonts w:cs="David"/>
        </w:rPr>
        <w:footnoteRef/>
      </w:r>
      <w:r w:rsidRPr="00657AA3">
        <w:rPr>
          <w:rFonts w:cs="David"/>
          <w:rtl/>
        </w:rPr>
        <w:t xml:space="preserve"> </w:t>
      </w:r>
      <w:r w:rsidRPr="00657AA3">
        <w:rPr>
          <w:rFonts w:cs="David" w:hint="cs"/>
          <w:rtl/>
        </w:rPr>
        <w:t xml:space="preserve">בירנהק מיכאל, </w:t>
      </w:r>
      <w:r w:rsidRPr="00657AA3">
        <w:rPr>
          <w:rFonts w:cs="David" w:hint="cs"/>
          <w:b/>
          <w:bCs/>
          <w:rtl/>
        </w:rPr>
        <w:t>חורים ברשת: פורנוגרפיה, מידע ועיצוב מדיניות בסביבה הדיגיטלית</w:t>
      </w:r>
      <w:r w:rsidRPr="00657AA3">
        <w:rPr>
          <w:rFonts w:cs="David" w:hint="cs"/>
          <w:rtl/>
        </w:rPr>
        <w:t>, עמ' 105.</w:t>
      </w:r>
    </w:p>
  </w:footnote>
  <w:footnote w:id="206">
    <w:p w:rsidR="0014770C" w:rsidRDefault="0014770C" w:rsidP="002644C9">
      <w:pPr>
        <w:pStyle w:val="a3"/>
        <w:jc w:val="both"/>
      </w:pPr>
      <w:r w:rsidRPr="00657AA3">
        <w:rPr>
          <w:rStyle w:val="a5"/>
          <w:rFonts w:cs="David"/>
        </w:rPr>
        <w:footnoteRef/>
      </w:r>
      <w:r w:rsidRPr="00657AA3">
        <w:rPr>
          <w:rFonts w:cs="David"/>
          <w:rtl/>
        </w:rPr>
        <w:t xml:space="preserve"> </w:t>
      </w:r>
      <w:r w:rsidRPr="00657AA3">
        <w:rPr>
          <w:rFonts w:cs="David" w:hint="cs"/>
          <w:rtl/>
        </w:rPr>
        <w:t xml:space="preserve">אגמון-גונן מיכל, </w:t>
      </w:r>
      <w:r w:rsidRPr="00657AA3">
        <w:rPr>
          <w:rFonts w:cs="David" w:hint="cs"/>
          <w:b/>
          <w:bCs/>
          <w:rtl/>
        </w:rPr>
        <w:t>האינטרנט כעיר מקלט?! הסדרה משפטית לאור אפשרויות העקיפה הטכנולוגיות וגלובליות הרשת</w:t>
      </w:r>
      <w:r w:rsidRPr="00657AA3">
        <w:rPr>
          <w:rFonts w:cs="David" w:hint="cs"/>
          <w:rtl/>
        </w:rPr>
        <w:t>, עמ' 234, (2011).</w:t>
      </w:r>
    </w:p>
  </w:footnote>
  <w:footnote w:id="207">
    <w:p w:rsidR="0014770C" w:rsidRPr="00BE7432" w:rsidRDefault="0014770C" w:rsidP="002644C9">
      <w:pPr>
        <w:pStyle w:val="a3"/>
        <w:jc w:val="both"/>
        <w:rPr>
          <w:rFonts w:cs="David"/>
        </w:rPr>
      </w:pPr>
      <w:r w:rsidRPr="00BE7432">
        <w:rPr>
          <w:rStyle w:val="a5"/>
          <w:rFonts w:cs="David"/>
        </w:rPr>
        <w:footnoteRef/>
      </w:r>
      <w:r w:rsidRPr="00BE7432">
        <w:rPr>
          <w:rFonts w:cs="David"/>
          <w:rtl/>
        </w:rPr>
        <w:t xml:space="preserve"> </w:t>
      </w:r>
      <w:r w:rsidRPr="00BE7432">
        <w:rPr>
          <w:rFonts w:cs="David" w:hint="cs"/>
          <w:rtl/>
        </w:rPr>
        <w:t>שם, עמ' 235.</w:t>
      </w:r>
    </w:p>
  </w:footnote>
  <w:footnote w:id="208">
    <w:p w:rsidR="0014770C" w:rsidRPr="00BE7432" w:rsidRDefault="0014770C" w:rsidP="002644C9">
      <w:pPr>
        <w:pStyle w:val="a3"/>
        <w:jc w:val="both"/>
        <w:rPr>
          <w:rFonts w:cs="David"/>
          <w:rtl/>
        </w:rPr>
      </w:pPr>
      <w:r w:rsidRPr="00BE7432">
        <w:rPr>
          <w:rStyle w:val="a5"/>
          <w:rFonts w:cs="David"/>
        </w:rPr>
        <w:footnoteRef/>
      </w:r>
      <w:r w:rsidRPr="00BE7432">
        <w:rPr>
          <w:rFonts w:cs="David"/>
          <w:rtl/>
        </w:rPr>
        <w:t xml:space="preserve"> </w:t>
      </w:r>
      <w:r w:rsidRPr="00BE7432">
        <w:rPr>
          <w:rFonts w:cs="David" w:hint="cs"/>
          <w:rtl/>
        </w:rPr>
        <w:t>שם.</w:t>
      </w:r>
    </w:p>
  </w:footnote>
  <w:footnote w:id="209">
    <w:p w:rsidR="0014770C" w:rsidRPr="00BC21C8" w:rsidRDefault="0014770C" w:rsidP="002644C9">
      <w:pPr>
        <w:pStyle w:val="a3"/>
        <w:jc w:val="both"/>
        <w:rPr>
          <w:rFonts w:cs="David"/>
        </w:rPr>
      </w:pPr>
      <w:r w:rsidRPr="00BC21C8">
        <w:rPr>
          <w:rStyle w:val="a5"/>
          <w:rFonts w:cs="David"/>
        </w:rPr>
        <w:footnoteRef/>
      </w:r>
      <w:r w:rsidRPr="00BC21C8">
        <w:rPr>
          <w:rFonts w:cs="David"/>
          <w:rtl/>
        </w:rPr>
        <w:t xml:space="preserve"> </w:t>
      </w:r>
      <w:r w:rsidRPr="00BC21C8">
        <w:rPr>
          <w:rFonts w:cs="David" w:hint="cs"/>
          <w:rtl/>
        </w:rPr>
        <w:t xml:space="preserve">אלקין-קורן ניבה, </w:t>
      </w:r>
      <w:r w:rsidRPr="00BC21C8">
        <w:rPr>
          <w:rFonts w:cs="David" w:hint="cs"/>
          <w:b/>
          <w:bCs/>
          <w:rtl/>
        </w:rPr>
        <w:t>המתווכים החדשים "בכיכר השוק" הווירטואלית</w:t>
      </w:r>
      <w:r w:rsidRPr="00BC21C8">
        <w:rPr>
          <w:rFonts w:cs="David" w:hint="cs"/>
          <w:rtl/>
        </w:rPr>
        <w:t>, עמ' 389-388, (2003).</w:t>
      </w:r>
    </w:p>
  </w:footnote>
  <w:footnote w:id="210">
    <w:p w:rsidR="0014770C" w:rsidRDefault="0014770C" w:rsidP="00096D5D">
      <w:pPr>
        <w:pStyle w:val="a3"/>
      </w:pPr>
      <w:r w:rsidRPr="00BC21C8">
        <w:rPr>
          <w:rStyle w:val="a5"/>
          <w:rFonts w:cs="David"/>
        </w:rPr>
        <w:footnoteRef/>
      </w:r>
      <w:r w:rsidRPr="00BC21C8">
        <w:rPr>
          <w:rFonts w:cs="David"/>
          <w:rtl/>
        </w:rPr>
        <w:t xml:space="preserve"> </w:t>
      </w:r>
      <w:r w:rsidRPr="00BC21C8">
        <w:rPr>
          <w:rFonts w:cs="David" w:hint="cs"/>
          <w:rtl/>
        </w:rPr>
        <w:t xml:space="preserve">שם, עמ' </w:t>
      </w:r>
      <w:r>
        <w:rPr>
          <w:rFonts w:cs="David" w:hint="cs"/>
          <w:rtl/>
        </w:rPr>
        <w:t>390-389</w:t>
      </w:r>
      <w:r w:rsidRPr="00BC21C8">
        <w:rPr>
          <w:rFonts w:cs="David" w:hint="cs"/>
          <w:rtl/>
        </w:rPr>
        <w:t>.</w:t>
      </w:r>
    </w:p>
  </w:footnote>
  <w:footnote w:id="211">
    <w:p w:rsidR="0014770C" w:rsidRDefault="0014770C" w:rsidP="00413086">
      <w:pPr>
        <w:pStyle w:val="a3"/>
        <w:jc w:val="both"/>
      </w:pPr>
      <w:r w:rsidRPr="009864F6">
        <w:rPr>
          <w:rStyle w:val="a5"/>
          <w:rFonts w:cs="David"/>
        </w:rPr>
        <w:footnoteRef/>
      </w:r>
      <w:r w:rsidRPr="009864F6">
        <w:rPr>
          <w:rFonts w:cs="David"/>
          <w:rtl/>
        </w:rPr>
        <w:t xml:space="preserve"> </w:t>
      </w:r>
      <w:r w:rsidRPr="009864F6">
        <w:rPr>
          <w:rFonts w:cs="David" w:hint="cs"/>
          <w:rtl/>
        </w:rPr>
        <w:t xml:space="preserve">למעט במקרים מסוימים </w:t>
      </w:r>
      <w:r>
        <w:rPr>
          <w:rFonts w:cs="David" w:hint="cs"/>
          <w:rtl/>
        </w:rPr>
        <w:t xml:space="preserve">שהחוק </w:t>
      </w:r>
      <w:r w:rsidRPr="009864F6">
        <w:rPr>
          <w:rFonts w:cs="David" w:hint="cs"/>
          <w:rtl/>
        </w:rPr>
        <w:t xml:space="preserve">מחייב </w:t>
      </w:r>
      <w:r>
        <w:rPr>
          <w:rFonts w:cs="David" w:hint="cs"/>
          <w:rtl/>
        </w:rPr>
        <w:t xml:space="preserve">את ספקיות המרשתת </w:t>
      </w:r>
      <w:r w:rsidRPr="009864F6">
        <w:rPr>
          <w:rFonts w:cs="David" w:hint="cs"/>
          <w:rtl/>
        </w:rPr>
        <w:t xml:space="preserve">להגביל את גילו של המשתמש או מגביל את יכולתם לאסוף מידע, למשל, בנוגע לקטינים. בנוסף, מחייבת החקיקה את הספקיות להציע כלים מסוימים למשתמשים ולעדכן אותם בדבר הסכנות הקיימות ברשת. עם זאת, השימוש בכלים אלו כרוך לרוב בתשלום </w:t>
      </w:r>
      <w:r w:rsidRPr="009864F6">
        <w:rPr>
          <w:rFonts w:cs="David" w:hint="cs"/>
          <w:b/>
          <w:bCs/>
          <w:rtl/>
        </w:rPr>
        <w:t>וברצונו של המשתמש</w:t>
      </w:r>
      <w:r w:rsidRPr="009864F6">
        <w:rPr>
          <w:rFonts w:cs="David" w:hint="cs"/>
          <w:rtl/>
        </w:rPr>
        <w:t xml:space="preserve"> להגביל את הפעילות</w:t>
      </w:r>
      <w:r>
        <w:rPr>
          <w:rFonts w:hint="cs"/>
          <w:rtl/>
        </w:rPr>
        <w:t>.</w:t>
      </w:r>
    </w:p>
  </w:footnote>
  <w:footnote w:id="212">
    <w:p w:rsidR="0014770C" w:rsidRPr="00BE7432" w:rsidRDefault="0014770C" w:rsidP="00413086">
      <w:pPr>
        <w:pStyle w:val="a3"/>
        <w:jc w:val="both"/>
        <w:rPr>
          <w:rFonts w:cs="David"/>
        </w:rPr>
      </w:pPr>
      <w:r w:rsidRPr="00BE7432">
        <w:rPr>
          <w:rStyle w:val="a5"/>
          <w:rFonts w:cs="David"/>
        </w:rPr>
        <w:footnoteRef/>
      </w:r>
      <w:r w:rsidRPr="00BE7432">
        <w:rPr>
          <w:rFonts w:cs="David"/>
          <w:rtl/>
        </w:rPr>
        <w:t xml:space="preserve"> </w:t>
      </w:r>
      <w:r w:rsidRPr="00BE7432">
        <w:rPr>
          <w:rFonts w:cs="David" w:hint="cs"/>
          <w:rtl/>
        </w:rPr>
        <w:t xml:space="preserve">נגבי עירית, </w:t>
      </w:r>
      <w:r w:rsidRPr="00BE7432">
        <w:rPr>
          <w:rFonts w:cs="David" w:hint="cs"/>
          <w:b/>
          <w:bCs/>
          <w:rtl/>
        </w:rPr>
        <w:t>המרשתת, מיזוגיניה וחופש הביטוי</w:t>
      </w:r>
      <w:r w:rsidRPr="00BE7432">
        <w:rPr>
          <w:rFonts w:cs="David" w:hint="cs"/>
          <w:rtl/>
        </w:rPr>
        <w:t>, עמ' 531 (2013).</w:t>
      </w:r>
    </w:p>
  </w:footnote>
  <w:footnote w:id="213">
    <w:p w:rsidR="0014770C" w:rsidRPr="009864F6" w:rsidRDefault="0014770C" w:rsidP="00413086">
      <w:pPr>
        <w:pStyle w:val="a3"/>
        <w:jc w:val="both"/>
        <w:rPr>
          <w:rFonts w:cs="David"/>
          <w:rtl/>
        </w:rPr>
      </w:pPr>
      <w:r w:rsidRPr="009864F6">
        <w:rPr>
          <w:rStyle w:val="a5"/>
          <w:rFonts w:cs="David"/>
        </w:rPr>
        <w:footnoteRef/>
      </w:r>
      <w:r>
        <w:rPr>
          <w:rFonts w:cs="David" w:hint="cs"/>
          <w:rtl/>
        </w:rPr>
        <w:t xml:space="preserve"> מתוך ראיון עם </w:t>
      </w:r>
      <w:r w:rsidRPr="002C764B">
        <w:rPr>
          <w:rFonts w:cs="David" w:hint="cs"/>
          <w:b/>
          <w:bCs/>
          <w:rtl/>
        </w:rPr>
        <w:t>רפ"ק איה גורצקי</w:t>
      </w:r>
      <w:r w:rsidRPr="005D75EB">
        <w:rPr>
          <w:rFonts w:cs="David" w:hint="cs"/>
          <w:rtl/>
        </w:rPr>
        <w:t>, ראש מדור באגף הייעוץ המשפטי במשטרת ישראל, מתאריך 29.1.2017</w:t>
      </w:r>
      <w:r w:rsidRPr="009864F6">
        <w:rPr>
          <w:rFonts w:cs="David" w:hint="cs"/>
          <w:rtl/>
        </w:rPr>
        <w:t>.</w:t>
      </w:r>
    </w:p>
  </w:footnote>
  <w:footnote w:id="214">
    <w:p w:rsidR="0014770C" w:rsidRPr="001F088C" w:rsidRDefault="0014770C" w:rsidP="00413086">
      <w:pPr>
        <w:pStyle w:val="a3"/>
        <w:jc w:val="both"/>
        <w:rPr>
          <w:rtl/>
        </w:rPr>
      </w:pPr>
      <w:r>
        <w:rPr>
          <w:rStyle w:val="a5"/>
        </w:rPr>
        <w:footnoteRef/>
      </w:r>
      <w:r>
        <w:rPr>
          <w:rtl/>
        </w:rPr>
        <w:t xml:space="preserve"> </w:t>
      </w:r>
      <w:r w:rsidRPr="00657AA3">
        <w:rPr>
          <w:rFonts w:cs="David" w:hint="cs"/>
          <w:rtl/>
        </w:rPr>
        <w:t xml:space="preserve">אגמון-גונן מיכל, </w:t>
      </w:r>
      <w:r w:rsidRPr="00657AA3">
        <w:rPr>
          <w:rFonts w:cs="David" w:hint="cs"/>
          <w:b/>
          <w:bCs/>
          <w:rtl/>
        </w:rPr>
        <w:t>האינטרנט כעיר מקלט?! הסדרה משפטית לאור אפשרויות העקיפה הטכנולוגיות וגלובליות הרשת</w:t>
      </w:r>
      <w:r w:rsidRPr="00657AA3">
        <w:rPr>
          <w:rFonts w:cs="David" w:hint="cs"/>
          <w:rtl/>
        </w:rPr>
        <w:t>, עמ' 23</w:t>
      </w:r>
      <w:r>
        <w:rPr>
          <w:rFonts w:cs="David" w:hint="cs"/>
          <w:rtl/>
        </w:rPr>
        <w:t>7</w:t>
      </w:r>
      <w:r w:rsidRPr="00657AA3">
        <w:rPr>
          <w:rFonts w:cs="David" w:hint="cs"/>
          <w:rtl/>
        </w:rPr>
        <w:t>, (2011).</w:t>
      </w:r>
    </w:p>
  </w:footnote>
  <w:footnote w:id="215">
    <w:p w:rsidR="0014770C" w:rsidRDefault="0014770C" w:rsidP="00413086">
      <w:pPr>
        <w:pStyle w:val="a3"/>
        <w:jc w:val="both"/>
      </w:pPr>
      <w:r>
        <w:rPr>
          <w:rStyle w:val="a5"/>
        </w:rPr>
        <w:footnoteRef/>
      </w:r>
      <w:r>
        <w:rPr>
          <w:rtl/>
        </w:rPr>
        <w:t xml:space="preserve"> </w:t>
      </w:r>
      <w:r w:rsidRPr="00701247">
        <w:rPr>
          <w:rFonts w:cs="David" w:hint="cs"/>
          <w:rtl/>
        </w:rPr>
        <w:t xml:space="preserve">בירנהק מיכאל, </w:t>
      </w:r>
      <w:r w:rsidRPr="00701247">
        <w:rPr>
          <w:rFonts w:cs="David" w:hint="cs"/>
          <w:b/>
          <w:bCs/>
          <w:rtl/>
        </w:rPr>
        <w:t>חורים ברשת: פורנוגרפיה, מידע ועיצוב מדיניות בסביבה הדיגיטלית</w:t>
      </w:r>
      <w:r>
        <w:rPr>
          <w:rFonts w:cs="David" w:hint="cs"/>
          <w:rtl/>
        </w:rPr>
        <w:t>, עמ' 102, (2005).</w:t>
      </w:r>
    </w:p>
  </w:footnote>
  <w:footnote w:id="216">
    <w:p w:rsidR="0014770C" w:rsidRPr="00047B6D" w:rsidRDefault="0014770C" w:rsidP="00712EFA">
      <w:pPr>
        <w:pStyle w:val="a3"/>
      </w:pPr>
      <w:r w:rsidRPr="00622BD0">
        <w:rPr>
          <w:rFonts w:cs="David"/>
        </w:rPr>
        <w:footnoteRef/>
      </w:r>
      <w:r w:rsidRPr="00622BD0">
        <w:rPr>
          <w:rFonts w:cs="David"/>
          <w:rtl/>
        </w:rPr>
        <w:t xml:space="preserve"> </w:t>
      </w:r>
      <w:r w:rsidRPr="00622BD0">
        <w:rPr>
          <w:rFonts w:cs="David" w:hint="cs"/>
          <w:rtl/>
        </w:rPr>
        <w:t>שם.</w:t>
      </w:r>
    </w:p>
  </w:footnote>
  <w:footnote w:id="217">
    <w:p w:rsidR="0014770C" w:rsidRPr="00AE05FB" w:rsidRDefault="0014770C" w:rsidP="00712EFA">
      <w:pPr>
        <w:pStyle w:val="a3"/>
        <w:rPr>
          <w:rFonts w:cs="David"/>
        </w:rPr>
      </w:pPr>
      <w:r w:rsidRPr="00AE05FB">
        <w:rPr>
          <w:rStyle w:val="a5"/>
          <w:rFonts w:cs="David"/>
        </w:rPr>
        <w:footnoteRef/>
      </w:r>
      <w:r w:rsidRPr="00AE05FB">
        <w:rPr>
          <w:rFonts w:cs="David"/>
          <w:rtl/>
        </w:rPr>
        <w:t xml:space="preserve"> </w:t>
      </w:r>
      <w:r w:rsidRPr="00AE05FB">
        <w:rPr>
          <w:rFonts w:cs="David" w:hint="cs"/>
          <w:rtl/>
        </w:rPr>
        <w:t>שם, עמ' 104.</w:t>
      </w:r>
    </w:p>
  </w:footnote>
  <w:footnote w:id="218">
    <w:p w:rsidR="0014770C" w:rsidRPr="006378AC" w:rsidRDefault="0014770C" w:rsidP="00712EFA">
      <w:pPr>
        <w:pStyle w:val="a3"/>
        <w:rPr>
          <w:rFonts w:cs="David"/>
        </w:rPr>
      </w:pPr>
      <w:r w:rsidRPr="006378AC">
        <w:rPr>
          <w:rStyle w:val="a5"/>
          <w:rFonts w:cs="David"/>
        </w:rPr>
        <w:footnoteRef/>
      </w:r>
      <w:r w:rsidRPr="006378AC">
        <w:rPr>
          <w:rFonts w:cs="David"/>
          <w:rtl/>
        </w:rPr>
        <w:t xml:space="preserve"> </w:t>
      </w:r>
      <w:r w:rsidRPr="006378AC">
        <w:rPr>
          <w:rFonts w:cs="David" w:hint="cs"/>
          <w:rtl/>
        </w:rPr>
        <w:t xml:space="preserve">שם, </w:t>
      </w:r>
      <w:r>
        <w:rPr>
          <w:rFonts w:cs="David" w:hint="cs"/>
          <w:rtl/>
        </w:rPr>
        <w:t>עמ' 102.</w:t>
      </w:r>
    </w:p>
  </w:footnote>
  <w:footnote w:id="219">
    <w:p w:rsidR="0014770C" w:rsidRDefault="0014770C" w:rsidP="00712EFA">
      <w:pPr>
        <w:pStyle w:val="a3"/>
        <w:rPr>
          <w:rtl/>
        </w:rPr>
      </w:pPr>
      <w:r>
        <w:rPr>
          <w:rStyle w:val="a5"/>
        </w:rPr>
        <w:footnoteRef/>
      </w:r>
      <w:r w:rsidRPr="00BC4BF5">
        <w:rPr>
          <w:rFonts w:cs="David"/>
          <w:rtl/>
        </w:rPr>
        <w:t xml:space="preserve"> </w:t>
      </w:r>
      <w:r w:rsidRPr="00BC4BF5">
        <w:rPr>
          <w:rFonts w:cs="David" w:hint="cs"/>
          <w:rtl/>
        </w:rPr>
        <w:t>שם, עמ' 106.</w:t>
      </w:r>
    </w:p>
  </w:footnote>
  <w:footnote w:id="220">
    <w:p w:rsidR="0014770C" w:rsidRDefault="0014770C" w:rsidP="00712EFA">
      <w:pPr>
        <w:pStyle w:val="a3"/>
        <w:rPr>
          <w:rtl/>
        </w:rPr>
      </w:pPr>
      <w:r w:rsidRPr="0005670F">
        <w:rPr>
          <w:rFonts w:cs="David"/>
        </w:rPr>
        <w:footnoteRef/>
      </w:r>
      <w:r w:rsidRPr="0005670F">
        <w:rPr>
          <w:rFonts w:cs="David"/>
          <w:rtl/>
        </w:rPr>
        <w:t xml:space="preserve"> </w:t>
      </w:r>
      <w:r w:rsidRPr="0005670F">
        <w:rPr>
          <w:rFonts w:cs="David" w:hint="cs"/>
          <w:rtl/>
        </w:rPr>
        <w:t>שם.</w:t>
      </w:r>
    </w:p>
  </w:footnote>
  <w:footnote w:id="221">
    <w:p w:rsidR="0014770C" w:rsidRDefault="0014770C" w:rsidP="00712EFA">
      <w:pPr>
        <w:pStyle w:val="a3"/>
        <w:rPr>
          <w:rtl/>
        </w:rPr>
      </w:pPr>
      <w:r>
        <w:rPr>
          <w:rStyle w:val="a5"/>
        </w:rPr>
        <w:footnoteRef/>
      </w:r>
      <w:r w:rsidRPr="00F27EFC">
        <w:rPr>
          <w:rFonts w:cs="David"/>
          <w:rtl/>
        </w:rPr>
        <w:t xml:space="preserve"> </w:t>
      </w:r>
      <w:r w:rsidRPr="00F27EFC">
        <w:rPr>
          <w:rFonts w:cs="David" w:hint="cs"/>
          <w:rtl/>
        </w:rPr>
        <w:t>שם, עמ' 107.</w:t>
      </w:r>
    </w:p>
  </w:footnote>
  <w:footnote w:id="222">
    <w:p w:rsidR="0014770C" w:rsidRPr="008F364E" w:rsidRDefault="0014770C" w:rsidP="00A85D07">
      <w:pPr>
        <w:pStyle w:val="a3"/>
        <w:rPr>
          <w:rFonts w:cs="David"/>
          <w:rtl/>
        </w:rPr>
      </w:pPr>
      <w:r>
        <w:rPr>
          <w:rStyle w:val="a5"/>
        </w:rPr>
        <w:footnoteRef/>
      </w:r>
      <w:r>
        <w:rPr>
          <w:rtl/>
        </w:rPr>
        <w:t xml:space="preserve"> </w:t>
      </w:r>
      <w:r w:rsidRPr="008F364E">
        <w:rPr>
          <w:rFonts w:cs="David" w:hint="cs"/>
          <w:rtl/>
        </w:rPr>
        <w:t xml:space="preserve">הנחיה 14.12 </w:t>
      </w:r>
      <w:r w:rsidRPr="00B77583">
        <w:rPr>
          <w:rFonts w:cs="David" w:hint="cs"/>
          <w:b/>
          <w:bCs/>
          <w:rtl/>
        </w:rPr>
        <w:t>להנחיות פרקליט המדינה</w:t>
      </w:r>
      <w:r w:rsidRPr="008F364E">
        <w:rPr>
          <w:rFonts w:cs="David" w:hint="cs"/>
          <w:rtl/>
        </w:rPr>
        <w:t xml:space="preserve"> (2009) </w:t>
      </w:r>
      <w:r w:rsidRPr="008F364E">
        <w:rPr>
          <w:rFonts w:cs="David"/>
        </w:rPr>
        <w:t>http://www.justice.gov.il/Units/StateAttorney/Guidelines/14.12.pdf</w:t>
      </w:r>
    </w:p>
  </w:footnote>
  <w:footnote w:id="223">
    <w:p w:rsidR="0014770C" w:rsidRPr="008F364E" w:rsidRDefault="0014770C" w:rsidP="00A85D07">
      <w:pPr>
        <w:pStyle w:val="a3"/>
        <w:rPr>
          <w:rFonts w:cs="David"/>
          <w:rtl/>
        </w:rPr>
      </w:pPr>
      <w:r w:rsidRPr="008F364E">
        <w:rPr>
          <w:rStyle w:val="a5"/>
          <w:rFonts w:cs="David"/>
        </w:rPr>
        <w:footnoteRef/>
      </w:r>
      <w:r w:rsidRPr="008F364E">
        <w:rPr>
          <w:rFonts w:cs="David"/>
          <w:rtl/>
        </w:rPr>
        <w:t xml:space="preserve"> </w:t>
      </w:r>
      <w:r w:rsidRPr="008F364E">
        <w:rPr>
          <w:rFonts w:cs="David" w:hint="cs"/>
          <w:rtl/>
        </w:rPr>
        <w:t>סעיף 144ה לחוק העונשין, התשל"ז-1977.</w:t>
      </w:r>
    </w:p>
  </w:footnote>
  <w:footnote w:id="224">
    <w:p w:rsidR="0014770C" w:rsidRPr="008F364E" w:rsidRDefault="0014770C" w:rsidP="002644C9">
      <w:pPr>
        <w:pStyle w:val="a3"/>
        <w:jc w:val="both"/>
        <w:rPr>
          <w:rFonts w:cs="David"/>
          <w:rtl/>
        </w:rPr>
      </w:pPr>
      <w:r w:rsidRPr="008F364E">
        <w:rPr>
          <w:rStyle w:val="a5"/>
          <w:rFonts w:cs="David"/>
        </w:rPr>
        <w:footnoteRef/>
      </w:r>
      <w:r w:rsidRPr="008F364E">
        <w:rPr>
          <w:rFonts w:cs="David"/>
          <w:rtl/>
        </w:rPr>
        <w:t xml:space="preserve"> </w:t>
      </w:r>
      <w:r w:rsidRPr="008F364E">
        <w:rPr>
          <w:rFonts w:cs="David" w:hint="cs"/>
          <w:rtl/>
        </w:rPr>
        <w:t xml:space="preserve">ברק-ארז דפנה וזכריה דודי, </w:t>
      </w:r>
      <w:r w:rsidRPr="008F364E">
        <w:rPr>
          <w:rFonts w:cs="David" w:hint="cs"/>
          <w:b/>
          <w:bCs/>
          <w:rtl/>
        </w:rPr>
        <w:t>הסתה לטרור וגבולות חופש הביטוי: בין הגבלות ישירות להגבלות עקיפות,</w:t>
      </w:r>
      <w:r w:rsidRPr="008F364E">
        <w:rPr>
          <w:rFonts w:cs="David" w:hint="cs"/>
          <w:rtl/>
        </w:rPr>
        <w:t xml:space="preserve"> עמ' 563 (2013).</w:t>
      </w:r>
    </w:p>
  </w:footnote>
  <w:footnote w:id="225">
    <w:p w:rsidR="0014770C" w:rsidRPr="00774919" w:rsidRDefault="0014770C" w:rsidP="002644C9">
      <w:pPr>
        <w:pStyle w:val="a3"/>
        <w:jc w:val="both"/>
        <w:rPr>
          <w:rFonts w:cs="David"/>
          <w:rtl/>
        </w:rPr>
      </w:pPr>
      <w:r w:rsidRPr="00774919">
        <w:rPr>
          <w:rStyle w:val="a5"/>
          <w:rFonts w:cs="David"/>
        </w:rPr>
        <w:footnoteRef/>
      </w:r>
      <w:r w:rsidRPr="00774919">
        <w:rPr>
          <w:rFonts w:cs="David"/>
          <w:rtl/>
        </w:rPr>
        <w:t xml:space="preserve"> </w:t>
      </w:r>
      <w:r w:rsidRPr="00774919">
        <w:rPr>
          <w:rFonts w:cs="David" w:hint="cs"/>
          <w:rtl/>
        </w:rPr>
        <w:t xml:space="preserve">עניין </w:t>
      </w:r>
      <w:r w:rsidRPr="00774919">
        <w:rPr>
          <w:rFonts w:cs="David" w:hint="cs"/>
          <w:b/>
          <w:bCs/>
          <w:rtl/>
        </w:rPr>
        <w:t>'תורת המלך'</w:t>
      </w:r>
      <w:r w:rsidRPr="00774919">
        <w:rPr>
          <w:rFonts w:cs="David" w:hint="cs"/>
          <w:rtl/>
        </w:rPr>
        <w:t>, בחוות דעתה של הנשיאה נאור, פסקה 1.</w:t>
      </w:r>
    </w:p>
  </w:footnote>
  <w:footnote w:id="226">
    <w:p w:rsidR="0014770C" w:rsidRPr="008F364E" w:rsidRDefault="0014770C" w:rsidP="002644C9">
      <w:pPr>
        <w:pStyle w:val="a3"/>
        <w:jc w:val="both"/>
        <w:rPr>
          <w:rFonts w:cs="David"/>
        </w:rPr>
      </w:pPr>
      <w:r w:rsidRPr="008F364E">
        <w:rPr>
          <w:rStyle w:val="a5"/>
          <w:rFonts w:cs="David"/>
        </w:rPr>
        <w:footnoteRef/>
      </w:r>
      <w:r w:rsidRPr="008F364E">
        <w:rPr>
          <w:rFonts w:cs="David"/>
          <w:rtl/>
        </w:rPr>
        <w:t xml:space="preserve"> </w:t>
      </w:r>
      <w:r w:rsidRPr="008F364E">
        <w:rPr>
          <w:rFonts w:cs="David" w:hint="cs"/>
          <w:rtl/>
        </w:rPr>
        <w:t>שם</w:t>
      </w:r>
      <w:r>
        <w:rPr>
          <w:rFonts w:cs="David" w:hint="cs"/>
          <w:rtl/>
        </w:rPr>
        <w:t>.</w:t>
      </w:r>
    </w:p>
  </w:footnote>
  <w:footnote w:id="227">
    <w:p w:rsidR="0014770C" w:rsidRDefault="0014770C" w:rsidP="00B811E0">
      <w:pPr>
        <w:pStyle w:val="a3"/>
        <w:jc w:val="both"/>
        <w:rPr>
          <w:rtl/>
        </w:rPr>
      </w:pPr>
      <w:r w:rsidRPr="008F364E">
        <w:rPr>
          <w:rStyle w:val="a5"/>
          <w:rFonts w:cs="David"/>
        </w:rPr>
        <w:footnoteRef/>
      </w:r>
      <w:r w:rsidRPr="008F364E">
        <w:rPr>
          <w:rFonts w:cs="David"/>
          <w:rtl/>
        </w:rPr>
        <w:t xml:space="preserve"> </w:t>
      </w:r>
      <w:r w:rsidRPr="008F364E">
        <w:rPr>
          <w:rFonts w:cs="David" w:hint="cs"/>
          <w:rtl/>
        </w:rPr>
        <w:t>בג"צ</w:t>
      </w:r>
      <w:r>
        <w:rPr>
          <w:rFonts w:cs="David" w:hint="cs"/>
          <w:rtl/>
        </w:rPr>
        <w:t xml:space="preserve"> 588/94</w:t>
      </w:r>
      <w:r w:rsidRPr="008F364E">
        <w:rPr>
          <w:rFonts w:cs="David" w:hint="cs"/>
          <w:rtl/>
        </w:rPr>
        <w:t xml:space="preserve"> </w:t>
      </w:r>
      <w:r w:rsidRPr="008F364E">
        <w:rPr>
          <w:rFonts w:cs="David" w:hint="cs"/>
          <w:b/>
          <w:bCs/>
          <w:rtl/>
        </w:rPr>
        <w:t>שלנגר נ' היועץ המשפטי לממשלה</w:t>
      </w:r>
      <w:r>
        <w:rPr>
          <w:rFonts w:cs="David" w:hint="cs"/>
          <w:rtl/>
        </w:rPr>
        <w:t xml:space="preserve">, פ"ד מח(3) 40 (1994), בחוות דעתו של </w:t>
      </w:r>
      <w:r w:rsidRPr="002055B1">
        <w:rPr>
          <w:rFonts w:cs="David" w:hint="cs"/>
          <w:b/>
          <w:bCs/>
          <w:rtl/>
        </w:rPr>
        <w:t>המשנה לנשיא ברק</w:t>
      </w:r>
      <w:r>
        <w:rPr>
          <w:rFonts w:cs="David" w:hint="cs"/>
          <w:rtl/>
        </w:rPr>
        <w:t xml:space="preserve"> (כתוארו אז), פסקה 3.</w:t>
      </w:r>
    </w:p>
  </w:footnote>
  <w:footnote w:id="228">
    <w:p w:rsidR="0014770C" w:rsidRDefault="0014770C" w:rsidP="002644C9">
      <w:pPr>
        <w:pStyle w:val="a3"/>
        <w:jc w:val="both"/>
        <w:rPr>
          <w:rtl/>
        </w:rPr>
      </w:pPr>
      <w:r>
        <w:rPr>
          <w:rStyle w:val="a5"/>
        </w:rPr>
        <w:footnoteRef/>
      </w:r>
      <w:r>
        <w:rPr>
          <w:rtl/>
        </w:rPr>
        <w:t xml:space="preserve"> </w:t>
      </w:r>
      <w:r w:rsidRPr="008F364E">
        <w:rPr>
          <w:rFonts w:cs="David" w:hint="cs"/>
          <w:rtl/>
        </w:rPr>
        <w:t xml:space="preserve">ברק-ארז דפנה וזכריה דודי, </w:t>
      </w:r>
      <w:r w:rsidRPr="008F364E">
        <w:rPr>
          <w:rFonts w:cs="David" w:hint="cs"/>
          <w:b/>
          <w:bCs/>
          <w:rtl/>
        </w:rPr>
        <w:t>הסתה לטרור וגבולות חופש הביטוי: בין הגבלות ישירות להגבלות עקיפות,</w:t>
      </w:r>
      <w:r w:rsidRPr="008F364E">
        <w:rPr>
          <w:rFonts w:cs="David" w:hint="cs"/>
          <w:rtl/>
        </w:rPr>
        <w:t xml:space="preserve"> עמ' 563 (2013).</w:t>
      </w:r>
    </w:p>
  </w:footnote>
  <w:footnote w:id="229">
    <w:p w:rsidR="0014770C" w:rsidRDefault="0014770C" w:rsidP="002644C9">
      <w:pPr>
        <w:pStyle w:val="a3"/>
        <w:jc w:val="both"/>
        <w:rPr>
          <w:rtl/>
        </w:rPr>
      </w:pPr>
      <w:r>
        <w:rPr>
          <w:rStyle w:val="a5"/>
        </w:rPr>
        <w:footnoteRef/>
      </w:r>
      <w:r>
        <w:rPr>
          <w:rtl/>
        </w:rPr>
        <w:t xml:space="preserve"> </w:t>
      </w:r>
      <w:r w:rsidRPr="008136AD">
        <w:rPr>
          <w:rFonts w:cs="David" w:hint="cs"/>
          <w:rtl/>
        </w:rPr>
        <w:t xml:space="preserve">ראיון שהתקיים עם </w:t>
      </w:r>
      <w:r w:rsidRPr="002644C9">
        <w:rPr>
          <w:rFonts w:cs="David" w:hint="cs"/>
          <w:b/>
          <w:bCs/>
          <w:rtl/>
        </w:rPr>
        <w:t>מר שלומי אברמזון</w:t>
      </w:r>
      <w:r w:rsidRPr="008136AD">
        <w:rPr>
          <w:rFonts w:cs="David" w:hint="cs"/>
          <w:rtl/>
        </w:rPr>
        <w:t xml:space="preserve">, </w:t>
      </w:r>
      <w:r>
        <w:rPr>
          <w:rFonts w:cs="David" w:hint="cs"/>
          <w:rtl/>
        </w:rPr>
        <w:t xml:space="preserve">ראש צוות הסתה ועבירות ביטוי בפרקליטות המדינה, </w:t>
      </w:r>
      <w:r w:rsidRPr="008136AD">
        <w:rPr>
          <w:rFonts w:cs="David" w:hint="cs"/>
          <w:rtl/>
        </w:rPr>
        <w:t>בתאריך 8 ינואר 2017.</w:t>
      </w:r>
    </w:p>
  </w:footnote>
  <w:footnote w:id="230">
    <w:p w:rsidR="0014770C" w:rsidRDefault="0014770C" w:rsidP="002644C9">
      <w:pPr>
        <w:pStyle w:val="a3"/>
        <w:jc w:val="both"/>
      </w:pPr>
      <w:r>
        <w:rPr>
          <w:rStyle w:val="a5"/>
        </w:rPr>
        <w:footnoteRef/>
      </w:r>
      <w:r>
        <w:rPr>
          <w:rtl/>
        </w:rPr>
        <w:t xml:space="preserve"> </w:t>
      </w:r>
      <w:r w:rsidRPr="00DA2B39">
        <w:rPr>
          <w:rFonts w:cs="David" w:hint="cs"/>
          <w:rtl/>
        </w:rPr>
        <w:t xml:space="preserve">ראיון </w:t>
      </w:r>
      <w:r>
        <w:rPr>
          <w:rFonts w:cs="David" w:hint="cs"/>
          <w:rtl/>
        </w:rPr>
        <w:t xml:space="preserve">שהתקיים </w:t>
      </w:r>
      <w:r w:rsidRPr="00DA2B39">
        <w:rPr>
          <w:rFonts w:cs="David" w:hint="cs"/>
          <w:rtl/>
        </w:rPr>
        <w:t xml:space="preserve">עם </w:t>
      </w:r>
      <w:r w:rsidRPr="002644C9">
        <w:rPr>
          <w:rFonts w:cs="David" w:hint="cs"/>
          <w:b/>
          <w:bCs/>
          <w:rtl/>
        </w:rPr>
        <w:t>רפ"ק ליאת רוטנברג</w:t>
      </w:r>
      <w:r w:rsidRPr="00DA2B39">
        <w:rPr>
          <w:rFonts w:cs="David" w:hint="cs"/>
          <w:rtl/>
        </w:rPr>
        <w:t>, ראש חוליית מידע גלוי במשטרה, מתאריך 29.1.17.</w:t>
      </w:r>
    </w:p>
  </w:footnote>
  <w:footnote w:id="231">
    <w:p w:rsidR="0014770C" w:rsidRDefault="0014770C" w:rsidP="002644C9">
      <w:pPr>
        <w:pStyle w:val="a3"/>
        <w:jc w:val="both"/>
        <w:rPr>
          <w:rtl/>
        </w:rPr>
      </w:pPr>
      <w:r>
        <w:rPr>
          <w:rStyle w:val="a5"/>
        </w:rPr>
        <w:footnoteRef/>
      </w:r>
      <w:r>
        <w:rPr>
          <w:rtl/>
        </w:rPr>
        <w:t xml:space="preserve"> </w:t>
      </w:r>
      <w:r w:rsidRPr="008136AD">
        <w:rPr>
          <w:rFonts w:cs="David" w:hint="cs"/>
          <w:rtl/>
        </w:rPr>
        <w:t xml:space="preserve">ראיון שהתקיים עם </w:t>
      </w:r>
      <w:r w:rsidRPr="002644C9">
        <w:rPr>
          <w:rFonts w:cs="David" w:hint="cs"/>
          <w:b/>
          <w:bCs/>
          <w:rtl/>
        </w:rPr>
        <w:t>מר שלומי אברמזון</w:t>
      </w:r>
      <w:r w:rsidRPr="008136AD">
        <w:rPr>
          <w:rFonts w:cs="David" w:hint="cs"/>
          <w:rtl/>
        </w:rPr>
        <w:t xml:space="preserve">, </w:t>
      </w:r>
      <w:r>
        <w:rPr>
          <w:rFonts w:cs="David" w:hint="cs"/>
          <w:rtl/>
        </w:rPr>
        <w:t xml:space="preserve">ראש צוות הסתה ועבירות ביטוי בפרקליטות המדינה, </w:t>
      </w:r>
      <w:r w:rsidRPr="008136AD">
        <w:rPr>
          <w:rFonts w:cs="David" w:hint="cs"/>
          <w:rtl/>
        </w:rPr>
        <w:t>בתאריך 8 ינואר 2017.</w:t>
      </w:r>
    </w:p>
  </w:footnote>
  <w:footnote w:id="232">
    <w:p w:rsidR="0014770C" w:rsidRPr="00774919" w:rsidRDefault="0014770C" w:rsidP="00A85D07">
      <w:pPr>
        <w:pStyle w:val="a3"/>
        <w:rPr>
          <w:rFonts w:cs="David"/>
          <w:rtl/>
        </w:rPr>
      </w:pPr>
      <w:r w:rsidRPr="00774919">
        <w:rPr>
          <w:rStyle w:val="a5"/>
          <w:rFonts w:cs="David"/>
        </w:rPr>
        <w:footnoteRef/>
      </w:r>
      <w:r w:rsidRPr="00774919">
        <w:rPr>
          <w:rFonts w:cs="David"/>
          <w:rtl/>
        </w:rPr>
        <w:t xml:space="preserve"> </w:t>
      </w:r>
      <w:r w:rsidRPr="00774919">
        <w:rPr>
          <w:rFonts w:cs="David" w:hint="cs"/>
          <w:rtl/>
        </w:rPr>
        <w:t>שם.</w:t>
      </w:r>
    </w:p>
  </w:footnote>
  <w:footnote w:id="233">
    <w:p w:rsidR="0014770C" w:rsidRDefault="0014770C">
      <w:pPr>
        <w:pStyle w:val="a3"/>
        <w:rPr>
          <w:rtl/>
        </w:rPr>
      </w:pPr>
      <w:r>
        <w:rPr>
          <w:rStyle w:val="a5"/>
        </w:rPr>
        <w:footnoteRef/>
      </w:r>
      <w:r>
        <w:rPr>
          <w:rtl/>
        </w:rPr>
        <w:t xml:space="preserve"> </w:t>
      </w:r>
      <w:r w:rsidRPr="0016210B">
        <w:rPr>
          <w:rFonts w:cs="David" w:hint="cs"/>
          <w:rtl/>
        </w:rPr>
        <w:t>על פי נתוני משטרת ישראל ופרקליטות המדינה</w:t>
      </w:r>
      <w:r>
        <w:rPr>
          <w:rFonts w:hint="cs"/>
          <w:rtl/>
        </w:rPr>
        <w:t>.</w:t>
      </w:r>
    </w:p>
  </w:footnote>
  <w:footnote w:id="234">
    <w:p w:rsidR="0014770C" w:rsidRDefault="0014770C" w:rsidP="00A85D07">
      <w:pPr>
        <w:pStyle w:val="a3"/>
        <w:rPr>
          <w:rtl/>
        </w:rPr>
      </w:pPr>
      <w:r w:rsidRPr="00774919">
        <w:rPr>
          <w:rStyle w:val="a5"/>
          <w:rFonts w:cs="David"/>
        </w:rPr>
        <w:footnoteRef/>
      </w:r>
      <w:r w:rsidRPr="00774919">
        <w:rPr>
          <w:rFonts w:cs="David"/>
          <w:rtl/>
        </w:rPr>
        <w:t xml:space="preserve"> </w:t>
      </w:r>
      <w:r w:rsidRPr="00774919">
        <w:rPr>
          <w:rFonts w:cs="David" w:hint="cs"/>
          <w:rtl/>
        </w:rPr>
        <w:t xml:space="preserve">ראיון שהתקיים עם </w:t>
      </w:r>
      <w:r w:rsidRPr="003F702C">
        <w:rPr>
          <w:rFonts w:cs="David" w:hint="cs"/>
          <w:b/>
          <w:bCs/>
          <w:rtl/>
        </w:rPr>
        <w:t>רפ"ק ירון שטרן</w:t>
      </w:r>
      <w:r w:rsidRPr="00774919">
        <w:rPr>
          <w:rFonts w:cs="David" w:hint="cs"/>
          <w:rtl/>
        </w:rPr>
        <w:t>, ראש חוליית סייבר בחטיבת החקירות במשטרת ישראל, מתאריך 15.1.17.</w:t>
      </w:r>
    </w:p>
  </w:footnote>
  <w:footnote w:id="235">
    <w:p w:rsidR="0014770C" w:rsidRPr="005A2B6A" w:rsidRDefault="0014770C" w:rsidP="00A85D07">
      <w:pPr>
        <w:pStyle w:val="a3"/>
        <w:jc w:val="both"/>
        <w:rPr>
          <w:rFonts w:cs="David"/>
          <w:rtl/>
        </w:rPr>
      </w:pPr>
      <w:r w:rsidRPr="005A2B6A">
        <w:rPr>
          <w:rStyle w:val="a5"/>
          <w:rFonts w:cs="David"/>
        </w:rPr>
        <w:footnoteRef/>
      </w:r>
      <w:r w:rsidRPr="005A2B6A">
        <w:rPr>
          <w:rFonts w:cs="David"/>
          <w:rtl/>
        </w:rPr>
        <w:t xml:space="preserve"> </w:t>
      </w:r>
      <w:r w:rsidRPr="005A2B6A">
        <w:rPr>
          <w:rFonts w:cs="David" w:hint="cs"/>
          <w:rtl/>
        </w:rPr>
        <w:t xml:space="preserve">ראיון שהתקיים עם </w:t>
      </w:r>
      <w:r w:rsidRPr="003F702C">
        <w:rPr>
          <w:rFonts w:cs="David" w:hint="cs"/>
          <w:b/>
          <w:bCs/>
          <w:rtl/>
        </w:rPr>
        <w:t>רפ"ק ליאת רוטנברג</w:t>
      </w:r>
      <w:r w:rsidRPr="005A2B6A">
        <w:rPr>
          <w:rFonts w:cs="David" w:hint="cs"/>
          <w:rtl/>
        </w:rPr>
        <w:t>, ראש חוליית מידע גלוי במשטרה, מתאריך 29.1.17.</w:t>
      </w:r>
    </w:p>
  </w:footnote>
  <w:footnote w:id="236">
    <w:p w:rsidR="0014770C" w:rsidRPr="005A2B6A" w:rsidRDefault="0014770C" w:rsidP="00A85D07">
      <w:pPr>
        <w:pStyle w:val="a3"/>
        <w:jc w:val="both"/>
        <w:rPr>
          <w:rFonts w:cs="David"/>
        </w:rPr>
      </w:pPr>
      <w:r w:rsidRPr="005A2B6A">
        <w:rPr>
          <w:rStyle w:val="a5"/>
          <w:rFonts w:cs="David"/>
        </w:rPr>
        <w:footnoteRef/>
      </w:r>
      <w:r w:rsidRPr="005A2B6A">
        <w:rPr>
          <w:rFonts w:cs="David"/>
          <w:rtl/>
        </w:rPr>
        <w:t xml:space="preserve"> </w:t>
      </w:r>
      <w:r w:rsidRPr="005A2B6A">
        <w:rPr>
          <w:rFonts w:cs="David" w:hint="cs"/>
          <w:rtl/>
        </w:rPr>
        <w:t xml:space="preserve">בירנהק מיכאל, </w:t>
      </w:r>
      <w:r w:rsidRPr="005A2B6A">
        <w:rPr>
          <w:rFonts w:cs="David" w:hint="cs"/>
          <w:b/>
          <w:bCs/>
          <w:rtl/>
        </w:rPr>
        <w:t>חורים ברשת: פורנוגרפיה, מידע ועיצוב מדיניות בסביבה הדיגיטלית</w:t>
      </w:r>
      <w:r w:rsidRPr="005A2B6A">
        <w:rPr>
          <w:rFonts w:cs="David" w:hint="cs"/>
          <w:rtl/>
        </w:rPr>
        <w:t>, עמ' 104, (2005).</w:t>
      </w:r>
    </w:p>
  </w:footnote>
  <w:footnote w:id="237">
    <w:p w:rsidR="0014770C" w:rsidRPr="005A2B6A" w:rsidRDefault="0014770C" w:rsidP="00A85D07">
      <w:pPr>
        <w:pStyle w:val="a3"/>
        <w:jc w:val="both"/>
        <w:rPr>
          <w:rFonts w:cs="David"/>
        </w:rPr>
      </w:pPr>
      <w:r w:rsidRPr="005A2B6A">
        <w:rPr>
          <w:rStyle w:val="a5"/>
          <w:rFonts w:cs="David"/>
        </w:rPr>
        <w:footnoteRef/>
      </w:r>
      <w:r w:rsidRPr="005A2B6A">
        <w:rPr>
          <w:rFonts w:cs="David"/>
          <w:rtl/>
        </w:rPr>
        <w:t xml:space="preserve"> </w:t>
      </w:r>
      <w:r w:rsidRPr="005A2B6A">
        <w:rPr>
          <w:rFonts w:cs="David" w:hint="cs"/>
          <w:rtl/>
        </w:rPr>
        <w:t>שם.</w:t>
      </w:r>
    </w:p>
  </w:footnote>
  <w:footnote w:id="238">
    <w:p w:rsidR="0014770C" w:rsidRPr="005A2B6A" w:rsidRDefault="0014770C" w:rsidP="00A85D07">
      <w:pPr>
        <w:pStyle w:val="a3"/>
        <w:jc w:val="both"/>
        <w:rPr>
          <w:rFonts w:cs="David"/>
          <w:rtl/>
        </w:rPr>
      </w:pPr>
      <w:r w:rsidRPr="005A2B6A">
        <w:rPr>
          <w:rStyle w:val="a5"/>
          <w:rFonts w:cs="David"/>
        </w:rPr>
        <w:footnoteRef/>
      </w:r>
      <w:r w:rsidRPr="005A2B6A">
        <w:rPr>
          <w:rFonts w:cs="David"/>
          <w:rtl/>
        </w:rPr>
        <w:t xml:space="preserve"> </w:t>
      </w:r>
      <w:r w:rsidRPr="005A2B6A">
        <w:rPr>
          <w:rFonts w:cs="David" w:hint="cs"/>
          <w:rtl/>
        </w:rPr>
        <w:t>שם, עמ' 110.</w:t>
      </w:r>
    </w:p>
  </w:footnote>
  <w:footnote w:id="239">
    <w:p w:rsidR="0014770C" w:rsidRDefault="0014770C" w:rsidP="00A85D07">
      <w:pPr>
        <w:pStyle w:val="a3"/>
        <w:jc w:val="both"/>
        <w:rPr>
          <w:rtl/>
        </w:rPr>
      </w:pPr>
      <w:r w:rsidRPr="005A2B6A">
        <w:rPr>
          <w:rStyle w:val="a5"/>
          <w:rFonts w:cs="David"/>
        </w:rPr>
        <w:footnoteRef/>
      </w:r>
      <w:r w:rsidRPr="005A2B6A">
        <w:rPr>
          <w:rFonts w:cs="David"/>
          <w:rtl/>
        </w:rPr>
        <w:t xml:space="preserve"> </w:t>
      </w:r>
      <w:r w:rsidRPr="005A2B6A">
        <w:rPr>
          <w:rFonts w:cs="David" w:hint="cs"/>
          <w:rtl/>
        </w:rPr>
        <w:t xml:space="preserve">אלקין-קורן ניבה, </w:t>
      </w:r>
      <w:r w:rsidRPr="005A2B6A">
        <w:rPr>
          <w:rFonts w:cs="David" w:hint="cs"/>
          <w:b/>
          <w:bCs/>
          <w:rtl/>
        </w:rPr>
        <w:t>המתווכים החדשים "בכיכר השוק" הווירטואלית</w:t>
      </w:r>
      <w:r w:rsidRPr="005A2B6A">
        <w:rPr>
          <w:rFonts w:cs="David" w:hint="cs"/>
          <w:rtl/>
        </w:rPr>
        <w:t>, עמ' 390, (2003).</w:t>
      </w:r>
    </w:p>
  </w:footnote>
  <w:footnote w:id="240">
    <w:p w:rsidR="0014770C" w:rsidRDefault="0014770C" w:rsidP="00BE6381">
      <w:pPr>
        <w:pStyle w:val="a3"/>
        <w:rPr>
          <w:rtl/>
        </w:rPr>
      </w:pPr>
      <w:r w:rsidRPr="002C764B">
        <w:rPr>
          <w:rFonts w:cs="David"/>
        </w:rPr>
        <w:footnoteRef/>
      </w:r>
      <w:r w:rsidRPr="002C764B">
        <w:rPr>
          <w:rFonts w:cs="David"/>
          <w:rtl/>
        </w:rPr>
        <w:t xml:space="preserve"> </w:t>
      </w:r>
      <w:r w:rsidRPr="002C764B">
        <w:rPr>
          <w:rFonts w:cs="David" w:hint="cs"/>
          <w:rtl/>
        </w:rPr>
        <w:t xml:space="preserve">ראיון שהתקיים עם </w:t>
      </w:r>
      <w:r>
        <w:rPr>
          <w:rFonts w:cs="David" w:hint="cs"/>
          <w:b/>
          <w:bCs/>
          <w:rtl/>
        </w:rPr>
        <w:t>ד"ר</w:t>
      </w:r>
      <w:r w:rsidRPr="002C764B">
        <w:rPr>
          <w:rFonts w:cs="David" w:hint="cs"/>
          <w:b/>
          <w:bCs/>
          <w:rtl/>
        </w:rPr>
        <w:t xml:space="preserve"> חיים ויסמונסקי</w:t>
      </w:r>
      <w:r w:rsidRPr="002C764B">
        <w:rPr>
          <w:rFonts w:cs="David" w:hint="cs"/>
          <w:rtl/>
        </w:rPr>
        <w:t>, מנהל מחלקת הסייבר בפרקליטות המדינה, מתאריך 16.3.17.</w:t>
      </w:r>
    </w:p>
  </w:footnote>
  <w:footnote w:id="241">
    <w:p w:rsidR="0014770C" w:rsidRDefault="0014770C">
      <w:pPr>
        <w:pStyle w:val="a3"/>
      </w:pPr>
      <w:r>
        <w:rPr>
          <w:rStyle w:val="a5"/>
        </w:rPr>
        <w:footnoteRef/>
      </w:r>
      <w:r>
        <w:rPr>
          <w:rtl/>
        </w:rPr>
        <w:t xml:space="preserve"> </w:t>
      </w:r>
      <w:r>
        <w:rPr>
          <w:rFonts w:cs="David" w:hint="cs"/>
          <w:rtl/>
        </w:rPr>
        <w:t>שם. בנוסף, הדברים עולים בראיונות שהתקיימו</w:t>
      </w:r>
      <w:r w:rsidRPr="005D75EB">
        <w:rPr>
          <w:rFonts w:cs="David" w:hint="cs"/>
          <w:rtl/>
        </w:rPr>
        <w:t xml:space="preserve"> עם </w:t>
      </w:r>
      <w:r w:rsidRPr="002C764B">
        <w:rPr>
          <w:rFonts w:cs="David" w:hint="cs"/>
          <w:b/>
          <w:bCs/>
          <w:rtl/>
        </w:rPr>
        <w:t>רפ"ק ליאת רוטנברג</w:t>
      </w:r>
      <w:r w:rsidRPr="005D75EB">
        <w:rPr>
          <w:rFonts w:cs="David" w:hint="cs"/>
          <w:rtl/>
        </w:rPr>
        <w:t xml:space="preserve">, ראש חוליית מידע גלוי במשטרה, מתאריך 29.1.17 ועם </w:t>
      </w:r>
      <w:r w:rsidRPr="002C764B">
        <w:rPr>
          <w:rFonts w:cs="David" w:hint="cs"/>
          <w:b/>
          <w:bCs/>
          <w:rtl/>
        </w:rPr>
        <w:t>רפ"ק איה גורצקי</w:t>
      </w:r>
      <w:r w:rsidRPr="005D75EB">
        <w:rPr>
          <w:rFonts w:cs="David" w:hint="cs"/>
          <w:rtl/>
        </w:rPr>
        <w:t>, ראש מדור באגף הייעוץ המשפטי במשטרת ישראל, מתאריך 29.1.2017</w:t>
      </w:r>
    </w:p>
  </w:footnote>
  <w:footnote w:id="242">
    <w:p w:rsidR="0014770C" w:rsidRPr="002676AD" w:rsidRDefault="0014770C">
      <w:pPr>
        <w:pStyle w:val="a3"/>
        <w:rPr>
          <w:rFonts w:cs="David"/>
          <w:rtl/>
        </w:rPr>
      </w:pPr>
      <w:r w:rsidRPr="002676AD">
        <w:rPr>
          <w:rStyle w:val="a5"/>
          <w:rFonts w:cs="David"/>
        </w:rPr>
        <w:footnoteRef/>
      </w:r>
      <w:r w:rsidRPr="002676AD">
        <w:rPr>
          <w:rFonts w:cs="David"/>
          <w:rtl/>
        </w:rPr>
        <w:t xml:space="preserve"> </w:t>
      </w:r>
      <w:r w:rsidRPr="002676AD">
        <w:rPr>
          <w:rFonts w:cs="David" w:hint="cs"/>
          <w:rtl/>
        </w:rPr>
        <w:t>ראו בעמודים 74-73.</w:t>
      </w:r>
    </w:p>
  </w:footnote>
  <w:footnote w:id="243">
    <w:p w:rsidR="0014770C" w:rsidRDefault="0014770C" w:rsidP="00A85D07">
      <w:pPr>
        <w:pStyle w:val="a3"/>
        <w:rPr>
          <w:rtl/>
        </w:rPr>
      </w:pPr>
      <w:r w:rsidRPr="005D75EB">
        <w:rPr>
          <w:rStyle w:val="a5"/>
          <w:rFonts w:cs="David"/>
        </w:rPr>
        <w:footnoteRef/>
      </w:r>
      <w:r w:rsidRPr="005D75EB">
        <w:rPr>
          <w:rFonts w:cs="David"/>
          <w:rtl/>
        </w:rPr>
        <w:t xml:space="preserve"> </w:t>
      </w:r>
      <w:r w:rsidRPr="005D75EB">
        <w:rPr>
          <w:rFonts w:cs="David" w:hint="cs"/>
          <w:rtl/>
        </w:rPr>
        <w:t xml:space="preserve">טיוטת חוק הסרת תוכן המהווה עבירה מרשת האינטרנט התשע"ו-2016 </w:t>
      </w:r>
      <w:hyperlink r:id="rId5" w:history="1">
        <w:r w:rsidRPr="005D75EB">
          <w:rPr>
            <w:rStyle w:val="Hyperlink"/>
            <w:rFonts w:cs="David"/>
          </w:rPr>
          <w:t>http://www.justice.gov.il/Pubilcations/News/Pages/BillRemovingContentFromTheInternetJuly2016.aspx</w:t>
        </w:r>
      </w:hyperlink>
      <w:r>
        <w:rPr>
          <w:rFonts w:hint="cs"/>
          <w:rtl/>
        </w:rPr>
        <w:t xml:space="preserve">. </w:t>
      </w:r>
      <w:r w:rsidRPr="001C1D00">
        <w:rPr>
          <w:rFonts w:cs="David" w:hint="cs"/>
          <w:rtl/>
        </w:rPr>
        <w:t xml:space="preserve">לציין, כי הצעה דומה הוגשה </w:t>
      </w:r>
      <w:r>
        <w:rPr>
          <w:rFonts w:cs="David" w:hint="cs"/>
          <w:rtl/>
        </w:rPr>
        <w:t xml:space="preserve">גם </w:t>
      </w:r>
      <w:r w:rsidRPr="001C1D00">
        <w:rPr>
          <w:rFonts w:cs="David" w:hint="cs"/>
          <w:rtl/>
        </w:rPr>
        <w:t>באופן פרטי על ידי ח"כ רוויטל סוויד.</w:t>
      </w:r>
    </w:p>
  </w:footnote>
  <w:footnote w:id="244">
    <w:p w:rsidR="0014770C" w:rsidRDefault="0014770C" w:rsidP="005D1B94">
      <w:pPr>
        <w:pStyle w:val="a3"/>
        <w:rPr>
          <w:rtl/>
        </w:rPr>
      </w:pPr>
      <w:r>
        <w:rPr>
          <w:rStyle w:val="a5"/>
        </w:rPr>
        <w:footnoteRef/>
      </w:r>
      <w:r>
        <w:rPr>
          <w:rtl/>
        </w:rPr>
        <w:t xml:space="preserve"> </w:t>
      </w:r>
      <w:r w:rsidRPr="009B649D">
        <w:rPr>
          <w:rFonts w:cs="David" w:hint="cs"/>
          <w:rtl/>
        </w:rPr>
        <w:t>לפרוט מלא של הטעמים ראו ב</w:t>
      </w:r>
      <w:r>
        <w:rPr>
          <w:rFonts w:cs="David" w:hint="cs"/>
          <w:rtl/>
        </w:rPr>
        <w:t xml:space="preserve">מכתבה של </w:t>
      </w:r>
      <w:r w:rsidR="005D1B94" w:rsidRPr="005D1B94">
        <w:rPr>
          <w:rFonts w:cs="David" w:hint="cs"/>
          <w:b/>
          <w:bCs/>
          <w:rtl/>
        </w:rPr>
        <w:t xml:space="preserve">ד"ר </w:t>
      </w:r>
      <w:r w:rsidRPr="005D1B94">
        <w:rPr>
          <w:rFonts w:cs="David" w:hint="cs"/>
          <w:b/>
          <w:bCs/>
          <w:rtl/>
        </w:rPr>
        <w:t>שוורץ-אלטשולר תהילה</w:t>
      </w:r>
      <w:r w:rsidR="005D1B94">
        <w:rPr>
          <w:rFonts w:cs="David" w:hint="cs"/>
          <w:rtl/>
        </w:rPr>
        <w:t>, מנהלת המרכז לערכים דמוקרטיים</w:t>
      </w:r>
      <w:r w:rsidR="000936EF">
        <w:rPr>
          <w:rFonts w:cs="David" w:hint="cs"/>
          <w:rtl/>
        </w:rPr>
        <w:t xml:space="preserve"> וראש התכנית לרפורמות במדיה ודמוקרטיה בעידן המידע</w:t>
      </w:r>
      <w:r w:rsidR="005D1B94">
        <w:rPr>
          <w:rFonts w:cs="David" w:hint="cs"/>
          <w:rtl/>
        </w:rPr>
        <w:t xml:space="preserve">, המכון הישראלי לדמוקרטיה, </w:t>
      </w:r>
      <w:hyperlink r:id="rId6" w:history="1">
        <w:r w:rsidRPr="008E0310">
          <w:rPr>
            <w:rStyle w:val="Hyperlink"/>
          </w:rPr>
          <w:t>https://www.idi.org.il/media/7872/opinion_internet.pdf</w:t>
        </w:r>
      </w:hyperlink>
    </w:p>
    <w:p w:rsidR="0014770C" w:rsidRDefault="0014770C" w:rsidP="00A85D07">
      <w:pPr>
        <w:pStyle w:val="a3"/>
        <w:rPr>
          <w:rtl/>
        </w:rPr>
      </w:pPr>
    </w:p>
  </w:footnote>
  <w:footnote w:id="245">
    <w:p w:rsidR="0014770C" w:rsidRDefault="0014770C" w:rsidP="003F6A67">
      <w:pPr>
        <w:pStyle w:val="a3"/>
      </w:pPr>
      <w:r>
        <w:rPr>
          <w:rStyle w:val="a5"/>
        </w:rPr>
        <w:footnoteRef/>
      </w:r>
      <w:r>
        <w:rPr>
          <w:rtl/>
        </w:rPr>
        <w:t xml:space="preserve"> </w:t>
      </w:r>
      <w:r w:rsidRPr="003C0845">
        <w:rPr>
          <w:rFonts w:cs="David" w:hint="cs"/>
          <w:rtl/>
        </w:rPr>
        <w:t>לביא אפרים, אלרן מאיר ואבו נסרה מחמד</w:t>
      </w:r>
      <w:r w:rsidRPr="003C0845">
        <w:rPr>
          <w:rFonts w:cs="David" w:hint="cs"/>
          <w:b/>
          <w:bCs/>
          <w:rtl/>
        </w:rPr>
        <w:t>, תופעות שנאה וגזענות בין יהודים וערבים בישראל: מאפיינים, השלכות ודרכי התמודדות</w:t>
      </w:r>
      <w:r w:rsidRPr="003C0845">
        <w:rPr>
          <w:rFonts w:cs="David" w:hint="cs"/>
          <w:rtl/>
        </w:rPr>
        <w:t xml:space="preserve"> (2016)</w:t>
      </w:r>
    </w:p>
  </w:footnote>
  <w:footnote w:id="246">
    <w:p w:rsidR="0014770C" w:rsidRPr="003F702C" w:rsidRDefault="0014770C">
      <w:pPr>
        <w:pStyle w:val="a3"/>
        <w:rPr>
          <w:rFonts w:cs="David"/>
          <w:rtl/>
        </w:rPr>
      </w:pPr>
      <w:r w:rsidRPr="003F702C">
        <w:rPr>
          <w:rStyle w:val="a5"/>
          <w:rFonts w:cs="David"/>
        </w:rPr>
        <w:footnoteRef/>
      </w:r>
      <w:r w:rsidRPr="003F702C">
        <w:rPr>
          <w:rFonts w:cs="David"/>
          <w:rtl/>
        </w:rPr>
        <w:t xml:space="preserve"> </w:t>
      </w:r>
      <w:r w:rsidRPr="003F702C">
        <w:rPr>
          <w:rFonts w:cs="David" w:hint="cs"/>
          <w:rtl/>
        </w:rPr>
        <w:t xml:space="preserve">על פי נתוני חברת </w:t>
      </w:r>
      <w:r w:rsidRPr="00CD227A">
        <w:rPr>
          <w:rFonts w:asciiTheme="majorBidi" w:hAnsiTheme="majorBidi" w:cstheme="majorBidi"/>
        </w:rPr>
        <w:t>Vigo</w:t>
      </w:r>
      <w:r w:rsidRPr="003F702C">
        <w:rPr>
          <w:rFonts w:cs="David" w:hint="cs"/>
          <w:rtl/>
        </w:rPr>
        <w:t xml:space="preserve">. </w:t>
      </w:r>
    </w:p>
  </w:footnote>
  <w:footnote w:id="247">
    <w:p w:rsidR="0014770C" w:rsidRPr="006157B2" w:rsidRDefault="0014770C" w:rsidP="003F6A67">
      <w:pPr>
        <w:pStyle w:val="a3"/>
        <w:jc w:val="both"/>
        <w:rPr>
          <w:rFonts w:cs="David"/>
          <w:rtl/>
        </w:rPr>
      </w:pPr>
      <w:r w:rsidRPr="006157B2">
        <w:rPr>
          <w:rStyle w:val="a5"/>
          <w:rFonts w:cs="David"/>
        </w:rPr>
        <w:footnoteRef/>
      </w:r>
      <w:r w:rsidRPr="006157B2">
        <w:rPr>
          <w:rFonts w:cs="David"/>
          <w:rtl/>
        </w:rPr>
        <w:t xml:space="preserve"> </w:t>
      </w:r>
      <w:r w:rsidRPr="006157B2">
        <w:rPr>
          <w:rFonts w:cs="David" w:hint="cs"/>
          <w:rtl/>
        </w:rPr>
        <w:t xml:space="preserve">נגבי עירית, </w:t>
      </w:r>
      <w:r w:rsidRPr="006157B2">
        <w:rPr>
          <w:rFonts w:cs="David" w:hint="cs"/>
          <w:b/>
          <w:bCs/>
          <w:rtl/>
        </w:rPr>
        <w:t>המרשתת, מיזוגניה וחופש הביטוי</w:t>
      </w:r>
      <w:r w:rsidRPr="006157B2">
        <w:rPr>
          <w:rFonts w:cs="David" w:hint="cs"/>
          <w:rtl/>
        </w:rPr>
        <w:t>, עמ' 527</w:t>
      </w:r>
      <w:r>
        <w:rPr>
          <w:rFonts w:cs="David" w:hint="cs"/>
          <w:rtl/>
        </w:rPr>
        <w:t>, (2013).</w:t>
      </w:r>
    </w:p>
  </w:footnote>
  <w:footnote w:id="248">
    <w:p w:rsidR="0014770C" w:rsidRPr="00461370" w:rsidRDefault="0014770C" w:rsidP="00B81EFA">
      <w:pPr>
        <w:pStyle w:val="a3"/>
        <w:jc w:val="both"/>
        <w:rPr>
          <w:rtl/>
        </w:rPr>
      </w:pPr>
      <w:r w:rsidRPr="00E805E0">
        <w:rPr>
          <w:rFonts w:cs="David"/>
        </w:rPr>
        <w:footnoteRef/>
      </w:r>
      <w:r w:rsidRPr="00E805E0">
        <w:rPr>
          <w:rFonts w:cs="David"/>
          <w:rtl/>
        </w:rPr>
        <w:t xml:space="preserve"> </w:t>
      </w:r>
      <w:r w:rsidRPr="00E805E0">
        <w:rPr>
          <w:rFonts w:cs="David" w:hint="cs"/>
          <w:rtl/>
        </w:rPr>
        <w:t>סעיף 15 לחוק איסור אלימות בספורט, התשס"ח-2008 הקובע: "</w:t>
      </w:r>
      <w:r w:rsidRPr="00E805E0">
        <w:rPr>
          <w:rFonts w:cs="David"/>
          <w:rtl/>
        </w:rPr>
        <w:t xml:space="preserve"> </w:t>
      </w:r>
      <w:r w:rsidRPr="00BB1D1A">
        <w:rPr>
          <w:rFonts w:cs="David"/>
          <w:b/>
          <w:bCs/>
          <w:rtl/>
        </w:rPr>
        <w:t>המתבטא התבטאות גזענית</w:t>
      </w:r>
      <w:r w:rsidRPr="00E805E0">
        <w:rPr>
          <w:rFonts w:cs="David"/>
          <w:rtl/>
        </w:rPr>
        <w:t xml:space="preserve"> במהלך אירוע ספורט, דינו – מאסר שנתיים; בחוק זה, "התבטאות גזענית" – קריאה של מילים, צלילים או נהמות, וכן התבטאות חזותית, על ידי אדם, לבדו, יחד עם אחר או במקהלה, שיש בהם משום איום, השפלה, ביזוי, גילוי איבה, עוינות, אלימות או גרימת מדנים כלפי אדם, ציבור או חלקים של האוכלוסייה, והכל בשל צבע או השתייכות לגזע, לדת או למוצא לאומי-</w:t>
      </w:r>
      <w:r w:rsidRPr="00E805E0">
        <w:rPr>
          <w:rFonts w:cs="David" w:hint="cs"/>
          <w:rtl/>
        </w:rPr>
        <w:t>א</w:t>
      </w:r>
      <w:r w:rsidRPr="00E805E0">
        <w:rPr>
          <w:rFonts w:cs="David"/>
          <w:rtl/>
        </w:rPr>
        <w:t>תני</w:t>
      </w:r>
      <w:r w:rsidRPr="00E805E0">
        <w:rPr>
          <w:rFonts w:cs="David"/>
        </w:rPr>
        <w:t>.</w:t>
      </w:r>
    </w:p>
  </w:footnote>
  <w:footnote w:id="249">
    <w:p w:rsidR="0014770C" w:rsidRDefault="0014770C" w:rsidP="003F6A67">
      <w:pPr>
        <w:pStyle w:val="a3"/>
        <w:rPr>
          <w:rtl/>
        </w:rPr>
      </w:pPr>
      <w:r>
        <w:rPr>
          <w:rStyle w:val="a5"/>
        </w:rPr>
        <w:footnoteRef/>
      </w:r>
      <w:r>
        <w:rPr>
          <w:rtl/>
        </w:rPr>
        <w:t xml:space="preserve"> </w:t>
      </w:r>
      <w:r w:rsidRPr="005A2B6A">
        <w:rPr>
          <w:rFonts w:cs="David" w:hint="cs"/>
          <w:rtl/>
        </w:rPr>
        <w:t xml:space="preserve">אלקין-קורן ניבה, </w:t>
      </w:r>
      <w:r w:rsidRPr="005A2B6A">
        <w:rPr>
          <w:rFonts w:cs="David" w:hint="cs"/>
          <w:b/>
          <w:bCs/>
          <w:rtl/>
        </w:rPr>
        <w:t>המתווכים החדשים "בכיכר השוק" הווירטואלית</w:t>
      </w:r>
      <w:r w:rsidRPr="005A2B6A">
        <w:rPr>
          <w:rFonts w:cs="David" w:hint="cs"/>
          <w:rtl/>
        </w:rPr>
        <w:t xml:space="preserve">, עמ' </w:t>
      </w:r>
      <w:r>
        <w:rPr>
          <w:rFonts w:cs="David" w:hint="cs"/>
          <w:rtl/>
        </w:rPr>
        <w:t>382</w:t>
      </w:r>
      <w:r w:rsidRPr="005A2B6A">
        <w:rPr>
          <w:rFonts w:cs="David" w:hint="cs"/>
          <w:rtl/>
        </w:rPr>
        <w:t>, (2003).</w:t>
      </w:r>
    </w:p>
  </w:footnote>
  <w:footnote w:id="250">
    <w:p w:rsidR="0014770C" w:rsidRPr="004C168A" w:rsidRDefault="0014770C" w:rsidP="003F6A67">
      <w:pPr>
        <w:pStyle w:val="a3"/>
        <w:rPr>
          <w:rFonts w:cs="David"/>
        </w:rPr>
      </w:pPr>
      <w:r>
        <w:rPr>
          <w:rStyle w:val="a5"/>
        </w:rPr>
        <w:footnoteRef/>
      </w:r>
      <w:r>
        <w:rPr>
          <w:rtl/>
        </w:rPr>
        <w:t xml:space="preserve"> </w:t>
      </w:r>
      <w:r w:rsidRPr="004C168A">
        <w:rPr>
          <w:rFonts w:cs="David" w:hint="cs"/>
          <w:rtl/>
        </w:rPr>
        <w:t xml:space="preserve">אלקין-קורן ניבה, </w:t>
      </w:r>
      <w:r w:rsidRPr="004C168A">
        <w:rPr>
          <w:rFonts w:cs="David" w:hint="cs"/>
          <w:b/>
          <w:bCs/>
          <w:rtl/>
        </w:rPr>
        <w:t>המתווכים החדשים "בכיכר השוק" הווירטואלית</w:t>
      </w:r>
      <w:r w:rsidRPr="004C168A">
        <w:rPr>
          <w:rFonts w:cs="David" w:hint="cs"/>
          <w:rtl/>
        </w:rPr>
        <w:t>, עמ' 382, (2003).</w:t>
      </w:r>
    </w:p>
    <w:p w:rsidR="0014770C" w:rsidRPr="00447350" w:rsidRDefault="0014770C" w:rsidP="003F6A67">
      <w:pPr>
        <w:pStyle w:val="a3"/>
        <w:rPr>
          <w:rtl/>
        </w:rPr>
      </w:pPr>
    </w:p>
  </w:footnote>
  <w:footnote w:id="251">
    <w:p w:rsidR="0014770C" w:rsidRDefault="0014770C" w:rsidP="003F6A67">
      <w:pPr>
        <w:pStyle w:val="a3"/>
        <w:jc w:val="both"/>
        <w:rPr>
          <w:rtl/>
        </w:rPr>
      </w:pPr>
      <w:r>
        <w:rPr>
          <w:rStyle w:val="a5"/>
        </w:rPr>
        <w:footnoteRef/>
      </w:r>
      <w:r>
        <w:rPr>
          <w:rtl/>
        </w:rPr>
        <w:t xml:space="preserve"> </w:t>
      </w:r>
      <w:r>
        <w:rPr>
          <w:rFonts w:cs="David" w:hint="cs"/>
          <w:rtl/>
        </w:rPr>
        <w:t>ברזילי-נהון ו</w:t>
      </w:r>
      <w:r w:rsidRPr="003C6A57">
        <w:rPr>
          <w:rFonts w:cs="David" w:hint="cs"/>
          <w:rtl/>
        </w:rPr>
        <w:t xml:space="preserve">ברזילי גד, </w:t>
      </w:r>
      <w:r w:rsidRPr="003C6A57">
        <w:rPr>
          <w:rFonts w:cs="David" w:hint="cs"/>
          <w:b/>
          <w:bCs/>
          <w:rtl/>
        </w:rPr>
        <w:t>חופש הביטוי המעשי והמדומיין באינטרנט: על בטלותה והולדתה המחודשת של הצנזורה</w:t>
      </w:r>
      <w:r w:rsidRPr="003C6A57">
        <w:rPr>
          <w:rFonts w:cs="David" w:hint="cs"/>
          <w:rtl/>
        </w:rPr>
        <w:t>, עמ' 509 (2006).</w:t>
      </w:r>
    </w:p>
  </w:footnote>
  <w:footnote w:id="252">
    <w:p w:rsidR="0014770C" w:rsidRDefault="0014770C" w:rsidP="003F6A67">
      <w:pPr>
        <w:pStyle w:val="a3"/>
      </w:pPr>
      <w:r>
        <w:rPr>
          <w:rStyle w:val="a5"/>
        </w:rPr>
        <w:footnoteRef/>
      </w:r>
      <w:r>
        <w:rPr>
          <w:rFonts w:hint="cs"/>
          <w:rtl/>
        </w:rPr>
        <w:t xml:space="preserve"> </w:t>
      </w:r>
      <w:r w:rsidRPr="005A2B6A">
        <w:rPr>
          <w:rFonts w:cs="David" w:hint="cs"/>
          <w:rtl/>
        </w:rPr>
        <w:t xml:space="preserve">בירנהק מיכאל, </w:t>
      </w:r>
      <w:r w:rsidRPr="005A2B6A">
        <w:rPr>
          <w:rFonts w:cs="David" w:hint="cs"/>
          <w:b/>
          <w:bCs/>
          <w:rtl/>
        </w:rPr>
        <w:t>חורים ברשת: פורנוגרפיה, מידע ועיצוב מדיניות בסביבה הדיגיטלית</w:t>
      </w:r>
      <w:r w:rsidRPr="005A2B6A">
        <w:rPr>
          <w:rFonts w:cs="David" w:hint="cs"/>
          <w:rtl/>
        </w:rPr>
        <w:t>, עמ' 1</w:t>
      </w:r>
      <w:r>
        <w:rPr>
          <w:rFonts w:cs="David" w:hint="cs"/>
          <w:rtl/>
        </w:rPr>
        <w:t>20</w:t>
      </w:r>
      <w:r w:rsidRPr="005A2B6A">
        <w:rPr>
          <w:rFonts w:cs="David" w:hint="cs"/>
          <w:rtl/>
        </w:rPr>
        <w:t>, (2005).</w:t>
      </w:r>
    </w:p>
  </w:footnote>
  <w:footnote w:id="253">
    <w:p w:rsidR="0014770C" w:rsidRDefault="0014770C">
      <w:pPr>
        <w:pStyle w:val="a3"/>
        <w:rPr>
          <w:rtl/>
        </w:rPr>
      </w:pPr>
      <w:r>
        <w:rPr>
          <w:rStyle w:val="a5"/>
        </w:rPr>
        <w:footnoteRef/>
      </w:r>
      <w:r>
        <w:rPr>
          <w:rtl/>
        </w:rPr>
        <w:t xml:space="preserve"> </w:t>
      </w:r>
      <w:r w:rsidRPr="00025BDC">
        <w:rPr>
          <w:rFonts w:cs="David" w:hint="cs"/>
          <w:rtl/>
        </w:rPr>
        <w:t xml:space="preserve">המלצות אלו גובשו מניתוח </w:t>
      </w:r>
      <w:r>
        <w:rPr>
          <w:rFonts w:cs="David" w:hint="cs"/>
          <w:rtl/>
        </w:rPr>
        <w:t>פסקי הדין ו</w:t>
      </w:r>
      <w:r w:rsidRPr="00025BDC">
        <w:rPr>
          <w:rFonts w:cs="David" w:hint="cs"/>
          <w:rtl/>
        </w:rPr>
        <w:t>הספרות המשפטית שנקרא</w:t>
      </w:r>
      <w:r>
        <w:rPr>
          <w:rFonts w:cs="David" w:hint="cs"/>
          <w:rtl/>
        </w:rPr>
        <w:t>ו</w:t>
      </w:r>
      <w:r w:rsidRPr="00025BDC">
        <w:rPr>
          <w:rFonts w:cs="David" w:hint="cs"/>
          <w:rtl/>
        </w:rPr>
        <w:t xml:space="preserve"> לטובת העבודה.</w:t>
      </w:r>
    </w:p>
  </w:footnote>
  <w:footnote w:id="254">
    <w:p w:rsidR="0014770C" w:rsidRDefault="0014770C" w:rsidP="003440B8">
      <w:pPr>
        <w:pStyle w:val="a3"/>
        <w:jc w:val="both"/>
        <w:rPr>
          <w:rtl/>
        </w:rPr>
      </w:pPr>
      <w:r>
        <w:rPr>
          <w:rStyle w:val="a5"/>
        </w:rPr>
        <w:footnoteRef/>
      </w:r>
      <w:r>
        <w:rPr>
          <w:rtl/>
        </w:rPr>
        <w:t xml:space="preserve"> </w:t>
      </w:r>
      <w:r w:rsidRPr="00CD5295">
        <w:rPr>
          <w:rFonts w:cs="David" w:hint="cs"/>
          <w:rtl/>
        </w:rPr>
        <w:t xml:space="preserve">כהן אדר, </w:t>
      </w:r>
      <w:r w:rsidRPr="00CD5295">
        <w:rPr>
          <w:rFonts w:cs="David" w:hint="cs"/>
          <w:b/>
          <w:bCs/>
          <w:rtl/>
        </w:rPr>
        <w:t>מה עלינו לעשות כדי להיאבק בעמדות קיצוניות וגזעניות במערכת החינוך?</w:t>
      </w:r>
      <w:r w:rsidRPr="00CD5295">
        <w:rPr>
          <w:rFonts w:cs="David" w:hint="cs"/>
          <w:rtl/>
        </w:rPr>
        <w:t xml:space="preserve"> (2015)</w:t>
      </w:r>
    </w:p>
  </w:footnote>
  <w:footnote w:id="255">
    <w:p w:rsidR="0014770C" w:rsidRDefault="0014770C" w:rsidP="003440B8">
      <w:pPr>
        <w:pStyle w:val="a3"/>
        <w:jc w:val="both"/>
        <w:rPr>
          <w:rtl/>
        </w:rPr>
      </w:pPr>
      <w:r>
        <w:rPr>
          <w:rStyle w:val="a5"/>
        </w:rPr>
        <w:footnoteRef/>
      </w:r>
      <w:r>
        <w:rPr>
          <w:rtl/>
        </w:rPr>
        <w:t xml:space="preserve"> </w:t>
      </w:r>
      <w:r w:rsidRPr="00883B3A">
        <w:rPr>
          <w:rFonts w:cs="David" w:hint="cs"/>
          <w:rtl/>
        </w:rPr>
        <w:t>לרשימה המלאה ראו</w:t>
      </w:r>
      <w:r>
        <w:rPr>
          <w:rFonts w:hint="cs"/>
          <w:rtl/>
        </w:rPr>
        <w:t xml:space="preserve"> </w:t>
      </w:r>
      <w:r w:rsidRPr="00151798">
        <w:rPr>
          <w:rFonts w:cs="David" w:hint="cs"/>
          <w:rtl/>
        </w:rPr>
        <w:t xml:space="preserve">קרמניצר מרדכי ופוקס עמיר, </w:t>
      </w:r>
      <w:r w:rsidRPr="00151798">
        <w:rPr>
          <w:rFonts w:cs="David" w:hint="cs"/>
          <w:b/>
          <w:bCs/>
          <w:rtl/>
        </w:rPr>
        <w:t>חינוך לערכים דמוקרטים ומאבק בגזענות באמצעות חינוך</w:t>
      </w:r>
      <w:r w:rsidRPr="00151798">
        <w:rPr>
          <w:rFonts w:cs="David" w:hint="cs"/>
          <w:rtl/>
        </w:rPr>
        <w:t>, (2015)</w:t>
      </w:r>
      <w:r w:rsidRPr="00883B3A">
        <w:rPr>
          <w:rFonts w:cs="David" w:hint="cs"/>
          <w:rtl/>
        </w:rPr>
        <w:t xml:space="preserve"> ו</w:t>
      </w:r>
      <w:r w:rsidRPr="00CD5295">
        <w:rPr>
          <w:rFonts w:cs="David" w:hint="cs"/>
          <w:rtl/>
        </w:rPr>
        <w:t xml:space="preserve">כהן אדר, </w:t>
      </w:r>
      <w:r w:rsidRPr="00CD5295">
        <w:rPr>
          <w:rFonts w:cs="David" w:hint="cs"/>
          <w:b/>
          <w:bCs/>
          <w:rtl/>
        </w:rPr>
        <w:t>מה עלינו לעשות כדי להיאבק בעמדות קיצוניות וגזעניות במערכת החינוך?</w:t>
      </w:r>
      <w:r w:rsidRPr="00CD5295">
        <w:rPr>
          <w:rFonts w:cs="David" w:hint="cs"/>
          <w:rtl/>
        </w:rPr>
        <w:t xml:space="preserve"> (2015)</w:t>
      </w:r>
    </w:p>
    <w:p w:rsidR="0014770C" w:rsidRDefault="0014770C" w:rsidP="003F6A67">
      <w:pPr>
        <w:pStyle w:val="a3"/>
      </w:pPr>
    </w:p>
  </w:footnote>
  <w:footnote w:id="256">
    <w:p w:rsidR="0014770C" w:rsidRDefault="0014770C" w:rsidP="003F6A67">
      <w:pPr>
        <w:pStyle w:val="a3"/>
      </w:pPr>
      <w:r>
        <w:rPr>
          <w:rStyle w:val="a5"/>
        </w:rPr>
        <w:footnoteRef/>
      </w:r>
      <w:r>
        <w:rPr>
          <w:rtl/>
        </w:rPr>
        <w:t xml:space="preserve">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w:t>
      </w:r>
      <w:r>
        <w:rPr>
          <w:rFonts w:cs="David" w:hint="cs"/>
          <w:rtl/>
        </w:rPr>
        <w:t>41</w:t>
      </w:r>
      <w:r w:rsidRPr="004C168A">
        <w:rPr>
          <w:rFonts w:cs="David" w:hint="cs"/>
          <w:rtl/>
        </w:rPr>
        <w:t>, (2013).</w:t>
      </w:r>
    </w:p>
  </w:footnote>
  <w:footnote w:id="257">
    <w:p w:rsidR="0014770C" w:rsidRDefault="0014770C" w:rsidP="003F6A67">
      <w:pPr>
        <w:pStyle w:val="a3"/>
      </w:pPr>
      <w:r>
        <w:rPr>
          <w:rStyle w:val="a5"/>
        </w:rPr>
        <w:footnoteRef/>
      </w:r>
      <w:r w:rsidRPr="004E36B6">
        <w:rPr>
          <w:rFonts w:cs="David"/>
          <w:rtl/>
        </w:rPr>
        <w:t xml:space="preserve"> </w:t>
      </w:r>
      <w:r w:rsidRPr="004E36B6">
        <w:rPr>
          <w:rFonts w:cs="David" w:hint="cs"/>
          <w:rtl/>
        </w:rPr>
        <w:t xml:space="preserve">רובינשטיין אליקים, </w:t>
      </w:r>
      <w:r w:rsidRPr="004E36B6">
        <w:rPr>
          <w:rFonts w:cs="David" w:hint="cs"/>
          <w:b/>
          <w:bCs/>
          <w:rtl/>
        </w:rPr>
        <w:t>על חופש הביטוי ועל מדיניות התביעה בעבירות של הסתה לאלימות</w:t>
      </w:r>
      <w:r w:rsidRPr="004E36B6">
        <w:rPr>
          <w:rFonts w:cs="David" w:hint="cs"/>
          <w:rtl/>
        </w:rPr>
        <w:t>, עמ' 10, (1997).</w:t>
      </w:r>
    </w:p>
  </w:footnote>
  <w:footnote w:id="258">
    <w:p w:rsidR="0014770C" w:rsidRDefault="0014770C" w:rsidP="003F6A67">
      <w:pPr>
        <w:pStyle w:val="a3"/>
      </w:pPr>
      <w:r>
        <w:rPr>
          <w:rStyle w:val="a5"/>
        </w:rPr>
        <w:footnoteRef/>
      </w:r>
      <w:r>
        <w:rPr>
          <w:rtl/>
        </w:rPr>
        <w:t xml:space="preserve"> </w:t>
      </w:r>
      <w:r w:rsidRPr="00852E56">
        <w:rPr>
          <w:rFonts w:cs="David" w:hint="cs"/>
          <w:rtl/>
        </w:rPr>
        <w:t xml:space="preserve">ראיון שהתקיים עם </w:t>
      </w:r>
      <w:r>
        <w:rPr>
          <w:rFonts w:cs="David" w:hint="cs"/>
          <w:b/>
          <w:bCs/>
          <w:rtl/>
        </w:rPr>
        <w:t>נצ"ם</w:t>
      </w:r>
      <w:r w:rsidRPr="00852E56">
        <w:rPr>
          <w:rFonts w:cs="David" w:hint="cs"/>
          <w:b/>
          <w:bCs/>
          <w:rtl/>
        </w:rPr>
        <w:t xml:space="preserve"> איילת אלישר</w:t>
      </w:r>
      <w:r w:rsidRPr="00852E56">
        <w:rPr>
          <w:rFonts w:cs="David" w:hint="cs"/>
          <w:rtl/>
        </w:rPr>
        <w:t>, ראש מערך 'מניעה מצבית' במשטרת ישראל, מתאריך 7.2.17.</w:t>
      </w:r>
    </w:p>
  </w:footnote>
  <w:footnote w:id="259">
    <w:p w:rsidR="0014770C" w:rsidRPr="008D003A" w:rsidRDefault="0014770C" w:rsidP="003F6A67">
      <w:pPr>
        <w:pStyle w:val="a3"/>
        <w:rPr>
          <w:rFonts w:cs="David"/>
          <w:rtl/>
        </w:rPr>
      </w:pPr>
      <w:r w:rsidRPr="008D003A">
        <w:rPr>
          <w:rStyle w:val="a5"/>
          <w:rFonts w:cs="David"/>
        </w:rPr>
        <w:footnoteRef/>
      </w:r>
      <w:r w:rsidRPr="008D003A">
        <w:rPr>
          <w:rFonts w:cs="David"/>
          <w:rtl/>
        </w:rPr>
        <w:t xml:space="preserve"> </w:t>
      </w:r>
      <w:r w:rsidRPr="008D003A">
        <w:rPr>
          <w:rFonts w:cs="David" w:hint="cs"/>
          <w:rtl/>
        </w:rPr>
        <w:t>שגב, עמ' 408-406.</w:t>
      </w:r>
    </w:p>
  </w:footnote>
  <w:footnote w:id="260">
    <w:p w:rsidR="0014770C" w:rsidRDefault="0014770C" w:rsidP="003F6A67">
      <w:pPr>
        <w:pStyle w:val="a3"/>
        <w:rPr>
          <w:rtl/>
        </w:rPr>
      </w:pPr>
      <w:r>
        <w:rPr>
          <w:rStyle w:val="a5"/>
        </w:rPr>
        <w:footnoteRef/>
      </w:r>
      <w:r>
        <w:rPr>
          <w:rtl/>
        </w:rPr>
        <w:t xml:space="preserve"> </w:t>
      </w:r>
      <w:r w:rsidRPr="00664EB9">
        <w:rPr>
          <w:rFonts w:cs="David" w:hint="cs"/>
          <w:rtl/>
        </w:rPr>
        <w:t xml:space="preserve">ראו גם במאמרו של קרמניצר מרדכי, </w:t>
      </w:r>
      <w:r w:rsidRPr="00664EB9">
        <w:rPr>
          <w:rFonts w:cs="David" w:hint="cs"/>
          <w:b/>
          <w:bCs/>
          <w:rtl/>
        </w:rPr>
        <w:t>פרשת אלבה: "ברור הלכות הסתה לגזענות"</w:t>
      </w:r>
      <w:r w:rsidRPr="00664EB9">
        <w:rPr>
          <w:rFonts w:cs="David" w:hint="cs"/>
          <w:rtl/>
        </w:rPr>
        <w:t>, עמ' 114 (1999).</w:t>
      </w:r>
    </w:p>
  </w:footnote>
  <w:footnote w:id="261">
    <w:p w:rsidR="0014770C" w:rsidRPr="00BF52BC" w:rsidRDefault="0014770C" w:rsidP="00194853">
      <w:pPr>
        <w:pStyle w:val="a3"/>
        <w:rPr>
          <w:rFonts w:cs="David"/>
          <w:rtl/>
        </w:rPr>
      </w:pPr>
      <w:r>
        <w:rPr>
          <w:rStyle w:val="a5"/>
        </w:rPr>
        <w:footnoteRef/>
      </w:r>
      <w:r>
        <w:rPr>
          <w:rtl/>
        </w:rPr>
        <w:t xml:space="preserve"> </w:t>
      </w:r>
      <w:r w:rsidRPr="00BF52BC">
        <w:rPr>
          <w:rFonts w:cs="David" w:hint="cs"/>
          <w:rtl/>
        </w:rPr>
        <w:t xml:space="preserve">קרמניצר מרדכי, </w:t>
      </w:r>
      <w:r w:rsidRPr="00BF52BC">
        <w:rPr>
          <w:rFonts w:cs="David" w:hint="cs"/>
          <w:b/>
          <w:bCs/>
          <w:rtl/>
        </w:rPr>
        <w:t>פרשת אלבה: "ברור הלכות הסתה לגזענות"</w:t>
      </w:r>
      <w:r>
        <w:rPr>
          <w:rFonts w:cs="David" w:hint="cs"/>
          <w:rtl/>
        </w:rPr>
        <w:t>, עמ' 100 (1999).</w:t>
      </w:r>
    </w:p>
    <w:p w:rsidR="0014770C" w:rsidRDefault="0014770C">
      <w:pPr>
        <w:pStyle w:val="a3"/>
      </w:pPr>
    </w:p>
  </w:footnote>
  <w:footnote w:id="262">
    <w:p w:rsidR="0014770C" w:rsidRPr="006336D9" w:rsidRDefault="0014770C" w:rsidP="003F6A67">
      <w:pPr>
        <w:pStyle w:val="a3"/>
        <w:rPr>
          <w:rFonts w:cs="David"/>
        </w:rPr>
      </w:pPr>
      <w:r>
        <w:rPr>
          <w:rStyle w:val="a5"/>
        </w:rPr>
        <w:footnoteRef/>
      </w:r>
      <w:r>
        <w:rPr>
          <w:rtl/>
        </w:rPr>
        <w:t xml:space="preserve"> </w:t>
      </w:r>
      <w:r w:rsidRPr="006336D9">
        <w:rPr>
          <w:rFonts w:cs="David" w:hint="cs"/>
          <w:rtl/>
        </w:rPr>
        <w:t xml:space="preserve">מצא אליהו, </w:t>
      </w:r>
      <w:r w:rsidRPr="006336D9">
        <w:rPr>
          <w:rFonts w:cs="David" w:hint="cs"/>
          <w:b/>
          <w:bCs/>
          <w:rtl/>
        </w:rPr>
        <w:t>ההסתברות שמילים תהרוגנה</w:t>
      </w:r>
      <w:r w:rsidRPr="006336D9">
        <w:rPr>
          <w:rFonts w:cs="David" w:hint="cs"/>
          <w:rtl/>
        </w:rPr>
        <w:t>, (2005)</w:t>
      </w:r>
    </w:p>
  </w:footnote>
  <w:footnote w:id="263">
    <w:p w:rsidR="0014770C" w:rsidRDefault="0014770C" w:rsidP="005B3BB0">
      <w:pPr>
        <w:pStyle w:val="a3"/>
        <w:jc w:val="both"/>
        <w:rPr>
          <w:rtl/>
        </w:rPr>
      </w:pPr>
      <w:r>
        <w:rPr>
          <w:rStyle w:val="a5"/>
        </w:rPr>
        <w:footnoteRef/>
      </w:r>
      <w:r>
        <w:rPr>
          <w:rtl/>
        </w:rPr>
        <w:t xml:space="preserve"> </w:t>
      </w:r>
      <w:r w:rsidRPr="00852E56">
        <w:rPr>
          <w:rFonts w:cs="David" w:hint="cs"/>
          <w:rtl/>
        </w:rPr>
        <w:t xml:space="preserve">ראיון שהתקיים עם </w:t>
      </w:r>
      <w:r w:rsidRPr="00852E56">
        <w:rPr>
          <w:rFonts w:cs="David" w:hint="cs"/>
          <w:b/>
          <w:bCs/>
          <w:rtl/>
        </w:rPr>
        <w:t>נצ"</w:t>
      </w:r>
      <w:r>
        <w:rPr>
          <w:rFonts w:cs="David" w:hint="cs"/>
          <w:b/>
          <w:bCs/>
          <w:rtl/>
        </w:rPr>
        <w:t>ם</w:t>
      </w:r>
      <w:r w:rsidRPr="00852E56">
        <w:rPr>
          <w:rFonts w:cs="David" w:hint="cs"/>
          <w:b/>
          <w:bCs/>
          <w:rtl/>
        </w:rPr>
        <w:t xml:space="preserve"> איילת אלישר</w:t>
      </w:r>
      <w:r w:rsidRPr="00852E56">
        <w:rPr>
          <w:rFonts w:cs="David" w:hint="cs"/>
          <w:rtl/>
        </w:rPr>
        <w:t>, ראש מערך 'מניעה מצבית' במשטרת ישראל, מתאריך 7.2.17</w:t>
      </w:r>
      <w:r>
        <w:rPr>
          <w:rFonts w:hint="cs"/>
          <w:rtl/>
        </w:rPr>
        <w:t>.</w:t>
      </w:r>
    </w:p>
  </w:footnote>
  <w:footnote w:id="264">
    <w:p w:rsidR="0014770C" w:rsidRDefault="0014770C" w:rsidP="003440B8">
      <w:pPr>
        <w:pStyle w:val="a3"/>
        <w:jc w:val="both"/>
      </w:pPr>
      <w:r>
        <w:rPr>
          <w:rStyle w:val="a5"/>
        </w:rPr>
        <w:footnoteRef/>
      </w:r>
      <w:r>
        <w:rPr>
          <w:rtl/>
        </w:rPr>
        <w:t xml:space="preserve"> </w:t>
      </w:r>
      <w:r w:rsidRPr="00583973">
        <w:rPr>
          <w:rFonts w:cs="David" w:hint="cs"/>
          <w:b/>
          <w:bCs/>
          <w:rtl/>
        </w:rPr>
        <w:t xml:space="preserve">ענין </w:t>
      </w:r>
      <w:r>
        <w:rPr>
          <w:rFonts w:cs="David" w:hint="cs"/>
          <w:b/>
          <w:bCs/>
          <w:rtl/>
        </w:rPr>
        <w:t>'</w:t>
      </w:r>
      <w:r w:rsidRPr="00583973">
        <w:rPr>
          <w:rFonts w:cs="David" w:hint="cs"/>
          <w:b/>
          <w:bCs/>
          <w:rtl/>
        </w:rPr>
        <w:t>תורת המלך</w:t>
      </w:r>
      <w:r>
        <w:rPr>
          <w:rFonts w:cs="David" w:hint="cs"/>
          <w:b/>
          <w:bCs/>
          <w:rtl/>
        </w:rPr>
        <w:t>'</w:t>
      </w:r>
      <w:r w:rsidRPr="00583973">
        <w:rPr>
          <w:rFonts w:cs="David" w:hint="cs"/>
          <w:rtl/>
        </w:rPr>
        <w:t>, בחוות</w:t>
      </w:r>
      <w:r>
        <w:rPr>
          <w:rFonts w:cs="David" w:hint="cs"/>
          <w:rtl/>
        </w:rPr>
        <w:t xml:space="preserve"> דעתו של השופט ג'ובראן, פסקה 21 וכן </w:t>
      </w:r>
      <w:r w:rsidRPr="00583973">
        <w:rPr>
          <w:rFonts w:cs="David" w:hint="cs"/>
          <w:rtl/>
        </w:rPr>
        <w:t xml:space="preserve">קרמניצר מרדכי, </w:t>
      </w:r>
      <w:r w:rsidRPr="00583973">
        <w:rPr>
          <w:rFonts w:cs="David" w:hint="cs"/>
          <w:b/>
          <w:bCs/>
          <w:rtl/>
        </w:rPr>
        <w:t>פרשת אלבה: "ברור הלכות הסתה לגזענות"</w:t>
      </w:r>
      <w:r>
        <w:rPr>
          <w:rFonts w:cs="David" w:hint="cs"/>
          <w:rtl/>
        </w:rPr>
        <w:t xml:space="preserve"> (1999)</w:t>
      </w:r>
      <w:r w:rsidRPr="00583973">
        <w:rPr>
          <w:rFonts w:cs="David" w:hint="cs"/>
          <w:rtl/>
        </w:rPr>
        <w:t xml:space="preserve">, עמ' </w:t>
      </w:r>
      <w:r w:rsidRPr="00BF2B01">
        <w:rPr>
          <w:rFonts w:cs="David" w:hint="cs"/>
          <w:rtl/>
        </w:rPr>
        <w:t>143-142.</w:t>
      </w:r>
    </w:p>
  </w:footnote>
  <w:footnote w:id="265">
    <w:p w:rsidR="0014770C" w:rsidRDefault="0014770C" w:rsidP="003440B8">
      <w:pPr>
        <w:pStyle w:val="a3"/>
        <w:jc w:val="both"/>
        <w:rPr>
          <w:rtl/>
        </w:rPr>
      </w:pPr>
      <w:r>
        <w:rPr>
          <w:rStyle w:val="a5"/>
        </w:rPr>
        <w:footnoteRef/>
      </w:r>
      <w:r>
        <w:rPr>
          <w:rtl/>
        </w:rPr>
        <w:t xml:space="preserve"> </w:t>
      </w:r>
      <w:r w:rsidRPr="00583973">
        <w:rPr>
          <w:rFonts w:cs="David" w:hint="cs"/>
          <w:b/>
          <w:bCs/>
          <w:rtl/>
        </w:rPr>
        <w:t xml:space="preserve">ענין </w:t>
      </w:r>
      <w:r>
        <w:rPr>
          <w:rFonts w:cs="David" w:hint="cs"/>
          <w:b/>
          <w:bCs/>
          <w:rtl/>
        </w:rPr>
        <w:t>'</w:t>
      </w:r>
      <w:r w:rsidRPr="00583973">
        <w:rPr>
          <w:rFonts w:cs="David" w:hint="cs"/>
          <w:b/>
          <w:bCs/>
          <w:rtl/>
        </w:rPr>
        <w:t>תורת המלך</w:t>
      </w:r>
      <w:r>
        <w:rPr>
          <w:rFonts w:cs="David" w:hint="cs"/>
          <w:b/>
          <w:bCs/>
          <w:rtl/>
        </w:rPr>
        <w:t>'</w:t>
      </w:r>
      <w:r w:rsidRPr="00583973">
        <w:rPr>
          <w:rFonts w:cs="David" w:hint="cs"/>
          <w:rtl/>
        </w:rPr>
        <w:t>, בחוות</w:t>
      </w:r>
      <w:r>
        <w:rPr>
          <w:rFonts w:cs="David" w:hint="cs"/>
          <w:rtl/>
        </w:rPr>
        <w:t xml:space="preserve"> דעתו של השופט ג'ובראן</w:t>
      </w:r>
      <w:r w:rsidRPr="00961EC3">
        <w:rPr>
          <w:rFonts w:cs="David" w:hint="cs"/>
          <w:rtl/>
        </w:rPr>
        <w:t>, פסקה 13</w:t>
      </w:r>
      <w:r>
        <w:rPr>
          <w:rFonts w:hint="cs"/>
          <w:rtl/>
        </w:rPr>
        <w:t>.</w:t>
      </w:r>
    </w:p>
  </w:footnote>
  <w:footnote w:id="266">
    <w:p w:rsidR="0014770C" w:rsidRDefault="0014770C" w:rsidP="003440B8">
      <w:pPr>
        <w:pStyle w:val="a3"/>
        <w:jc w:val="both"/>
      </w:pPr>
      <w:r>
        <w:rPr>
          <w:rStyle w:val="a5"/>
        </w:rPr>
        <w:footnoteRef/>
      </w:r>
      <w:r>
        <w:rPr>
          <w:rtl/>
        </w:rPr>
        <w:t xml:space="preserve"> </w:t>
      </w:r>
      <w:r w:rsidRPr="00961EC3">
        <w:rPr>
          <w:rFonts w:cs="David" w:hint="cs"/>
          <w:rtl/>
        </w:rPr>
        <w:t>שם,</w:t>
      </w:r>
      <w:r>
        <w:rPr>
          <w:rFonts w:cs="David" w:hint="cs"/>
          <w:rtl/>
        </w:rPr>
        <w:t xml:space="preserve"> </w:t>
      </w:r>
      <w:r w:rsidRPr="00961EC3">
        <w:rPr>
          <w:rFonts w:cs="David" w:hint="cs"/>
          <w:rtl/>
        </w:rPr>
        <w:t>פסקה 15.</w:t>
      </w:r>
    </w:p>
  </w:footnote>
  <w:footnote w:id="267">
    <w:p w:rsidR="0014770C" w:rsidRDefault="0014770C" w:rsidP="003440B8">
      <w:pPr>
        <w:pStyle w:val="a3"/>
        <w:jc w:val="both"/>
        <w:rPr>
          <w:rtl/>
        </w:rPr>
      </w:pPr>
      <w:r>
        <w:rPr>
          <w:rStyle w:val="a5"/>
        </w:rPr>
        <w:footnoteRef/>
      </w:r>
      <w:r>
        <w:rPr>
          <w:rtl/>
        </w:rPr>
        <w:t xml:space="preserve"> </w:t>
      </w:r>
      <w:r w:rsidRPr="00AD3678">
        <w:rPr>
          <w:rFonts w:cs="David" w:hint="cs"/>
          <w:rtl/>
        </w:rPr>
        <w:t xml:space="preserve">ראיון עם </w:t>
      </w:r>
      <w:r>
        <w:rPr>
          <w:rFonts w:cs="David" w:hint="cs"/>
          <w:b/>
          <w:bCs/>
          <w:rtl/>
        </w:rPr>
        <w:t xml:space="preserve">ד"ר </w:t>
      </w:r>
      <w:r w:rsidRPr="00AD3678">
        <w:rPr>
          <w:rFonts w:cs="David" w:hint="cs"/>
          <w:b/>
          <w:bCs/>
          <w:rtl/>
        </w:rPr>
        <w:t>עמיר פוקס</w:t>
      </w:r>
      <w:r w:rsidRPr="00AD3678">
        <w:rPr>
          <w:rFonts w:cs="David" w:hint="cs"/>
          <w:rtl/>
        </w:rPr>
        <w:t>, המכון הישראלי לדמוקרטיה, מתאריך 6.2.17.</w:t>
      </w:r>
    </w:p>
  </w:footnote>
  <w:footnote w:id="268">
    <w:p w:rsidR="0014770C" w:rsidRDefault="0014770C" w:rsidP="003440B8">
      <w:pPr>
        <w:pStyle w:val="a3"/>
        <w:jc w:val="both"/>
      </w:pPr>
      <w:r>
        <w:rPr>
          <w:rStyle w:val="a5"/>
        </w:rPr>
        <w:footnoteRef/>
      </w:r>
      <w:r>
        <w:rPr>
          <w:rtl/>
        </w:rPr>
        <w:t xml:space="preserve"> </w:t>
      </w:r>
      <w:r w:rsidRPr="00230038">
        <w:rPr>
          <w:rFonts w:cs="David" w:hint="cs"/>
          <w:rtl/>
        </w:rPr>
        <w:t xml:space="preserve">שטרן ידידיה, </w:t>
      </w:r>
      <w:r w:rsidRPr="00230038">
        <w:rPr>
          <w:rFonts w:cs="David" w:hint="cs"/>
          <w:b/>
          <w:bCs/>
          <w:rtl/>
        </w:rPr>
        <w:t xml:space="preserve">גזענות וחופש הביטוי </w:t>
      </w:r>
      <w:r w:rsidRPr="00230038">
        <w:rPr>
          <w:rFonts w:cs="David"/>
          <w:b/>
          <w:bCs/>
          <w:rtl/>
        </w:rPr>
        <w:t>–</w:t>
      </w:r>
      <w:r w:rsidRPr="00230038">
        <w:rPr>
          <w:rFonts w:cs="David" w:hint="cs"/>
          <w:b/>
          <w:bCs/>
          <w:rtl/>
        </w:rPr>
        <w:t xml:space="preserve"> כיצד נאזן בין המלחמה בגזענות לבין השמירה על חופש הביטוי?</w:t>
      </w:r>
      <w:r w:rsidRPr="00230038">
        <w:rPr>
          <w:rFonts w:cs="David" w:hint="cs"/>
          <w:rtl/>
        </w:rPr>
        <w:t xml:space="preserve"> (2015)</w:t>
      </w:r>
      <w:r>
        <w:rPr>
          <w:rFonts w:hint="cs"/>
          <w:rtl/>
        </w:rPr>
        <w:t xml:space="preserve"> </w:t>
      </w:r>
      <w:r w:rsidRPr="00895C8B">
        <w:rPr>
          <w:rFonts w:cs="David" w:hint="cs"/>
          <w:rtl/>
        </w:rPr>
        <w:t xml:space="preserve">וכן </w:t>
      </w:r>
      <w:r w:rsidRPr="004C168A">
        <w:rPr>
          <w:rFonts w:cs="David" w:hint="cs"/>
          <w:rtl/>
        </w:rPr>
        <w:t xml:space="preserve">נגבי עירית, </w:t>
      </w:r>
      <w:r w:rsidRPr="004C168A">
        <w:rPr>
          <w:rFonts w:cs="David" w:hint="cs"/>
          <w:b/>
          <w:bCs/>
          <w:rtl/>
        </w:rPr>
        <w:t>המרשתת, מיזוגיניה וחופש הביטוי</w:t>
      </w:r>
      <w:r w:rsidRPr="004C168A">
        <w:rPr>
          <w:rFonts w:cs="David" w:hint="cs"/>
          <w:rtl/>
        </w:rPr>
        <w:t>, עמ' 5</w:t>
      </w:r>
      <w:r>
        <w:rPr>
          <w:rFonts w:cs="David" w:hint="cs"/>
          <w:rtl/>
        </w:rPr>
        <w:t>32</w:t>
      </w:r>
      <w:r w:rsidRPr="004C168A">
        <w:rPr>
          <w:rFonts w:cs="David" w:hint="cs"/>
          <w:rtl/>
        </w:rPr>
        <w:t>, (2013).</w:t>
      </w:r>
    </w:p>
  </w:footnote>
  <w:footnote w:id="269">
    <w:p w:rsidR="0014770C" w:rsidRDefault="0014770C" w:rsidP="003440B8">
      <w:pPr>
        <w:pStyle w:val="a3"/>
        <w:jc w:val="both"/>
        <w:rPr>
          <w:rtl/>
        </w:rPr>
      </w:pPr>
      <w:r>
        <w:rPr>
          <w:rStyle w:val="a5"/>
        </w:rPr>
        <w:footnoteRef/>
      </w:r>
      <w:r>
        <w:rPr>
          <w:rtl/>
        </w:rPr>
        <w:t xml:space="preserve"> </w:t>
      </w:r>
      <w:r w:rsidRPr="00DB0680">
        <w:rPr>
          <w:rFonts w:cs="David" w:hint="cs"/>
          <w:rtl/>
        </w:rPr>
        <w:t xml:space="preserve">ברזילי-נהון </w:t>
      </w:r>
      <w:r>
        <w:rPr>
          <w:rFonts w:cs="David" w:hint="cs"/>
          <w:rtl/>
        </w:rPr>
        <w:t xml:space="preserve">קרין </w:t>
      </w:r>
      <w:r w:rsidRPr="00DB0680">
        <w:rPr>
          <w:rFonts w:cs="David" w:hint="cs"/>
          <w:rtl/>
        </w:rPr>
        <w:t xml:space="preserve">וברזילי גד, </w:t>
      </w:r>
      <w:r w:rsidRPr="00DB0680">
        <w:rPr>
          <w:rFonts w:cs="David" w:hint="cs"/>
          <w:b/>
          <w:bCs/>
          <w:rtl/>
        </w:rPr>
        <w:t>חופש הביטוי המעשי והמדומיין באינטרנט: על בטלותה והולדתה המחודשת של הצנזורה</w:t>
      </w:r>
      <w:r w:rsidRPr="00DB0680">
        <w:rPr>
          <w:rFonts w:cs="David" w:hint="cs"/>
          <w:rtl/>
        </w:rPr>
        <w:t>, עמ' 509, (2006)</w:t>
      </w:r>
    </w:p>
  </w:footnote>
  <w:footnote w:id="270">
    <w:p w:rsidR="0014770C" w:rsidRPr="00DB0680" w:rsidRDefault="0014770C" w:rsidP="003440B8">
      <w:pPr>
        <w:pStyle w:val="a3"/>
        <w:jc w:val="both"/>
      </w:pPr>
      <w:r>
        <w:rPr>
          <w:rStyle w:val="a5"/>
        </w:rPr>
        <w:footnoteRef/>
      </w:r>
      <w:r>
        <w:rPr>
          <w:rtl/>
        </w:rPr>
        <w:t xml:space="preserve"> </w:t>
      </w:r>
      <w:r w:rsidRPr="00657AA3">
        <w:rPr>
          <w:rFonts w:cs="David" w:hint="cs"/>
          <w:rtl/>
        </w:rPr>
        <w:t xml:space="preserve">אגמון-גונן מיכל, </w:t>
      </w:r>
      <w:r w:rsidRPr="00657AA3">
        <w:rPr>
          <w:rFonts w:cs="David" w:hint="cs"/>
          <w:b/>
          <w:bCs/>
          <w:rtl/>
        </w:rPr>
        <w:t>האינטרנט כעיר מקלט?! הסדרה משפטית לאור אפשרויות העקיפה הטכנולוגיות וגלובליות הרשת</w:t>
      </w:r>
      <w:r w:rsidRPr="00657AA3">
        <w:rPr>
          <w:rFonts w:cs="David" w:hint="cs"/>
          <w:rtl/>
        </w:rPr>
        <w:t>, עמ' 23</w:t>
      </w:r>
      <w:r>
        <w:rPr>
          <w:rFonts w:cs="David" w:hint="cs"/>
          <w:rtl/>
        </w:rPr>
        <w:t>7</w:t>
      </w:r>
      <w:r w:rsidRPr="00657AA3">
        <w:rPr>
          <w:rFonts w:cs="David" w:hint="cs"/>
          <w:rtl/>
        </w:rPr>
        <w:t>, (2011).</w:t>
      </w:r>
    </w:p>
  </w:footnote>
  <w:footnote w:id="271">
    <w:p w:rsidR="0014770C" w:rsidRDefault="0014770C" w:rsidP="003440B8">
      <w:pPr>
        <w:pStyle w:val="a3"/>
        <w:jc w:val="both"/>
        <w:rPr>
          <w:rtl/>
        </w:rPr>
      </w:pPr>
      <w:r>
        <w:rPr>
          <w:rStyle w:val="a5"/>
        </w:rPr>
        <w:footnoteRef/>
      </w:r>
      <w:r>
        <w:rPr>
          <w:rtl/>
        </w:rPr>
        <w:t xml:space="preserve"> </w:t>
      </w:r>
      <w:r w:rsidRPr="002C764B">
        <w:rPr>
          <w:rFonts w:cs="David" w:hint="cs"/>
          <w:rtl/>
        </w:rPr>
        <w:t xml:space="preserve">ראיון שהתקיים עם </w:t>
      </w:r>
      <w:r>
        <w:rPr>
          <w:rFonts w:cs="David" w:hint="cs"/>
          <w:b/>
          <w:bCs/>
          <w:rtl/>
        </w:rPr>
        <w:t>ד"ר</w:t>
      </w:r>
      <w:r w:rsidRPr="002C764B">
        <w:rPr>
          <w:rFonts w:cs="David" w:hint="cs"/>
          <w:b/>
          <w:bCs/>
          <w:rtl/>
        </w:rPr>
        <w:t xml:space="preserve"> חיים ויסמונסקי</w:t>
      </w:r>
      <w:r w:rsidRPr="002C764B">
        <w:rPr>
          <w:rFonts w:cs="David" w:hint="cs"/>
          <w:rtl/>
        </w:rPr>
        <w:t>, מנהל מחלקת הסייבר בפרקליטות המדינה, מתאריך 16.3.17.</w:t>
      </w:r>
    </w:p>
  </w:footnote>
  <w:footnote w:id="272">
    <w:p w:rsidR="0014770C" w:rsidRDefault="0014770C" w:rsidP="00270015">
      <w:pPr>
        <w:pStyle w:val="a3"/>
      </w:pPr>
      <w:r>
        <w:rPr>
          <w:rStyle w:val="a5"/>
        </w:rPr>
        <w:footnoteRef/>
      </w:r>
      <w:r>
        <w:rPr>
          <w:rtl/>
        </w:rPr>
        <w:t xml:space="preserve"> </w:t>
      </w:r>
      <w:r w:rsidRPr="00EE5980">
        <w:rPr>
          <w:rFonts w:cs="David" w:hint="cs"/>
          <w:rtl/>
        </w:rPr>
        <w:t>פראצ'ט טרי, סופר.</w:t>
      </w:r>
    </w:p>
  </w:footnote>
  <w:footnote w:id="273">
    <w:p w:rsidR="0014770C" w:rsidRDefault="0014770C" w:rsidP="001313F0">
      <w:pPr>
        <w:pStyle w:val="a3"/>
      </w:pPr>
      <w:r>
        <w:rPr>
          <w:rStyle w:val="a5"/>
        </w:rPr>
        <w:footnoteRef/>
      </w:r>
      <w:r>
        <w:rPr>
          <w:rtl/>
        </w:rPr>
        <w:t xml:space="preserve"> </w:t>
      </w:r>
      <w:r w:rsidRPr="00267FA2">
        <w:rPr>
          <w:rFonts w:cs="David" w:hint="cs"/>
          <w:rtl/>
        </w:rPr>
        <w:t xml:space="preserve">עניין </w:t>
      </w:r>
      <w:r w:rsidRPr="00267FA2">
        <w:rPr>
          <w:rFonts w:cs="David" w:hint="cs"/>
          <w:b/>
          <w:bCs/>
          <w:rtl/>
        </w:rPr>
        <w:t>אלבה</w:t>
      </w:r>
      <w:r w:rsidRPr="00267FA2">
        <w:rPr>
          <w:rFonts w:cs="David" w:hint="cs"/>
          <w:rtl/>
        </w:rPr>
        <w:t xml:space="preserve"> ,בחוות דעתו של השופט מצא, פסקה 61.</w:t>
      </w:r>
    </w:p>
  </w:footnote>
  <w:footnote w:id="274">
    <w:p w:rsidR="0014770C" w:rsidRDefault="0014770C" w:rsidP="00267FA2">
      <w:pPr>
        <w:pStyle w:val="a3"/>
        <w:rPr>
          <w:rtl/>
        </w:rPr>
      </w:pPr>
      <w:r>
        <w:rPr>
          <w:rStyle w:val="a5"/>
        </w:rPr>
        <w:footnoteRef/>
      </w:r>
      <w:r>
        <w:rPr>
          <w:rtl/>
        </w:rPr>
        <w:t xml:space="preserve"> </w:t>
      </w:r>
      <w:r w:rsidRPr="00774DD8">
        <w:rPr>
          <w:rFonts w:cs="David" w:hint="cs"/>
          <w:b/>
          <w:bCs/>
          <w:rtl/>
        </w:rPr>
        <w:t xml:space="preserve">עניין </w:t>
      </w:r>
      <w:r w:rsidRPr="00267FA2">
        <w:rPr>
          <w:rFonts w:cs="David" w:hint="cs"/>
          <w:b/>
          <w:bCs/>
          <w:rtl/>
        </w:rPr>
        <w:t xml:space="preserve">'תורת המלך', </w:t>
      </w:r>
      <w:r w:rsidRPr="00774DD8">
        <w:rPr>
          <w:rFonts w:cs="David" w:hint="cs"/>
          <w:rtl/>
        </w:rPr>
        <w:t>בחוות דעתו של השופט ג'ובראן, פסקאות 14-13.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D08EA"/>
    <w:multiLevelType w:val="hybridMultilevel"/>
    <w:tmpl w:val="8CD2C1DA"/>
    <w:lvl w:ilvl="0" w:tplc="DEC6D2E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31E37"/>
    <w:multiLevelType w:val="hybridMultilevel"/>
    <w:tmpl w:val="D9E23BD0"/>
    <w:lvl w:ilvl="0" w:tplc="AC6415C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36696"/>
    <w:multiLevelType w:val="hybridMultilevel"/>
    <w:tmpl w:val="507C33C4"/>
    <w:lvl w:ilvl="0" w:tplc="D90070FE">
      <w:start w:val="1"/>
      <w:numFmt w:val="hebrew1"/>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5B1627"/>
    <w:multiLevelType w:val="hybridMultilevel"/>
    <w:tmpl w:val="04E40C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D5296"/>
    <w:multiLevelType w:val="hybridMultilevel"/>
    <w:tmpl w:val="14C8ACF6"/>
    <w:lvl w:ilvl="0" w:tplc="23106CD2">
      <w:start w:val="1"/>
      <w:numFmt w:val="hebrew1"/>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200C72"/>
    <w:multiLevelType w:val="hybridMultilevel"/>
    <w:tmpl w:val="BC1E5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761319"/>
    <w:multiLevelType w:val="hybridMultilevel"/>
    <w:tmpl w:val="53F2CCC4"/>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rPr>
        <w:rFonts w:hint="default"/>
      </w:rPr>
    </w:lvl>
    <w:lvl w:ilvl="2" w:tplc="50CE6648">
      <w:start w:val="1"/>
      <w:numFmt w:val="hebrew2"/>
      <w:lvlText w:val="א1%3"/>
      <w:lvlJc w:val="left"/>
      <w:pPr>
        <w:ind w:left="1800" w:hanging="18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C03A93"/>
    <w:multiLevelType w:val="hybridMultilevel"/>
    <w:tmpl w:val="1B282822"/>
    <w:lvl w:ilvl="0" w:tplc="0C4E83C2">
      <w:start w:val="1"/>
      <w:numFmt w:val="hebrew1"/>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15221"/>
    <w:multiLevelType w:val="hybridMultilevel"/>
    <w:tmpl w:val="1C403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594262"/>
    <w:multiLevelType w:val="hybridMultilevel"/>
    <w:tmpl w:val="869CB0A2"/>
    <w:lvl w:ilvl="0" w:tplc="197618E6">
      <w:start w:val="1"/>
      <w:numFmt w:val="hebrew1"/>
      <w:lvlText w:val="(%1)"/>
      <w:lvlJc w:val="left"/>
      <w:pPr>
        <w:ind w:left="750" w:hanging="375"/>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nsid w:val="41897081"/>
    <w:multiLevelType w:val="hybridMultilevel"/>
    <w:tmpl w:val="AA9A7362"/>
    <w:lvl w:ilvl="0" w:tplc="EA6E074E">
      <w:start w:val="1"/>
      <w:numFmt w:val="hebrew1"/>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010D5E"/>
    <w:multiLevelType w:val="hybridMultilevel"/>
    <w:tmpl w:val="E51A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E404C9"/>
    <w:multiLevelType w:val="hybridMultilevel"/>
    <w:tmpl w:val="0D20FBDC"/>
    <w:lvl w:ilvl="0" w:tplc="85E29D38">
      <w:start w:val="1"/>
      <w:numFmt w:val="hebrew1"/>
      <w:lvlText w:val="(%1)"/>
      <w:lvlJc w:val="left"/>
      <w:pPr>
        <w:ind w:left="1095" w:hanging="37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3D1B37"/>
    <w:multiLevelType w:val="hybridMultilevel"/>
    <w:tmpl w:val="C89EE124"/>
    <w:lvl w:ilvl="0" w:tplc="1D9EA956">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B76B3"/>
    <w:multiLevelType w:val="hybridMultilevel"/>
    <w:tmpl w:val="22B60282"/>
    <w:lvl w:ilvl="0" w:tplc="07B4DAD2">
      <w:start w:val="1"/>
      <w:numFmt w:val="hebrew1"/>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A646B"/>
    <w:multiLevelType w:val="hybridMultilevel"/>
    <w:tmpl w:val="71AA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CA425F"/>
    <w:multiLevelType w:val="hybridMultilevel"/>
    <w:tmpl w:val="5540DB34"/>
    <w:lvl w:ilvl="0" w:tplc="604A7852">
      <w:start w:val="1"/>
      <w:numFmt w:val="hebrew1"/>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425C47"/>
    <w:multiLevelType w:val="hybridMultilevel"/>
    <w:tmpl w:val="BB7C1B08"/>
    <w:lvl w:ilvl="0" w:tplc="80525C2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9F1C64"/>
    <w:multiLevelType w:val="hybridMultilevel"/>
    <w:tmpl w:val="47E80B9A"/>
    <w:lvl w:ilvl="0" w:tplc="692C2482">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6775E4"/>
    <w:multiLevelType w:val="hybridMultilevel"/>
    <w:tmpl w:val="2A22D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6"/>
  </w:num>
  <w:num w:numId="3">
    <w:abstractNumId w:val="14"/>
  </w:num>
  <w:num w:numId="4">
    <w:abstractNumId w:val="7"/>
  </w:num>
  <w:num w:numId="5">
    <w:abstractNumId w:val="16"/>
  </w:num>
  <w:num w:numId="6">
    <w:abstractNumId w:val="10"/>
  </w:num>
  <w:num w:numId="7">
    <w:abstractNumId w:val="13"/>
  </w:num>
  <w:num w:numId="8">
    <w:abstractNumId w:val="2"/>
  </w:num>
  <w:num w:numId="9">
    <w:abstractNumId w:val="0"/>
  </w:num>
  <w:num w:numId="10">
    <w:abstractNumId w:val="12"/>
  </w:num>
  <w:num w:numId="11">
    <w:abstractNumId w:val="9"/>
  </w:num>
  <w:num w:numId="12">
    <w:abstractNumId w:val="18"/>
  </w:num>
  <w:num w:numId="13">
    <w:abstractNumId w:val="17"/>
  </w:num>
  <w:num w:numId="14">
    <w:abstractNumId w:val="15"/>
  </w:num>
  <w:num w:numId="15">
    <w:abstractNumId w:val="5"/>
  </w:num>
  <w:num w:numId="16">
    <w:abstractNumId w:val="8"/>
  </w:num>
  <w:num w:numId="17">
    <w:abstractNumId w:val="3"/>
  </w:num>
  <w:num w:numId="18">
    <w:abstractNumId w:val="11"/>
  </w:num>
  <w:num w:numId="19">
    <w:abstractNumId w:val="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C1A"/>
    <w:rsid w:val="000004A9"/>
    <w:rsid w:val="00000906"/>
    <w:rsid w:val="00000B89"/>
    <w:rsid w:val="00001FA4"/>
    <w:rsid w:val="000035B8"/>
    <w:rsid w:val="0000514C"/>
    <w:rsid w:val="00010A38"/>
    <w:rsid w:val="0001180E"/>
    <w:rsid w:val="0001226E"/>
    <w:rsid w:val="000129C1"/>
    <w:rsid w:val="00012FD5"/>
    <w:rsid w:val="00014942"/>
    <w:rsid w:val="00014D99"/>
    <w:rsid w:val="00014ECD"/>
    <w:rsid w:val="00015753"/>
    <w:rsid w:val="0001581C"/>
    <w:rsid w:val="00016D87"/>
    <w:rsid w:val="00017C5D"/>
    <w:rsid w:val="00017F41"/>
    <w:rsid w:val="00021BF7"/>
    <w:rsid w:val="000227B8"/>
    <w:rsid w:val="00022C40"/>
    <w:rsid w:val="00024177"/>
    <w:rsid w:val="0002513E"/>
    <w:rsid w:val="00025D63"/>
    <w:rsid w:val="00026DEF"/>
    <w:rsid w:val="00031D09"/>
    <w:rsid w:val="00032782"/>
    <w:rsid w:val="00032832"/>
    <w:rsid w:val="00032879"/>
    <w:rsid w:val="00032A66"/>
    <w:rsid w:val="00032CAA"/>
    <w:rsid w:val="000350AB"/>
    <w:rsid w:val="000365CD"/>
    <w:rsid w:val="000407D5"/>
    <w:rsid w:val="000407DC"/>
    <w:rsid w:val="000413C0"/>
    <w:rsid w:val="0004217B"/>
    <w:rsid w:val="000422EB"/>
    <w:rsid w:val="00044630"/>
    <w:rsid w:val="00044B44"/>
    <w:rsid w:val="00044C7C"/>
    <w:rsid w:val="00045063"/>
    <w:rsid w:val="000460AF"/>
    <w:rsid w:val="00046C26"/>
    <w:rsid w:val="00046E86"/>
    <w:rsid w:val="0004707D"/>
    <w:rsid w:val="00047595"/>
    <w:rsid w:val="000475B4"/>
    <w:rsid w:val="0004795D"/>
    <w:rsid w:val="00047A47"/>
    <w:rsid w:val="00047B6D"/>
    <w:rsid w:val="00047E63"/>
    <w:rsid w:val="00050E50"/>
    <w:rsid w:val="00051086"/>
    <w:rsid w:val="000513E1"/>
    <w:rsid w:val="000517EE"/>
    <w:rsid w:val="00051AAA"/>
    <w:rsid w:val="00052286"/>
    <w:rsid w:val="000523A8"/>
    <w:rsid w:val="0005265B"/>
    <w:rsid w:val="0005391C"/>
    <w:rsid w:val="00054CDE"/>
    <w:rsid w:val="00055B29"/>
    <w:rsid w:val="00055EC4"/>
    <w:rsid w:val="0005670F"/>
    <w:rsid w:val="00057613"/>
    <w:rsid w:val="00057A59"/>
    <w:rsid w:val="00057E0E"/>
    <w:rsid w:val="0006056C"/>
    <w:rsid w:val="00060DD2"/>
    <w:rsid w:val="00062AFB"/>
    <w:rsid w:val="00063027"/>
    <w:rsid w:val="00063157"/>
    <w:rsid w:val="00063168"/>
    <w:rsid w:val="000632C6"/>
    <w:rsid w:val="00063FA7"/>
    <w:rsid w:val="00064E25"/>
    <w:rsid w:val="00066E57"/>
    <w:rsid w:val="00067189"/>
    <w:rsid w:val="00072533"/>
    <w:rsid w:val="00073864"/>
    <w:rsid w:val="00073D5D"/>
    <w:rsid w:val="0007434C"/>
    <w:rsid w:val="000747B3"/>
    <w:rsid w:val="00074938"/>
    <w:rsid w:val="00074BC2"/>
    <w:rsid w:val="00074D0E"/>
    <w:rsid w:val="000772D1"/>
    <w:rsid w:val="000773C9"/>
    <w:rsid w:val="00080011"/>
    <w:rsid w:val="000807B7"/>
    <w:rsid w:val="00080E47"/>
    <w:rsid w:val="00081641"/>
    <w:rsid w:val="0008172D"/>
    <w:rsid w:val="00083305"/>
    <w:rsid w:val="000833C8"/>
    <w:rsid w:val="00085E8D"/>
    <w:rsid w:val="00086350"/>
    <w:rsid w:val="00086FA5"/>
    <w:rsid w:val="00087644"/>
    <w:rsid w:val="000877B4"/>
    <w:rsid w:val="0009039F"/>
    <w:rsid w:val="000903C5"/>
    <w:rsid w:val="000916D7"/>
    <w:rsid w:val="0009214F"/>
    <w:rsid w:val="000936EF"/>
    <w:rsid w:val="000941E9"/>
    <w:rsid w:val="0009481E"/>
    <w:rsid w:val="00094A2E"/>
    <w:rsid w:val="00095487"/>
    <w:rsid w:val="00095E9F"/>
    <w:rsid w:val="00095F9E"/>
    <w:rsid w:val="00096829"/>
    <w:rsid w:val="00096978"/>
    <w:rsid w:val="00096C28"/>
    <w:rsid w:val="00096D5D"/>
    <w:rsid w:val="0009792C"/>
    <w:rsid w:val="00097DB0"/>
    <w:rsid w:val="000A0898"/>
    <w:rsid w:val="000A1F18"/>
    <w:rsid w:val="000A23CD"/>
    <w:rsid w:val="000A36DB"/>
    <w:rsid w:val="000A3813"/>
    <w:rsid w:val="000A3D13"/>
    <w:rsid w:val="000A5230"/>
    <w:rsid w:val="000A55D0"/>
    <w:rsid w:val="000A579E"/>
    <w:rsid w:val="000A599D"/>
    <w:rsid w:val="000A70FC"/>
    <w:rsid w:val="000A71AC"/>
    <w:rsid w:val="000A72BC"/>
    <w:rsid w:val="000A74E5"/>
    <w:rsid w:val="000A7597"/>
    <w:rsid w:val="000B0025"/>
    <w:rsid w:val="000B0151"/>
    <w:rsid w:val="000B0F42"/>
    <w:rsid w:val="000B1AEC"/>
    <w:rsid w:val="000B2CC7"/>
    <w:rsid w:val="000B4037"/>
    <w:rsid w:val="000B41AD"/>
    <w:rsid w:val="000B4E47"/>
    <w:rsid w:val="000B531F"/>
    <w:rsid w:val="000B539A"/>
    <w:rsid w:val="000B5FC4"/>
    <w:rsid w:val="000C02E9"/>
    <w:rsid w:val="000C1037"/>
    <w:rsid w:val="000C1A2C"/>
    <w:rsid w:val="000C3385"/>
    <w:rsid w:val="000C3D00"/>
    <w:rsid w:val="000C43CD"/>
    <w:rsid w:val="000C4505"/>
    <w:rsid w:val="000C527F"/>
    <w:rsid w:val="000C5302"/>
    <w:rsid w:val="000C68DF"/>
    <w:rsid w:val="000C77BA"/>
    <w:rsid w:val="000D0DFD"/>
    <w:rsid w:val="000D2794"/>
    <w:rsid w:val="000D2B57"/>
    <w:rsid w:val="000D3F74"/>
    <w:rsid w:val="000D4910"/>
    <w:rsid w:val="000D4C54"/>
    <w:rsid w:val="000D4E9E"/>
    <w:rsid w:val="000D5A16"/>
    <w:rsid w:val="000D6399"/>
    <w:rsid w:val="000D7B10"/>
    <w:rsid w:val="000D7CCD"/>
    <w:rsid w:val="000E02E2"/>
    <w:rsid w:val="000E177A"/>
    <w:rsid w:val="000E1D54"/>
    <w:rsid w:val="000E40D8"/>
    <w:rsid w:val="000E415B"/>
    <w:rsid w:val="000E4B30"/>
    <w:rsid w:val="000E5047"/>
    <w:rsid w:val="000E51DC"/>
    <w:rsid w:val="000E6ADA"/>
    <w:rsid w:val="000E6B7F"/>
    <w:rsid w:val="000E6F67"/>
    <w:rsid w:val="000E7545"/>
    <w:rsid w:val="000F089E"/>
    <w:rsid w:val="000F195F"/>
    <w:rsid w:val="000F275E"/>
    <w:rsid w:val="000F2921"/>
    <w:rsid w:val="000F3150"/>
    <w:rsid w:val="000F4E56"/>
    <w:rsid w:val="000F56CD"/>
    <w:rsid w:val="000F5C2C"/>
    <w:rsid w:val="000F615C"/>
    <w:rsid w:val="0010015D"/>
    <w:rsid w:val="0010093C"/>
    <w:rsid w:val="00100D57"/>
    <w:rsid w:val="001015C6"/>
    <w:rsid w:val="0010193D"/>
    <w:rsid w:val="00102F1A"/>
    <w:rsid w:val="001039E6"/>
    <w:rsid w:val="00103CA9"/>
    <w:rsid w:val="00104FD4"/>
    <w:rsid w:val="001050CF"/>
    <w:rsid w:val="00105117"/>
    <w:rsid w:val="00105162"/>
    <w:rsid w:val="0010526C"/>
    <w:rsid w:val="001052E2"/>
    <w:rsid w:val="00105A8B"/>
    <w:rsid w:val="001060ED"/>
    <w:rsid w:val="0010658F"/>
    <w:rsid w:val="0011050F"/>
    <w:rsid w:val="00110D65"/>
    <w:rsid w:val="00112275"/>
    <w:rsid w:val="0011248B"/>
    <w:rsid w:val="001125D8"/>
    <w:rsid w:val="001128B9"/>
    <w:rsid w:val="0011308F"/>
    <w:rsid w:val="00114696"/>
    <w:rsid w:val="00114823"/>
    <w:rsid w:val="00114CEA"/>
    <w:rsid w:val="00116965"/>
    <w:rsid w:val="00117887"/>
    <w:rsid w:val="001178AC"/>
    <w:rsid w:val="00120759"/>
    <w:rsid w:val="00120D65"/>
    <w:rsid w:val="00120F53"/>
    <w:rsid w:val="00121769"/>
    <w:rsid w:val="00121859"/>
    <w:rsid w:val="00121F68"/>
    <w:rsid w:val="00122605"/>
    <w:rsid w:val="00125656"/>
    <w:rsid w:val="00125981"/>
    <w:rsid w:val="0012647B"/>
    <w:rsid w:val="00126FED"/>
    <w:rsid w:val="0012706D"/>
    <w:rsid w:val="00127E83"/>
    <w:rsid w:val="00130642"/>
    <w:rsid w:val="001313F0"/>
    <w:rsid w:val="00131FF7"/>
    <w:rsid w:val="00132702"/>
    <w:rsid w:val="00133EFB"/>
    <w:rsid w:val="00135480"/>
    <w:rsid w:val="00136308"/>
    <w:rsid w:val="00140306"/>
    <w:rsid w:val="00140648"/>
    <w:rsid w:val="00141116"/>
    <w:rsid w:val="0014276F"/>
    <w:rsid w:val="00142B42"/>
    <w:rsid w:val="001434DE"/>
    <w:rsid w:val="001436CC"/>
    <w:rsid w:val="00143F78"/>
    <w:rsid w:val="00143FFB"/>
    <w:rsid w:val="001456FA"/>
    <w:rsid w:val="0014724C"/>
    <w:rsid w:val="0014770C"/>
    <w:rsid w:val="001500AB"/>
    <w:rsid w:val="0015026E"/>
    <w:rsid w:val="0015055C"/>
    <w:rsid w:val="00151BB1"/>
    <w:rsid w:val="00152473"/>
    <w:rsid w:val="001532AE"/>
    <w:rsid w:val="0015365E"/>
    <w:rsid w:val="001558AC"/>
    <w:rsid w:val="00156008"/>
    <w:rsid w:val="00156EFC"/>
    <w:rsid w:val="001570CD"/>
    <w:rsid w:val="001600EF"/>
    <w:rsid w:val="00161D59"/>
    <w:rsid w:val="0016205B"/>
    <w:rsid w:val="0016210B"/>
    <w:rsid w:val="00162724"/>
    <w:rsid w:val="00162EE2"/>
    <w:rsid w:val="00163287"/>
    <w:rsid w:val="001640FF"/>
    <w:rsid w:val="00166CC8"/>
    <w:rsid w:val="001702D8"/>
    <w:rsid w:val="00170637"/>
    <w:rsid w:val="00170ABE"/>
    <w:rsid w:val="001718B4"/>
    <w:rsid w:val="00172686"/>
    <w:rsid w:val="00173D43"/>
    <w:rsid w:val="001745E1"/>
    <w:rsid w:val="001748AC"/>
    <w:rsid w:val="00175316"/>
    <w:rsid w:val="00176312"/>
    <w:rsid w:val="00176AA9"/>
    <w:rsid w:val="00176BDD"/>
    <w:rsid w:val="0017729B"/>
    <w:rsid w:val="0017768F"/>
    <w:rsid w:val="00177D8C"/>
    <w:rsid w:val="00177E5C"/>
    <w:rsid w:val="00181F63"/>
    <w:rsid w:val="001839F4"/>
    <w:rsid w:val="001840C3"/>
    <w:rsid w:val="001842B7"/>
    <w:rsid w:val="001847A3"/>
    <w:rsid w:val="00186876"/>
    <w:rsid w:val="00186A08"/>
    <w:rsid w:val="001919AB"/>
    <w:rsid w:val="00191B16"/>
    <w:rsid w:val="00191FC4"/>
    <w:rsid w:val="001921F7"/>
    <w:rsid w:val="00193448"/>
    <w:rsid w:val="00193AF5"/>
    <w:rsid w:val="001943D5"/>
    <w:rsid w:val="0019457B"/>
    <w:rsid w:val="0019468C"/>
    <w:rsid w:val="00194853"/>
    <w:rsid w:val="00195882"/>
    <w:rsid w:val="00196662"/>
    <w:rsid w:val="0019669F"/>
    <w:rsid w:val="0019746A"/>
    <w:rsid w:val="001974FF"/>
    <w:rsid w:val="00197525"/>
    <w:rsid w:val="00197CA3"/>
    <w:rsid w:val="001A0B60"/>
    <w:rsid w:val="001A0EE4"/>
    <w:rsid w:val="001A1FB1"/>
    <w:rsid w:val="001A24A0"/>
    <w:rsid w:val="001A40EE"/>
    <w:rsid w:val="001A4F82"/>
    <w:rsid w:val="001A53B7"/>
    <w:rsid w:val="001A55F6"/>
    <w:rsid w:val="001A5874"/>
    <w:rsid w:val="001A6E99"/>
    <w:rsid w:val="001A7A79"/>
    <w:rsid w:val="001A7E2F"/>
    <w:rsid w:val="001B03B9"/>
    <w:rsid w:val="001B0F27"/>
    <w:rsid w:val="001B1D00"/>
    <w:rsid w:val="001B43D4"/>
    <w:rsid w:val="001B4508"/>
    <w:rsid w:val="001B49C4"/>
    <w:rsid w:val="001B4FFC"/>
    <w:rsid w:val="001B5847"/>
    <w:rsid w:val="001B596E"/>
    <w:rsid w:val="001B5E48"/>
    <w:rsid w:val="001B5F32"/>
    <w:rsid w:val="001B70B8"/>
    <w:rsid w:val="001C0F6A"/>
    <w:rsid w:val="001C1D00"/>
    <w:rsid w:val="001C2953"/>
    <w:rsid w:val="001C3268"/>
    <w:rsid w:val="001C43BC"/>
    <w:rsid w:val="001C46C2"/>
    <w:rsid w:val="001C520F"/>
    <w:rsid w:val="001C5A0A"/>
    <w:rsid w:val="001C5E83"/>
    <w:rsid w:val="001D0C30"/>
    <w:rsid w:val="001D107C"/>
    <w:rsid w:val="001D1105"/>
    <w:rsid w:val="001D1493"/>
    <w:rsid w:val="001D179A"/>
    <w:rsid w:val="001D24F1"/>
    <w:rsid w:val="001D6DD7"/>
    <w:rsid w:val="001D73EF"/>
    <w:rsid w:val="001D7816"/>
    <w:rsid w:val="001D7E31"/>
    <w:rsid w:val="001E3161"/>
    <w:rsid w:val="001E372F"/>
    <w:rsid w:val="001E3FF3"/>
    <w:rsid w:val="001E4093"/>
    <w:rsid w:val="001E44D9"/>
    <w:rsid w:val="001E4ABC"/>
    <w:rsid w:val="001E5960"/>
    <w:rsid w:val="001E5EAE"/>
    <w:rsid w:val="001E6195"/>
    <w:rsid w:val="001E6457"/>
    <w:rsid w:val="001E74D5"/>
    <w:rsid w:val="001E767D"/>
    <w:rsid w:val="001F088C"/>
    <w:rsid w:val="001F3102"/>
    <w:rsid w:val="001F39A6"/>
    <w:rsid w:val="001F3DC5"/>
    <w:rsid w:val="001F46B9"/>
    <w:rsid w:val="001F4E09"/>
    <w:rsid w:val="001F527F"/>
    <w:rsid w:val="001F53B1"/>
    <w:rsid w:val="001F6052"/>
    <w:rsid w:val="001F67BF"/>
    <w:rsid w:val="001F7022"/>
    <w:rsid w:val="001F73EE"/>
    <w:rsid w:val="00200317"/>
    <w:rsid w:val="002010A4"/>
    <w:rsid w:val="00202605"/>
    <w:rsid w:val="00202725"/>
    <w:rsid w:val="002030F6"/>
    <w:rsid w:val="002033F8"/>
    <w:rsid w:val="00203D66"/>
    <w:rsid w:val="002055B1"/>
    <w:rsid w:val="00205BA1"/>
    <w:rsid w:val="002066AE"/>
    <w:rsid w:val="002075D4"/>
    <w:rsid w:val="00207A01"/>
    <w:rsid w:val="00207B0D"/>
    <w:rsid w:val="00210B33"/>
    <w:rsid w:val="00211E8E"/>
    <w:rsid w:val="00213550"/>
    <w:rsid w:val="002146FF"/>
    <w:rsid w:val="002150D2"/>
    <w:rsid w:val="00215481"/>
    <w:rsid w:val="002155DC"/>
    <w:rsid w:val="002155F0"/>
    <w:rsid w:val="00216F6B"/>
    <w:rsid w:val="00217BC4"/>
    <w:rsid w:val="002214B0"/>
    <w:rsid w:val="002217BE"/>
    <w:rsid w:val="00221C66"/>
    <w:rsid w:val="002243BA"/>
    <w:rsid w:val="00225942"/>
    <w:rsid w:val="00225CAD"/>
    <w:rsid w:val="00226DCE"/>
    <w:rsid w:val="002272FE"/>
    <w:rsid w:val="002278A2"/>
    <w:rsid w:val="002306D6"/>
    <w:rsid w:val="00231062"/>
    <w:rsid w:val="002310ED"/>
    <w:rsid w:val="00233D1D"/>
    <w:rsid w:val="00234366"/>
    <w:rsid w:val="00235959"/>
    <w:rsid w:val="00236BC0"/>
    <w:rsid w:val="00240EBF"/>
    <w:rsid w:val="00241935"/>
    <w:rsid w:val="002419D2"/>
    <w:rsid w:val="002428B9"/>
    <w:rsid w:val="00242CD4"/>
    <w:rsid w:val="0024351C"/>
    <w:rsid w:val="00244111"/>
    <w:rsid w:val="00244BD0"/>
    <w:rsid w:val="00244CAF"/>
    <w:rsid w:val="00246866"/>
    <w:rsid w:val="00246E5A"/>
    <w:rsid w:val="0024773F"/>
    <w:rsid w:val="00247805"/>
    <w:rsid w:val="00250580"/>
    <w:rsid w:val="00250CF4"/>
    <w:rsid w:val="00252CF7"/>
    <w:rsid w:val="00254096"/>
    <w:rsid w:val="00254E5D"/>
    <w:rsid w:val="00255165"/>
    <w:rsid w:val="002568E1"/>
    <w:rsid w:val="0025723E"/>
    <w:rsid w:val="00257E1B"/>
    <w:rsid w:val="00257FE6"/>
    <w:rsid w:val="00260234"/>
    <w:rsid w:val="002607AA"/>
    <w:rsid w:val="00260A45"/>
    <w:rsid w:val="00260FD4"/>
    <w:rsid w:val="0026194D"/>
    <w:rsid w:val="0026246D"/>
    <w:rsid w:val="00263D95"/>
    <w:rsid w:val="002644C9"/>
    <w:rsid w:val="002652AE"/>
    <w:rsid w:val="002652B1"/>
    <w:rsid w:val="002653B5"/>
    <w:rsid w:val="0026669B"/>
    <w:rsid w:val="00266CB5"/>
    <w:rsid w:val="00266E9B"/>
    <w:rsid w:val="00266F5A"/>
    <w:rsid w:val="002676AD"/>
    <w:rsid w:val="002678D8"/>
    <w:rsid w:val="00267FA2"/>
    <w:rsid w:val="00270015"/>
    <w:rsid w:val="00270154"/>
    <w:rsid w:val="0027066C"/>
    <w:rsid w:val="00270FD1"/>
    <w:rsid w:val="00271CD2"/>
    <w:rsid w:val="00275C97"/>
    <w:rsid w:val="00275D5C"/>
    <w:rsid w:val="00277AB0"/>
    <w:rsid w:val="00277D3A"/>
    <w:rsid w:val="00280047"/>
    <w:rsid w:val="0028004A"/>
    <w:rsid w:val="00280314"/>
    <w:rsid w:val="00280727"/>
    <w:rsid w:val="002809A6"/>
    <w:rsid w:val="00280BC9"/>
    <w:rsid w:val="00280D7C"/>
    <w:rsid w:val="00281AD4"/>
    <w:rsid w:val="00282FEF"/>
    <w:rsid w:val="00283709"/>
    <w:rsid w:val="0028559F"/>
    <w:rsid w:val="0028560C"/>
    <w:rsid w:val="00286AC3"/>
    <w:rsid w:val="00287C62"/>
    <w:rsid w:val="00290979"/>
    <w:rsid w:val="002911B6"/>
    <w:rsid w:val="00291401"/>
    <w:rsid w:val="0029228D"/>
    <w:rsid w:val="00292310"/>
    <w:rsid w:val="002935C6"/>
    <w:rsid w:val="002935E8"/>
    <w:rsid w:val="002937CA"/>
    <w:rsid w:val="00295200"/>
    <w:rsid w:val="002955A6"/>
    <w:rsid w:val="002A0509"/>
    <w:rsid w:val="002A0859"/>
    <w:rsid w:val="002A1012"/>
    <w:rsid w:val="002A38C9"/>
    <w:rsid w:val="002A3C74"/>
    <w:rsid w:val="002A4012"/>
    <w:rsid w:val="002A4118"/>
    <w:rsid w:val="002A4309"/>
    <w:rsid w:val="002A4908"/>
    <w:rsid w:val="002A4AD3"/>
    <w:rsid w:val="002A5F0D"/>
    <w:rsid w:val="002A6D87"/>
    <w:rsid w:val="002A7069"/>
    <w:rsid w:val="002A7738"/>
    <w:rsid w:val="002A7BE1"/>
    <w:rsid w:val="002B0A4A"/>
    <w:rsid w:val="002B1223"/>
    <w:rsid w:val="002B2535"/>
    <w:rsid w:val="002B2F42"/>
    <w:rsid w:val="002B3154"/>
    <w:rsid w:val="002B4E56"/>
    <w:rsid w:val="002B51FF"/>
    <w:rsid w:val="002B6309"/>
    <w:rsid w:val="002B78A0"/>
    <w:rsid w:val="002C0040"/>
    <w:rsid w:val="002C05B2"/>
    <w:rsid w:val="002C07E8"/>
    <w:rsid w:val="002C0FE2"/>
    <w:rsid w:val="002C152A"/>
    <w:rsid w:val="002C15D7"/>
    <w:rsid w:val="002C264D"/>
    <w:rsid w:val="002C322D"/>
    <w:rsid w:val="002C35AA"/>
    <w:rsid w:val="002C385F"/>
    <w:rsid w:val="002C4001"/>
    <w:rsid w:val="002C4AC7"/>
    <w:rsid w:val="002C4D34"/>
    <w:rsid w:val="002C4E24"/>
    <w:rsid w:val="002C5D1A"/>
    <w:rsid w:val="002C5F09"/>
    <w:rsid w:val="002C67E9"/>
    <w:rsid w:val="002C764B"/>
    <w:rsid w:val="002C783A"/>
    <w:rsid w:val="002D0B7F"/>
    <w:rsid w:val="002D0F7F"/>
    <w:rsid w:val="002D30EF"/>
    <w:rsid w:val="002D3354"/>
    <w:rsid w:val="002D3BEB"/>
    <w:rsid w:val="002D42DB"/>
    <w:rsid w:val="002D465B"/>
    <w:rsid w:val="002D4727"/>
    <w:rsid w:val="002D4E02"/>
    <w:rsid w:val="002D4FF9"/>
    <w:rsid w:val="002D5587"/>
    <w:rsid w:val="002D6694"/>
    <w:rsid w:val="002D6729"/>
    <w:rsid w:val="002D767A"/>
    <w:rsid w:val="002E0D71"/>
    <w:rsid w:val="002E1876"/>
    <w:rsid w:val="002E27D9"/>
    <w:rsid w:val="002E2A59"/>
    <w:rsid w:val="002E65EE"/>
    <w:rsid w:val="002E681E"/>
    <w:rsid w:val="002E6E7F"/>
    <w:rsid w:val="002E7EB2"/>
    <w:rsid w:val="002F13FE"/>
    <w:rsid w:val="002F1937"/>
    <w:rsid w:val="002F1ABA"/>
    <w:rsid w:val="002F1E2F"/>
    <w:rsid w:val="002F1EE4"/>
    <w:rsid w:val="002F3836"/>
    <w:rsid w:val="002F3880"/>
    <w:rsid w:val="002F428F"/>
    <w:rsid w:val="002F6127"/>
    <w:rsid w:val="002F73CF"/>
    <w:rsid w:val="002F7F92"/>
    <w:rsid w:val="003006AD"/>
    <w:rsid w:val="00302040"/>
    <w:rsid w:val="0030253A"/>
    <w:rsid w:val="00302D63"/>
    <w:rsid w:val="00303A55"/>
    <w:rsid w:val="00303C87"/>
    <w:rsid w:val="003062FD"/>
    <w:rsid w:val="00306B31"/>
    <w:rsid w:val="003073B4"/>
    <w:rsid w:val="0030785C"/>
    <w:rsid w:val="003101F0"/>
    <w:rsid w:val="003102EB"/>
    <w:rsid w:val="003149FF"/>
    <w:rsid w:val="00314D0C"/>
    <w:rsid w:val="00315859"/>
    <w:rsid w:val="00315C0A"/>
    <w:rsid w:val="00315EBB"/>
    <w:rsid w:val="00316D07"/>
    <w:rsid w:val="00316F3F"/>
    <w:rsid w:val="00317124"/>
    <w:rsid w:val="00317919"/>
    <w:rsid w:val="00317E11"/>
    <w:rsid w:val="00320F00"/>
    <w:rsid w:val="003218BC"/>
    <w:rsid w:val="003225B0"/>
    <w:rsid w:val="00322605"/>
    <w:rsid w:val="00322A16"/>
    <w:rsid w:val="00322EFF"/>
    <w:rsid w:val="003233BD"/>
    <w:rsid w:val="00323546"/>
    <w:rsid w:val="00323AB6"/>
    <w:rsid w:val="003241B3"/>
    <w:rsid w:val="00324410"/>
    <w:rsid w:val="00324EEA"/>
    <w:rsid w:val="003267FC"/>
    <w:rsid w:val="00326C36"/>
    <w:rsid w:val="00326C80"/>
    <w:rsid w:val="00327410"/>
    <w:rsid w:val="003274CC"/>
    <w:rsid w:val="00327858"/>
    <w:rsid w:val="0032788E"/>
    <w:rsid w:val="00327BA7"/>
    <w:rsid w:val="00330649"/>
    <w:rsid w:val="00330820"/>
    <w:rsid w:val="0033142E"/>
    <w:rsid w:val="00336795"/>
    <w:rsid w:val="003369C6"/>
    <w:rsid w:val="00336E11"/>
    <w:rsid w:val="0033717F"/>
    <w:rsid w:val="00337A68"/>
    <w:rsid w:val="003405AB"/>
    <w:rsid w:val="00341920"/>
    <w:rsid w:val="00342BE6"/>
    <w:rsid w:val="0034385D"/>
    <w:rsid w:val="003438FD"/>
    <w:rsid w:val="00343D8E"/>
    <w:rsid w:val="003440B8"/>
    <w:rsid w:val="00344961"/>
    <w:rsid w:val="00344FB8"/>
    <w:rsid w:val="003452F6"/>
    <w:rsid w:val="003465DE"/>
    <w:rsid w:val="00346783"/>
    <w:rsid w:val="00350630"/>
    <w:rsid w:val="00350DA6"/>
    <w:rsid w:val="00352747"/>
    <w:rsid w:val="00352770"/>
    <w:rsid w:val="003531E1"/>
    <w:rsid w:val="0035437B"/>
    <w:rsid w:val="003549F4"/>
    <w:rsid w:val="00355B88"/>
    <w:rsid w:val="00355E9F"/>
    <w:rsid w:val="00356907"/>
    <w:rsid w:val="00356C6C"/>
    <w:rsid w:val="003571DD"/>
    <w:rsid w:val="003575ED"/>
    <w:rsid w:val="00360E25"/>
    <w:rsid w:val="00360E83"/>
    <w:rsid w:val="0036234B"/>
    <w:rsid w:val="003635FB"/>
    <w:rsid w:val="00364654"/>
    <w:rsid w:val="00364A64"/>
    <w:rsid w:val="00365F86"/>
    <w:rsid w:val="00367E03"/>
    <w:rsid w:val="00370688"/>
    <w:rsid w:val="00372511"/>
    <w:rsid w:val="003729BA"/>
    <w:rsid w:val="00372AB3"/>
    <w:rsid w:val="00374330"/>
    <w:rsid w:val="00375B43"/>
    <w:rsid w:val="00375BB1"/>
    <w:rsid w:val="003775FA"/>
    <w:rsid w:val="0038039D"/>
    <w:rsid w:val="00381A66"/>
    <w:rsid w:val="00381BAB"/>
    <w:rsid w:val="0038265C"/>
    <w:rsid w:val="003827E6"/>
    <w:rsid w:val="003828E2"/>
    <w:rsid w:val="00384453"/>
    <w:rsid w:val="00384ED5"/>
    <w:rsid w:val="00384F91"/>
    <w:rsid w:val="00385378"/>
    <w:rsid w:val="00385DE0"/>
    <w:rsid w:val="003866B7"/>
    <w:rsid w:val="003875F6"/>
    <w:rsid w:val="00387644"/>
    <w:rsid w:val="00387BE9"/>
    <w:rsid w:val="00390FBC"/>
    <w:rsid w:val="00392C72"/>
    <w:rsid w:val="0039455A"/>
    <w:rsid w:val="00394A02"/>
    <w:rsid w:val="00394EC8"/>
    <w:rsid w:val="0039715D"/>
    <w:rsid w:val="0039726C"/>
    <w:rsid w:val="003972DB"/>
    <w:rsid w:val="0039790F"/>
    <w:rsid w:val="00397B49"/>
    <w:rsid w:val="003A0993"/>
    <w:rsid w:val="003A0DD2"/>
    <w:rsid w:val="003A1509"/>
    <w:rsid w:val="003A1D64"/>
    <w:rsid w:val="003A21C6"/>
    <w:rsid w:val="003A2E80"/>
    <w:rsid w:val="003A3EB2"/>
    <w:rsid w:val="003A421F"/>
    <w:rsid w:val="003A4496"/>
    <w:rsid w:val="003A46E8"/>
    <w:rsid w:val="003A4B21"/>
    <w:rsid w:val="003A4C11"/>
    <w:rsid w:val="003A55B8"/>
    <w:rsid w:val="003A610C"/>
    <w:rsid w:val="003A7A61"/>
    <w:rsid w:val="003B01DD"/>
    <w:rsid w:val="003B1BFA"/>
    <w:rsid w:val="003B38DD"/>
    <w:rsid w:val="003B5FFF"/>
    <w:rsid w:val="003B6555"/>
    <w:rsid w:val="003B6877"/>
    <w:rsid w:val="003B70E8"/>
    <w:rsid w:val="003C0F6C"/>
    <w:rsid w:val="003C1287"/>
    <w:rsid w:val="003C29E9"/>
    <w:rsid w:val="003C317E"/>
    <w:rsid w:val="003C406F"/>
    <w:rsid w:val="003C422B"/>
    <w:rsid w:val="003C437C"/>
    <w:rsid w:val="003C45A9"/>
    <w:rsid w:val="003C55CB"/>
    <w:rsid w:val="003C5E8D"/>
    <w:rsid w:val="003C5F7D"/>
    <w:rsid w:val="003C6108"/>
    <w:rsid w:val="003C6737"/>
    <w:rsid w:val="003C69F2"/>
    <w:rsid w:val="003C6D0D"/>
    <w:rsid w:val="003C6D16"/>
    <w:rsid w:val="003C6D27"/>
    <w:rsid w:val="003C7209"/>
    <w:rsid w:val="003D0FF2"/>
    <w:rsid w:val="003D1564"/>
    <w:rsid w:val="003D15F2"/>
    <w:rsid w:val="003D288D"/>
    <w:rsid w:val="003D290B"/>
    <w:rsid w:val="003D3C89"/>
    <w:rsid w:val="003D3F48"/>
    <w:rsid w:val="003D4731"/>
    <w:rsid w:val="003D47B4"/>
    <w:rsid w:val="003D4DC9"/>
    <w:rsid w:val="003D5AFA"/>
    <w:rsid w:val="003D5DF7"/>
    <w:rsid w:val="003D68A5"/>
    <w:rsid w:val="003D6CC7"/>
    <w:rsid w:val="003E03C8"/>
    <w:rsid w:val="003E064C"/>
    <w:rsid w:val="003E0E45"/>
    <w:rsid w:val="003E2272"/>
    <w:rsid w:val="003E2ADB"/>
    <w:rsid w:val="003E5337"/>
    <w:rsid w:val="003E583B"/>
    <w:rsid w:val="003E6062"/>
    <w:rsid w:val="003E612E"/>
    <w:rsid w:val="003E62A4"/>
    <w:rsid w:val="003E7459"/>
    <w:rsid w:val="003E7BD7"/>
    <w:rsid w:val="003F094B"/>
    <w:rsid w:val="003F1EE3"/>
    <w:rsid w:val="003F232D"/>
    <w:rsid w:val="003F2562"/>
    <w:rsid w:val="003F27EB"/>
    <w:rsid w:val="003F2A99"/>
    <w:rsid w:val="003F3771"/>
    <w:rsid w:val="003F4775"/>
    <w:rsid w:val="003F4F85"/>
    <w:rsid w:val="003F6A67"/>
    <w:rsid w:val="003F702C"/>
    <w:rsid w:val="003F776A"/>
    <w:rsid w:val="00400787"/>
    <w:rsid w:val="00401DB2"/>
    <w:rsid w:val="00403803"/>
    <w:rsid w:val="004064A6"/>
    <w:rsid w:val="0040719A"/>
    <w:rsid w:val="0040733F"/>
    <w:rsid w:val="00410026"/>
    <w:rsid w:val="004129E2"/>
    <w:rsid w:val="00413086"/>
    <w:rsid w:val="0041323E"/>
    <w:rsid w:val="004136D6"/>
    <w:rsid w:val="00413EBE"/>
    <w:rsid w:val="00414337"/>
    <w:rsid w:val="00417DFC"/>
    <w:rsid w:val="00420EDB"/>
    <w:rsid w:val="00420F7A"/>
    <w:rsid w:val="0042217A"/>
    <w:rsid w:val="00422C9D"/>
    <w:rsid w:val="004230DA"/>
    <w:rsid w:val="00423181"/>
    <w:rsid w:val="00423BAC"/>
    <w:rsid w:val="00424E46"/>
    <w:rsid w:val="0042543E"/>
    <w:rsid w:val="00425FBF"/>
    <w:rsid w:val="0042703D"/>
    <w:rsid w:val="00427C3C"/>
    <w:rsid w:val="0043020F"/>
    <w:rsid w:val="00430CCF"/>
    <w:rsid w:val="00430D3F"/>
    <w:rsid w:val="004312FE"/>
    <w:rsid w:val="0043189B"/>
    <w:rsid w:val="00431FFB"/>
    <w:rsid w:val="0043247C"/>
    <w:rsid w:val="00432701"/>
    <w:rsid w:val="00432FD3"/>
    <w:rsid w:val="004340C6"/>
    <w:rsid w:val="00434156"/>
    <w:rsid w:val="00434E68"/>
    <w:rsid w:val="0043501D"/>
    <w:rsid w:val="004362DC"/>
    <w:rsid w:val="0043756A"/>
    <w:rsid w:val="004378DD"/>
    <w:rsid w:val="004409D0"/>
    <w:rsid w:val="0044366B"/>
    <w:rsid w:val="0044446F"/>
    <w:rsid w:val="004458A0"/>
    <w:rsid w:val="0044654D"/>
    <w:rsid w:val="00447196"/>
    <w:rsid w:val="00447281"/>
    <w:rsid w:val="0044774E"/>
    <w:rsid w:val="00447AF5"/>
    <w:rsid w:val="00447B4B"/>
    <w:rsid w:val="00450404"/>
    <w:rsid w:val="00452991"/>
    <w:rsid w:val="00452D1A"/>
    <w:rsid w:val="00454E9D"/>
    <w:rsid w:val="00455092"/>
    <w:rsid w:val="00460428"/>
    <w:rsid w:val="004608F6"/>
    <w:rsid w:val="0046133F"/>
    <w:rsid w:val="00462EAC"/>
    <w:rsid w:val="00462FCC"/>
    <w:rsid w:val="00463609"/>
    <w:rsid w:val="00465D44"/>
    <w:rsid w:val="00465D7E"/>
    <w:rsid w:val="0046632B"/>
    <w:rsid w:val="00466574"/>
    <w:rsid w:val="00466C2D"/>
    <w:rsid w:val="00466C4C"/>
    <w:rsid w:val="00466D7A"/>
    <w:rsid w:val="004672D7"/>
    <w:rsid w:val="00467CF4"/>
    <w:rsid w:val="0047056B"/>
    <w:rsid w:val="00470E4A"/>
    <w:rsid w:val="00471AAA"/>
    <w:rsid w:val="00471F31"/>
    <w:rsid w:val="00473694"/>
    <w:rsid w:val="00473E23"/>
    <w:rsid w:val="0047425E"/>
    <w:rsid w:val="00474809"/>
    <w:rsid w:val="00474A35"/>
    <w:rsid w:val="004754DE"/>
    <w:rsid w:val="00475EE0"/>
    <w:rsid w:val="00476C1A"/>
    <w:rsid w:val="00477303"/>
    <w:rsid w:val="004800AD"/>
    <w:rsid w:val="00480993"/>
    <w:rsid w:val="00480B62"/>
    <w:rsid w:val="00480CDC"/>
    <w:rsid w:val="004815EB"/>
    <w:rsid w:val="0048431B"/>
    <w:rsid w:val="00486B40"/>
    <w:rsid w:val="004871BE"/>
    <w:rsid w:val="004903BB"/>
    <w:rsid w:val="00491959"/>
    <w:rsid w:val="00491F51"/>
    <w:rsid w:val="00492A3C"/>
    <w:rsid w:val="004930F4"/>
    <w:rsid w:val="00493B9D"/>
    <w:rsid w:val="00493CA2"/>
    <w:rsid w:val="00493DE0"/>
    <w:rsid w:val="00494162"/>
    <w:rsid w:val="0049567A"/>
    <w:rsid w:val="00495831"/>
    <w:rsid w:val="00495B20"/>
    <w:rsid w:val="0049673A"/>
    <w:rsid w:val="00496C9D"/>
    <w:rsid w:val="004A2961"/>
    <w:rsid w:val="004A2F83"/>
    <w:rsid w:val="004A3F41"/>
    <w:rsid w:val="004A4534"/>
    <w:rsid w:val="004A59E9"/>
    <w:rsid w:val="004A5AE7"/>
    <w:rsid w:val="004A62AE"/>
    <w:rsid w:val="004A6C2D"/>
    <w:rsid w:val="004A7FC2"/>
    <w:rsid w:val="004B001D"/>
    <w:rsid w:val="004B0B8C"/>
    <w:rsid w:val="004B0BCD"/>
    <w:rsid w:val="004B0EA6"/>
    <w:rsid w:val="004B1862"/>
    <w:rsid w:val="004B1A80"/>
    <w:rsid w:val="004B2F53"/>
    <w:rsid w:val="004B351F"/>
    <w:rsid w:val="004B35B0"/>
    <w:rsid w:val="004B3813"/>
    <w:rsid w:val="004B3E14"/>
    <w:rsid w:val="004B3EAF"/>
    <w:rsid w:val="004B4338"/>
    <w:rsid w:val="004B499F"/>
    <w:rsid w:val="004B4D87"/>
    <w:rsid w:val="004B5283"/>
    <w:rsid w:val="004B5562"/>
    <w:rsid w:val="004B75AD"/>
    <w:rsid w:val="004B7911"/>
    <w:rsid w:val="004C0651"/>
    <w:rsid w:val="004C1671"/>
    <w:rsid w:val="004C179F"/>
    <w:rsid w:val="004C1CA2"/>
    <w:rsid w:val="004C2FD8"/>
    <w:rsid w:val="004C3A54"/>
    <w:rsid w:val="004C4FB5"/>
    <w:rsid w:val="004C5A5F"/>
    <w:rsid w:val="004C6FED"/>
    <w:rsid w:val="004C755F"/>
    <w:rsid w:val="004C7BC7"/>
    <w:rsid w:val="004D0417"/>
    <w:rsid w:val="004D0914"/>
    <w:rsid w:val="004D26B1"/>
    <w:rsid w:val="004D28AA"/>
    <w:rsid w:val="004D2A73"/>
    <w:rsid w:val="004D2B37"/>
    <w:rsid w:val="004D2E96"/>
    <w:rsid w:val="004D2EED"/>
    <w:rsid w:val="004D39D8"/>
    <w:rsid w:val="004D3D10"/>
    <w:rsid w:val="004D4CD5"/>
    <w:rsid w:val="004D68FE"/>
    <w:rsid w:val="004D6EF5"/>
    <w:rsid w:val="004E1E1D"/>
    <w:rsid w:val="004E20DD"/>
    <w:rsid w:val="004E269C"/>
    <w:rsid w:val="004E4C2D"/>
    <w:rsid w:val="004E5D49"/>
    <w:rsid w:val="004E7F40"/>
    <w:rsid w:val="004F0318"/>
    <w:rsid w:val="004F090E"/>
    <w:rsid w:val="004F0FCF"/>
    <w:rsid w:val="004F1A85"/>
    <w:rsid w:val="004F37D8"/>
    <w:rsid w:val="004F3E6E"/>
    <w:rsid w:val="004F4010"/>
    <w:rsid w:val="004F546F"/>
    <w:rsid w:val="004F5E4F"/>
    <w:rsid w:val="004F66AB"/>
    <w:rsid w:val="004F7A68"/>
    <w:rsid w:val="005009DD"/>
    <w:rsid w:val="005009FE"/>
    <w:rsid w:val="00501E6A"/>
    <w:rsid w:val="005028B1"/>
    <w:rsid w:val="005031FF"/>
    <w:rsid w:val="005040A6"/>
    <w:rsid w:val="00504941"/>
    <w:rsid w:val="00504CA8"/>
    <w:rsid w:val="00504DDF"/>
    <w:rsid w:val="0050711D"/>
    <w:rsid w:val="00507BAD"/>
    <w:rsid w:val="00507BC7"/>
    <w:rsid w:val="00510906"/>
    <w:rsid w:val="00510978"/>
    <w:rsid w:val="0051151C"/>
    <w:rsid w:val="00512B50"/>
    <w:rsid w:val="00512C97"/>
    <w:rsid w:val="005157EE"/>
    <w:rsid w:val="00516394"/>
    <w:rsid w:val="005165D4"/>
    <w:rsid w:val="00517CB2"/>
    <w:rsid w:val="00520590"/>
    <w:rsid w:val="00520704"/>
    <w:rsid w:val="005210F4"/>
    <w:rsid w:val="0052175A"/>
    <w:rsid w:val="00522781"/>
    <w:rsid w:val="005229A0"/>
    <w:rsid w:val="00523041"/>
    <w:rsid w:val="005234E5"/>
    <w:rsid w:val="0052366E"/>
    <w:rsid w:val="00523A3C"/>
    <w:rsid w:val="00524BFA"/>
    <w:rsid w:val="00525410"/>
    <w:rsid w:val="00525B9A"/>
    <w:rsid w:val="00527D5D"/>
    <w:rsid w:val="0053053C"/>
    <w:rsid w:val="00530C96"/>
    <w:rsid w:val="00530FC3"/>
    <w:rsid w:val="0053102D"/>
    <w:rsid w:val="0053147E"/>
    <w:rsid w:val="00531BB8"/>
    <w:rsid w:val="00532C89"/>
    <w:rsid w:val="00533CB2"/>
    <w:rsid w:val="00534B48"/>
    <w:rsid w:val="00535893"/>
    <w:rsid w:val="00536505"/>
    <w:rsid w:val="00540EE0"/>
    <w:rsid w:val="00541CE4"/>
    <w:rsid w:val="00541EA9"/>
    <w:rsid w:val="005421A1"/>
    <w:rsid w:val="00542A49"/>
    <w:rsid w:val="00542E9A"/>
    <w:rsid w:val="0054307C"/>
    <w:rsid w:val="00544B36"/>
    <w:rsid w:val="00546651"/>
    <w:rsid w:val="005473EA"/>
    <w:rsid w:val="00547476"/>
    <w:rsid w:val="00547C3E"/>
    <w:rsid w:val="005525B8"/>
    <w:rsid w:val="00552A54"/>
    <w:rsid w:val="005535D9"/>
    <w:rsid w:val="00553931"/>
    <w:rsid w:val="005539E5"/>
    <w:rsid w:val="00553B94"/>
    <w:rsid w:val="00554173"/>
    <w:rsid w:val="00556016"/>
    <w:rsid w:val="00556C55"/>
    <w:rsid w:val="005571D9"/>
    <w:rsid w:val="005576C6"/>
    <w:rsid w:val="00557B6D"/>
    <w:rsid w:val="005605B1"/>
    <w:rsid w:val="00560970"/>
    <w:rsid w:val="0056139A"/>
    <w:rsid w:val="005634CF"/>
    <w:rsid w:val="005634FC"/>
    <w:rsid w:val="005635CB"/>
    <w:rsid w:val="00563943"/>
    <w:rsid w:val="00564213"/>
    <w:rsid w:val="00564921"/>
    <w:rsid w:val="00565C16"/>
    <w:rsid w:val="00566343"/>
    <w:rsid w:val="00567400"/>
    <w:rsid w:val="00567A64"/>
    <w:rsid w:val="00567B29"/>
    <w:rsid w:val="00567EF4"/>
    <w:rsid w:val="005703BE"/>
    <w:rsid w:val="005706C5"/>
    <w:rsid w:val="00571178"/>
    <w:rsid w:val="005736E0"/>
    <w:rsid w:val="0057459C"/>
    <w:rsid w:val="005745D2"/>
    <w:rsid w:val="00574E17"/>
    <w:rsid w:val="005753BB"/>
    <w:rsid w:val="00575E7F"/>
    <w:rsid w:val="0057658B"/>
    <w:rsid w:val="005778BF"/>
    <w:rsid w:val="0058133F"/>
    <w:rsid w:val="00581CBA"/>
    <w:rsid w:val="005830AF"/>
    <w:rsid w:val="005836B3"/>
    <w:rsid w:val="00583973"/>
    <w:rsid w:val="00586460"/>
    <w:rsid w:val="00586A87"/>
    <w:rsid w:val="00586CD2"/>
    <w:rsid w:val="00586EE6"/>
    <w:rsid w:val="00587829"/>
    <w:rsid w:val="00587AB7"/>
    <w:rsid w:val="00590843"/>
    <w:rsid w:val="00590C3C"/>
    <w:rsid w:val="0059195A"/>
    <w:rsid w:val="0059242E"/>
    <w:rsid w:val="005925C9"/>
    <w:rsid w:val="0059293F"/>
    <w:rsid w:val="00592C80"/>
    <w:rsid w:val="00592C9A"/>
    <w:rsid w:val="00592EC4"/>
    <w:rsid w:val="0059452B"/>
    <w:rsid w:val="00595DB1"/>
    <w:rsid w:val="005976A0"/>
    <w:rsid w:val="005A05F5"/>
    <w:rsid w:val="005A293A"/>
    <w:rsid w:val="005A353A"/>
    <w:rsid w:val="005A3998"/>
    <w:rsid w:val="005A486D"/>
    <w:rsid w:val="005A4D67"/>
    <w:rsid w:val="005A53E1"/>
    <w:rsid w:val="005A67A5"/>
    <w:rsid w:val="005A7B7E"/>
    <w:rsid w:val="005A7CEA"/>
    <w:rsid w:val="005B0F8A"/>
    <w:rsid w:val="005B18E1"/>
    <w:rsid w:val="005B1F71"/>
    <w:rsid w:val="005B2E8F"/>
    <w:rsid w:val="005B36CC"/>
    <w:rsid w:val="005B3BB0"/>
    <w:rsid w:val="005B4E50"/>
    <w:rsid w:val="005B6639"/>
    <w:rsid w:val="005B6673"/>
    <w:rsid w:val="005B6916"/>
    <w:rsid w:val="005B6BB2"/>
    <w:rsid w:val="005B6D4A"/>
    <w:rsid w:val="005B6E07"/>
    <w:rsid w:val="005B6FA3"/>
    <w:rsid w:val="005B72E0"/>
    <w:rsid w:val="005C0494"/>
    <w:rsid w:val="005C0A4E"/>
    <w:rsid w:val="005C1BCF"/>
    <w:rsid w:val="005C4879"/>
    <w:rsid w:val="005C4B14"/>
    <w:rsid w:val="005C57F4"/>
    <w:rsid w:val="005C5983"/>
    <w:rsid w:val="005C6A9A"/>
    <w:rsid w:val="005C6D17"/>
    <w:rsid w:val="005C765A"/>
    <w:rsid w:val="005C7D13"/>
    <w:rsid w:val="005C7E48"/>
    <w:rsid w:val="005C7F69"/>
    <w:rsid w:val="005D1B94"/>
    <w:rsid w:val="005D2F00"/>
    <w:rsid w:val="005D31B2"/>
    <w:rsid w:val="005D3499"/>
    <w:rsid w:val="005D5B8F"/>
    <w:rsid w:val="005D5D7D"/>
    <w:rsid w:val="005D6101"/>
    <w:rsid w:val="005D64F6"/>
    <w:rsid w:val="005D65FD"/>
    <w:rsid w:val="005E044F"/>
    <w:rsid w:val="005E1E1B"/>
    <w:rsid w:val="005E268A"/>
    <w:rsid w:val="005E3F0F"/>
    <w:rsid w:val="005E57ED"/>
    <w:rsid w:val="005E585B"/>
    <w:rsid w:val="005E604E"/>
    <w:rsid w:val="005E6099"/>
    <w:rsid w:val="005E6215"/>
    <w:rsid w:val="005F02D6"/>
    <w:rsid w:val="005F08D9"/>
    <w:rsid w:val="005F176A"/>
    <w:rsid w:val="005F1B9F"/>
    <w:rsid w:val="005F205C"/>
    <w:rsid w:val="005F2342"/>
    <w:rsid w:val="005F2425"/>
    <w:rsid w:val="005F2CFF"/>
    <w:rsid w:val="005F376F"/>
    <w:rsid w:val="005F386D"/>
    <w:rsid w:val="005F3963"/>
    <w:rsid w:val="005F493E"/>
    <w:rsid w:val="005F54F2"/>
    <w:rsid w:val="005F5ED3"/>
    <w:rsid w:val="005F64EB"/>
    <w:rsid w:val="005F7907"/>
    <w:rsid w:val="005F7A23"/>
    <w:rsid w:val="00601FB4"/>
    <w:rsid w:val="00602251"/>
    <w:rsid w:val="0060238C"/>
    <w:rsid w:val="0060347C"/>
    <w:rsid w:val="0060606E"/>
    <w:rsid w:val="00606CC7"/>
    <w:rsid w:val="0061089B"/>
    <w:rsid w:val="00610E3A"/>
    <w:rsid w:val="00611C70"/>
    <w:rsid w:val="0061305B"/>
    <w:rsid w:val="00613957"/>
    <w:rsid w:val="00614106"/>
    <w:rsid w:val="006157B2"/>
    <w:rsid w:val="00615BB0"/>
    <w:rsid w:val="00615EC9"/>
    <w:rsid w:val="00616C4F"/>
    <w:rsid w:val="00617D56"/>
    <w:rsid w:val="00620256"/>
    <w:rsid w:val="006207A2"/>
    <w:rsid w:val="00621170"/>
    <w:rsid w:val="00621F67"/>
    <w:rsid w:val="00622BD0"/>
    <w:rsid w:val="00622CBA"/>
    <w:rsid w:val="0062324C"/>
    <w:rsid w:val="006234C9"/>
    <w:rsid w:val="0062357A"/>
    <w:rsid w:val="00624A81"/>
    <w:rsid w:val="00624B04"/>
    <w:rsid w:val="00624D6C"/>
    <w:rsid w:val="00624DE6"/>
    <w:rsid w:val="006257C0"/>
    <w:rsid w:val="006262B5"/>
    <w:rsid w:val="00626BF8"/>
    <w:rsid w:val="006301DF"/>
    <w:rsid w:val="00630D65"/>
    <w:rsid w:val="00630F26"/>
    <w:rsid w:val="00631AB6"/>
    <w:rsid w:val="00633618"/>
    <w:rsid w:val="006336F1"/>
    <w:rsid w:val="00633912"/>
    <w:rsid w:val="0063475A"/>
    <w:rsid w:val="006353BC"/>
    <w:rsid w:val="0063603F"/>
    <w:rsid w:val="00636A8B"/>
    <w:rsid w:val="00637502"/>
    <w:rsid w:val="00637535"/>
    <w:rsid w:val="0063756C"/>
    <w:rsid w:val="00637654"/>
    <w:rsid w:val="006378AC"/>
    <w:rsid w:val="00640357"/>
    <w:rsid w:val="006418BE"/>
    <w:rsid w:val="00643056"/>
    <w:rsid w:val="00643454"/>
    <w:rsid w:val="006444BB"/>
    <w:rsid w:val="006449D8"/>
    <w:rsid w:val="00644D56"/>
    <w:rsid w:val="00645167"/>
    <w:rsid w:val="00645459"/>
    <w:rsid w:val="006459C3"/>
    <w:rsid w:val="006467D3"/>
    <w:rsid w:val="006474EC"/>
    <w:rsid w:val="00650174"/>
    <w:rsid w:val="00650282"/>
    <w:rsid w:val="006506F6"/>
    <w:rsid w:val="0065087B"/>
    <w:rsid w:val="00650DEF"/>
    <w:rsid w:val="00651745"/>
    <w:rsid w:val="00651A5C"/>
    <w:rsid w:val="0065281E"/>
    <w:rsid w:val="00653327"/>
    <w:rsid w:val="00653B22"/>
    <w:rsid w:val="00653C67"/>
    <w:rsid w:val="00653D45"/>
    <w:rsid w:val="00654F4F"/>
    <w:rsid w:val="00655CE2"/>
    <w:rsid w:val="00657C82"/>
    <w:rsid w:val="006609EB"/>
    <w:rsid w:val="006615B5"/>
    <w:rsid w:val="006624E4"/>
    <w:rsid w:val="00662A08"/>
    <w:rsid w:val="00662B59"/>
    <w:rsid w:val="0066395A"/>
    <w:rsid w:val="00664B9F"/>
    <w:rsid w:val="00665285"/>
    <w:rsid w:val="00665638"/>
    <w:rsid w:val="00666978"/>
    <w:rsid w:val="00666C6B"/>
    <w:rsid w:val="00667CA3"/>
    <w:rsid w:val="006701A6"/>
    <w:rsid w:val="006702D5"/>
    <w:rsid w:val="00670693"/>
    <w:rsid w:val="00670B39"/>
    <w:rsid w:val="0067108B"/>
    <w:rsid w:val="006726FD"/>
    <w:rsid w:val="00672940"/>
    <w:rsid w:val="00672C34"/>
    <w:rsid w:val="00672E02"/>
    <w:rsid w:val="00672E58"/>
    <w:rsid w:val="006730F6"/>
    <w:rsid w:val="00673596"/>
    <w:rsid w:val="00674038"/>
    <w:rsid w:val="006740D7"/>
    <w:rsid w:val="006741CA"/>
    <w:rsid w:val="0067469F"/>
    <w:rsid w:val="00675020"/>
    <w:rsid w:val="00675E58"/>
    <w:rsid w:val="006775F5"/>
    <w:rsid w:val="00677FA1"/>
    <w:rsid w:val="00681BF8"/>
    <w:rsid w:val="006840AD"/>
    <w:rsid w:val="00684201"/>
    <w:rsid w:val="00684E24"/>
    <w:rsid w:val="006863D0"/>
    <w:rsid w:val="006877EE"/>
    <w:rsid w:val="00690425"/>
    <w:rsid w:val="0069077A"/>
    <w:rsid w:val="00691184"/>
    <w:rsid w:val="0069230F"/>
    <w:rsid w:val="00693C41"/>
    <w:rsid w:val="00693D09"/>
    <w:rsid w:val="006942A4"/>
    <w:rsid w:val="0069438B"/>
    <w:rsid w:val="006943B0"/>
    <w:rsid w:val="006944E5"/>
    <w:rsid w:val="00695493"/>
    <w:rsid w:val="00695539"/>
    <w:rsid w:val="006957A8"/>
    <w:rsid w:val="006960AA"/>
    <w:rsid w:val="00696193"/>
    <w:rsid w:val="00696CF7"/>
    <w:rsid w:val="006A0015"/>
    <w:rsid w:val="006A10C7"/>
    <w:rsid w:val="006A1329"/>
    <w:rsid w:val="006A1FF5"/>
    <w:rsid w:val="006A23C7"/>
    <w:rsid w:val="006A3B0F"/>
    <w:rsid w:val="006A4C50"/>
    <w:rsid w:val="006A57BA"/>
    <w:rsid w:val="006A58DD"/>
    <w:rsid w:val="006A5A31"/>
    <w:rsid w:val="006A6525"/>
    <w:rsid w:val="006A7A91"/>
    <w:rsid w:val="006A7D90"/>
    <w:rsid w:val="006B07FA"/>
    <w:rsid w:val="006B166E"/>
    <w:rsid w:val="006B2170"/>
    <w:rsid w:val="006B22A0"/>
    <w:rsid w:val="006B2CFF"/>
    <w:rsid w:val="006B3D08"/>
    <w:rsid w:val="006B45AF"/>
    <w:rsid w:val="006B5F93"/>
    <w:rsid w:val="006B60F5"/>
    <w:rsid w:val="006B6DC4"/>
    <w:rsid w:val="006B79D4"/>
    <w:rsid w:val="006C0592"/>
    <w:rsid w:val="006C0650"/>
    <w:rsid w:val="006C1572"/>
    <w:rsid w:val="006C5130"/>
    <w:rsid w:val="006C5F67"/>
    <w:rsid w:val="006C668E"/>
    <w:rsid w:val="006C76D8"/>
    <w:rsid w:val="006C7D25"/>
    <w:rsid w:val="006D0588"/>
    <w:rsid w:val="006D0714"/>
    <w:rsid w:val="006D07B4"/>
    <w:rsid w:val="006D09D8"/>
    <w:rsid w:val="006D0B7E"/>
    <w:rsid w:val="006D1EF6"/>
    <w:rsid w:val="006D3DDE"/>
    <w:rsid w:val="006D5F36"/>
    <w:rsid w:val="006D6862"/>
    <w:rsid w:val="006D7AD9"/>
    <w:rsid w:val="006E01FD"/>
    <w:rsid w:val="006E09CA"/>
    <w:rsid w:val="006E2118"/>
    <w:rsid w:val="006E215E"/>
    <w:rsid w:val="006E2DEC"/>
    <w:rsid w:val="006E2F06"/>
    <w:rsid w:val="006E37A5"/>
    <w:rsid w:val="006E3B7B"/>
    <w:rsid w:val="006E660F"/>
    <w:rsid w:val="006E71AF"/>
    <w:rsid w:val="006E75FE"/>
    <w:rsid w:val="006F1DFF"/>
    <w:rsid w:val="006F2223"/>
    <w:rsid w:val="006F3501"/>
    <w:rsid w:val="006F3506"/>
    <w:rsid w:val="006F3A3C"/>
    <w:rsid w:val="006F4563"/>
    <w:rsid w:val="006F5019"/>
    <w:rsid w:val="006F53DF"/>
    <w:rsid w:val="006F743F"/>
    <w:rsid w:val="006F7AD5"/>
    <w:rsid w:val="00700238"/>
    <w:rsid w:val="00701247"/>
    <w:rsid w:val="00701E8F"/>
    <w:rsid w:val="0070204A"/>
    <w:rsid w:val="00702A13"/>
    <w:rsid w:val="00703BF4"/>
    <w:rsid w:val="007040EA"/>
    <w:rsid w:val="0070427D"/>
    <w:rsid w:val="00705214"/>
    <w:rsid w:val="00706288"/>
    <w:rsid w:val="0070709E"/>
    <w:rsid w:val="00707B06"/>
    <w:rsid w:val="0071133D"/>
    <w:rsid w:val="00711B16"/>
    <w:rsid w:val="007128A0"/>
    <w:rsid w:val="00712D27"/>
    <w:rsid w:val="00712EFA"/>
    <w:rsid w:val="007150D2"/>
    <w:rsid w:val="00715867"/>
    <w:rsid w:val="007163C9"/>
    <w:rsid w:val="00716C95"/>
    <w:rsid w:val="00720FCA"/>
    <w:rsid w:val="00720FFF"/>
    <w:rsid w:val="0072141C"/>
    <w:rsid w:val="00721489"/>
    <w:rsid w:val="00721492"/>
    <w:rsid w:val="00722772"/>
    <w:rsid w:val="00722F29"/>
    <w:rsid w:val="0072347F"/>
    <w:rsid w:val="00723F35"/>
    <w:rsid w:val="00724A53"/>
    <w:rsid w:val="007255F2"/>
    <w:rsid w:val="00725A4A"/>
    <w:rsid w:val="0073059B"/>
    <w:rsid w:val="00731CA1"/>
    <w:rsid w:val="00731CE3"/>
    <w:rsid w:val="00733690"/>
    <w:rsid w:val="00735D13"/>
    <w:rsid w:val="0073628C"/>
    <w:rsid w:val="00736887"/>
    <w:rsid w:val="00736E07"/>
    <w:rsid w:val="00736F5D"/>
    <w:rsid w:val="0073706A"/>
    <w:rsid w:val="00737FEA"/>
    <w:rsid w:val="00741CFF"/>
    <w:rsid w:val="00741D8B"/>
    <w:rsid w:val="0074269E"/>
    <w:rsid w:val="00744272"/>
    <w:rsid w:val="00744EC3"/>
    <w:rsid w:val="007464CE"/>
    <w:rsid w:val="00747091"/>
    <w:rsid w:val="007500A6"/>
    <w:rsid w:val="007504E4"/>
    <w:rsid w:val="0075075A"/>
    <w:rsid w:val="00750CE0"/>
    <w:rsid w:val="007516AA"/>
    <w:rsid w:val="007516B2"/>
    <w:rsid w:val="007537E4"/>
    <w:rsid w:val="00753A49"/>
    <w:rsid w:val="00754D26"/>
    <w:rsid w:val="00755380"/>
    <w:rsid w:val="00755CBD"/>
    <w:rsid w:val="007572CC"/>
    <w:rsid w:val="00760386"/>
    <w:rsid w:val="00760667"/>
    <w:rsid w:val="00761161"/>
    <w:rsid w:val="007612BC"/>
    <w:rsid w:val="00762088"/>
    <w:rsid w:val="00762798"/>
    <w:rsid w:val="00763366"/>
    <w:rsid w:val="007634BC"/>
    <w:rsid w:val="00763CD6"/>
    <w:rsid w:val="00765E6C"/>
    <w:rsid w:val="0076614A"/>
    <w:rsid w:val="0076642F"/>
    <w:rsid w:val="007703D3"/>
    <w:rsid w:val="00770645"/>
    <w:rsid w:val="00771DD2"/>
    <w:rsid w:val="0077264A"/>
    <w:rsid w:val="0077269A"/>
    <w:rsid w:val="0077356E"/>
    <w:rsid w:val="0077479A"/>
    <w:rsid w:val="0077518B"/>
    <w:rsid w:val="007751F2"/>
    <w:rsid w:val="007759A2"/>
    <w:rsid w:val="00775FF8"/>
    <w:rsid w:val="00776429"/>
    <w:rsid w:val="007766DC"/>
    <w:rsid w:val="007768AB"/>
    <w:rsid w:val="00777604"/>
    <w:rsid w:val="0078097F"/>
    <w:rsid w:val="007810E6"/>
    <w:rsid w:val="00781228"/>
    <w:rsid w:val="00781C6B"/>
    <w:rsid w:val="0078214E"/>
    <w:rsid w:val="007824B8"/>
    <w:rsid w:val="00783ACD"/>
    <w:rsid w:val="00784084"/>
    <w:rsid w:val="00785976"/>
    <w:rsid w:val="007864AC"/>
    <w:rsid w:val="00787718"/>
    <w:rsid w:val="00787942"/>
    <w:rsid w:val="00787C56"/>
    <w:rsid w:val="00790505"/>
    <w:rsid w:val="00790CC8"/>
    <w:rsid w:val="00790ED5"/>
    <w:rsid w:val="00791CF7"/>
    <w:rsid w:val="007928C1"/>
    <w:rsid w:val="00793286"/>
    <w:rsid w:val="007937F6"/>
    <w:rsid w:val="00793A74"/>
    <w:rsid w:val="00793B2D"/>
    <w:rsid w:val="00793E4A"/>
    <w:rsid w:val="00795683"/>
    <w:rsid w:val="00795688"/>
    <w:rsid w:val="00795911"/>
    <w:rsid w:val="00795DDA"/>
    <w:rsid w:val="007979E1"/>
    <w:rsid w:val="00797D87"/>
    <w:rsid w:val="007A28A6"/>
    <w:rsid w:val="007A5C88"/>
    <w:rsid w:val="007A64CF"/>
    <w:rsid w:val="007A7C2E"/>
    <w:rsid w:val="007B004B"/>
    <w:rsid w:val="007B0D1F"/>
    <w:rsid w:val="007B0D52"/>
    <w:rsid w:val="007B124B"/>
    <w:rsid w:val="007B139A"/>
    <w:rsid w:val="007B1702"/>
    <w:rsid w:val="007B419B"/>
    <w:rsid w:val="007B47C0"/>
    <w:rsid w:val="007B648B"/>
    <w:rsid w:val="007B766F"/>
    <w:rsid w:val="007C13A8"/>
    <w:rsid w:val="007C1EC3"/>
    <w:rsid w:val="007C2F58"/>
    <w:rsid w:val="007C47A0"/>
    <w:rsid w:val="007C620D"/>
    <w:rsid w:val="007D01DC"/>
    <w:rsid w:val="007D0B52"/>
    <w:rsid w:val="007D0D93"/>
    <w:rsid w:val="007D1030"/>
    <w:rsid w:val="007D258D"/>
    <w:rsid w:val="007D48E8"/>
    <w:rsid w:val="007D49A6"/>
    <w:rsid w:val="007D593C"/>
    <w:rsid w:val="007D5DD5"/>
    <w:rsid w:val="007D76A3"/>
    <w:rsid w:val="007E0216"/>
    <w:rsid w:val="007E07AB"/>
    <w:rsid w:val="007E192B"/>
    <w:rsid w:val="007E232F"/>
    <w:rsid w:val="007E29B6"/>
    <w:rsid w:val="007E45FD"/>
    <w:rsid w:val="007E54A9"/>
    <w:rsid w:val="007E5F60"/>
    <w:rsid w:val="007E65B6"/>
    <w:rsid w:val="007E6B79"/>
    <w:rsid w:val="007E7097"/>
    <w:rsid w:val="007E70FF"/>
    <w:rsid w:val="007E7E57"/>
    <w:rsid w:val="007F0A93"/>
    <w:rsid w:val="007F0C23"/>
    <w:rsid w:val="007F2013"/>
    <w:rsid w:val="007F215C"/>
    <w:rsid w:val="007F2E97"/>
    <w:rsid w:val="007F3CB9"/>
    <w:rsid w:val="007F4427"/>
    <w:rsid w:val="007F45F1"/>
    <w:rsid w:val="007F4774"/>
    <w:rsid w:val="007F54C7"/>
    <w:rsid w:val="007F6227"/>
    <w:rsid w:val="007F6D6A"/>
    <w:rsid w:val="007F7841"/>
    <w:rsid w:val="007F7B13"/>
    <w:rsid w:val="008005EE"/>
    <w:rsid w:val="00800847"/>
    <w:rsid w:val="00801778"/>
    <w:rsid w:val="00801C14"/>
    <w:rsid w:val="00803272"/>
    <w:rsid w:val="008048C5"/>
    <w:rsid w:val="00804DB5"/>
    <w:rsid w:val="008051E6"/>
    <w:rsid w:val="0080615F"/>
    <w:rsid w:val="00807618"/>
    <w:rsid w:val="00810410"/>
    <w:rsid w:val="00810DFA"/>
    <w:rsid w:val="008136AD"/>
    <w:rsid w:val="00813B69"/>
    <w:rsid w:val="00813C26"/>
    <w:rsid w:val="00815BDD"/>
    <w:rsid w:val="00815CCB"/>
    <w:rsid w:val="00816536"/>
    <w:rsid w:val="008173BE"/>
    <w:rsid w:val="008207DB"/>
    <w:rsid w:val="00821E1D"/>
    <w:rsid w:val="00821F80"/>
    <w:rsid w:val="00822718"/>
    <w:rsid w:val="00822FAE"/>
    <w:rsid w:val="00823959"/>
    <w:rsid w:val="00823A1A"/>
    <w:rsid w:val="00823AA3"/>
    <w:rsid w:val="00825423"/>
    <w:rsid w:val="00826141"/>
    <w:rsid w:val="008264EB"/>
    <w:rsid w:val="008267C6"/>
    <w:rsid w:val="00827560"/>
    <w:rsid w:val="00830370"/>
    <w:rsid w:val="00831A09"/>
    <w:rsid w:val="00831EF2"/>
    <w:rsid w:val="008324E1"/>
    <w:rsid w:val="00832A48"/>
    <w:rsid w:val="00832B22"/>
    <w:rsid w:val="00832FBD"/>
    <w:rsid w:val="008337F4"/>
    <w:rsid w:val="0083452A"/>
    <w:rsid w:val="008345BC"/>
    <w:rsid w:val="00835154"/>
    <w:rsid w:val="00835344"/>
    <w:rsid w:val="00835EDA"/>
    <w:rsid w:val="00837864"/>
    <w:rsid w:val="0084088A"/>
    <w:rsid w:val="00840A50"/>
    <w:rsid w:val="00840A56"/>
    <w:rsid w:val="008444AA"/>
    <w:rsid w:val="00845D1C"/>
    <w:rsid w:val="00845FEA"/>
    <w:rsid w:val="008463DD"/>
    <w:rsid w:val="00847B9C"/>
    <w:rsid w:val="00850FD0"/>
    <w:rsid w:val="0085172E"/>
    <w:rsid w:val="0085191B"/>
    <w:rsid w:val="008519EC"/>
    <w:rsid w:val="00851C03"/>
    <w:rsid w:val="00851F22"/>
    <w:rsid w:val="00853A61"/>
    <w:rsid w:val="00854211"/>
    <w:rsid w:val="008543ED"/>
    <w:rsid w:val="0085528F"/>
    <w:rsid w:val="00856A06"/>
    <w:rsid w:val="00857263"/>
    <w:rsid w:val="008605D9"/>
    <w:rsid w:val="00860812"/>
    <w:rsid w:val="0086148A"/>
    <w:rsid w:val="00861520"/>
    <w:rsid w:val="0086169B"/>
    <w:rsid w:val="00862820"/>
    <w:rsid w:val="008633F6"/>
    <w:rsid w:val="008634D0"/>
    <w:rsid w:val="00863596"/>
    <w:rsid w:val="00864EE5"/>
    <w:rsid w:val="00865B91"/>
    <w:rsid w:val="008661F3"/>
    <w:rsid w:val="008666CC"/>
    <w:rsid w:val="00870B2B"/>
    <w:rsid w:val="008712C2"/>
    <w:rsid w:val="00871557"/>
    <w:rsid w:val="00873671"/>
    <w:rsid w:val="00875EEB"/>
    <w:rsid w:val="00876483"/>
    <w:rsid w:val="00876D12"/>
    <w:rsid w:val="00877087"/>
    <w:rsid w:val="00877828"/>
    <w:rsid w:val="00877B43"/>
    <w:rsid w:val="008814BA"/>
    <w:rsid w:val="00881AA8"/>
    <w:rsid w:val="008862F2"/>
    <w:rsid w:val="008878B6"/>
    <w:rsid w:val="00890AE8"/>
    <w:rsid w:val="00890CFC"/>
    <w:rsid w:val="00890DA2"/>
    <w:rsid w:val="00891248"/>
    <w:rsid w:val="00891CD9"/>
    <w:rsid w:val="008922F0"/>
    <w:rsid w:val="00892314"/>
    <w:rsid w:val="00892810"/>
    <w:rsid w:val="00893535"/>
    <w:rsid w:val="008937CE"/>
    <w:rsid w:val="008946AB"/>
    <w:rsid w:val="008949BE"/>
    <w:rsid w:val="00897FAB"/>
    <w:rsid w:val="008A29AE"/>
    <w:rsid w:val="008A2D22"/>
    <w:rsid w:val="008A3252"/>
    <w:rsid w:val="008A429E"/>
    <w:rsid w:val="008A5361"/>
    <w:rsid w:val="008A5B12"/>
    <w:rsid w:val="008A6AD1"/>
    <w:rsid w:val="008A6B5D"/>
    <w:rsid w:val="008A7A35"/>
    <w:rsid w:val="008B0F62"/>
    <w:rsid w:val="008B1815"/>
    <w:rsid w:val="008B214D"/>
    <w:rsid w:val="008B2344"/>
    <w:rsid w:val="008B237B"/>
    <w:rsid w:val="008B39E6"/>
    <w:rsid w:val="008B3AA4"/>
    <w:rsid w:val="008B404E"/>
    <w:rsid w:val="008B40C3"/>
    <w:rsid w:val="008B636E"/>
    <w:rsid w:val="008B64FA"/>
    <w:rsid w:val="008B71FF"/>
    <w:rsid w:val="008B77B7"/>
    <w:rsid w:val="008B7817"/>
    <w:rsid w:val="008B7AFA"/>
    <w:rsid w:val="008C0E75"/>
    <w:rsid w:val="008C2698"/>
    <w:rsid w:val="008C300C"/>
    <w:rsid w:val="008C3B9E"/>
    <w:rsid w:val="008C4648"/>
    <w:rsid w:val="008C7D63"/>
    <w:rsid w:val="008D0B54"/>
    <w:rsid w:val="008D17A7"/>
    <w:rsid w:val="008D1915"/>
    <w:rsid w:val="008D1EB0"/>
    <w:rsid w:val="008D2775"/>
    <w:rsid w:val="008D3447"/>
    <w:rsid w:val="008D370C"/>
    <w:rsid w:val="008D3E6A"/>
    <w:rsid w:val="008D47C7"/>
    <w:rsid w:val="008D552B"/>
    <w:rsid w:val="008D56FC"/>
    <w:rsid w:val="008D6E80"/>
    <w:rsid w:val="008D7B5E"/>
    <w:rsid w:val="008E09CE"/>
    <w:rsid w:val="008E108D"/>
    <w:rsid w:val="008E24F2"/>
    <w:rsid w:val="008E2569"/>
    <w:rsid w:val="008E2827"/>
    <w:rsid w:val="008E2AAC"/>
    <w:rsid w:val="008E2CFA"/>
    <w:rsid w:val="008E37FA"/>
    <w:rsid w:val="008E48DE"/>
    <w:rsid w:val="008E4C7B"/>
    <w:rsid w:val="008E6879"/>
    <w:rsid w:val="008E7523"/>
    <w:rsid w:val="008F0302"/>
    <w:rsid w:val="008F081E"/>
    <w:rsid w:val="008F1B62"/>
    <w:rsid w:val="008F258F"/>
    <w:rsid w:val="008F4BD3"/>
    <w:rsid w:val="008F5458"/>
    <w:rsid w:val="008F69A1"/>
    <w:rsid w:val="008F6B95"/>
    <w:rsid w:val="008F7E06"/>
    <w:rsid w:val="00900ABB"/>
    <w:rsid w:val="00900F4C"/>
    <w:rsid w:val="0090130E"/>
    <w:rsid w:val="00901DAB"/>
    <w:rsid w:val="009037C0"/>
    <w:rsid w:val="00903845"/>
    <w:rsid w:val="00903C48"/>
    <w:rsid w:val="009046DF"/>
    <w:rsid w:val="0090551C"/>
    <w:rsid w:val="009056BF"/>
    <w:rsid w:val="00906344"/>
    <w:rsid w:val="009069E6"/>
    <w:rsid w:val="00906F6C"/>
    <w:rsid w:val="00907871"/>
    <w:rsid w:val="00907B88"/>
    <w:rsid w:val="0091000A"/>
    <w:rsid w:val="009104B7"/>
    <w:rsid w:val="0091070C"/>
    <w:rsid w:val="00911557"/>
    <w:rsid w:val="009127CE"/>
    <w:rsid w:val="00912F4F"/>
    <w:rsid w:val="00915950"/>
    <w:rsid w:val="00917074"/>
    <w:rsid w:val="00920A06"/>
    <w:rsid w:val="00920BE7"/>
    <w:rsid w:val="009210EE"/>
    <w:rsid w:val="00921384"/>
    <w:rsid w:val="00922685"/>
    <w:rsid w:val="00922F1F"/>
    <w:rsid w:val="00923C2E"/>
    <w:rsid w:val="0092436D"/>
    <w:rsid w:val="009248B2"/>
    <w:rsid w:val="00925D4A"/>
    <w:rsid w:val="00925F64"/>
    <w:rsid w:val="009276B6"/>
    <w:rsid w:val="00927CA6"/>
    <w:rsid w:val="009304C2"/>
    <w:rsid w:val="00930D5B"/>
    <w:rsid w:val="00932937"/>
    <w:rsid w:val="00933916"/>
    <w:rsid w:val="009347BB"/>
    <w:rsid w:val="009351C2"/>
    <w:rsid w:val="0093530F"/>
    <w:rsid w:val="009356B5"/>
    <w:rsid w:val="00935821"/>
    <w:rsid w:val="00936232"/>
    <w:rsid w:val="009372DB"/>
    <w:rsid w:val="00937575"/>
    <w:rsid w:val="00937FCC"/>
    <w:rsid w:val="00940EC9"/>
    <w:rsid w:val="00941A6C"/>
    <w:rsid w:val="00942069"/>
    <w:rsid w:val="00942404"/>
    <w:rsid w:val="00943330"/>
    <w:rsid w:val="0094358F"/>
    <w:rsid w:val="00943831"/>
    <w:rsid w:val="00943844"/>
    <w:rsid w:val="00943D29"/>
    <w:rsid w:val="00944862"/>
    <w:rsid w:val="0094528D"/>
    <w:rsid w:val="0094584B"/>
    <w:rsid w:val="00946050"/>
    <w:rsid w:val="00946951"/>
    <w:rsid w:val="009473C6"/>
    <w:rsid w:val="00950DCF"/>
    <w:rsid w:val="0095120E"/>
    <w:rsid w:val="009516F7"/>
    <w:rsid w:val="009519E4"/>
    <w:rsid w:val="009520D6"/>
    <w:rsid w:val="009526F1"/>
    <w:rsid w:val="0095294C"/>
    <w:rsid w:val="00952A30"/>
    <w:rsid w:val="0095338E"/>
    <w:rsid w:val="009543D1"/>
    <w:rsid w:val="009564E3"/>
    <w:rsid w:val="00957573"/>
    <w:rsid w:val="00957736"/>
    <w:rsid w:val="00957BEA"/>
    <w:rsid w:val="0096032D"/>
    <w:rsid w:val="00960445"/>
    <w:rsid w:val="00960B5A"/>
    <w:rsid w:val="0096181A"/>
    <w:rsid w:val="00961CFE"/>
    <w:rsid w:val="00961EC3"/>
    <w:rsid w:val="0096243C"/>
    <w:rsid w:val="00962E9B"/>
    <w:rsid w:val="00963596"/>
    <w:rsid w:val="00963AE7"/>
    <w:rsid w:val="00963B56"/>
    <w:rsid w:val="0096435E"/>
    <w:rsid w:val="009648E0"/>
    <w:rsid w:val="00964D67"/>
    <w:rsid w:val="00964ED8"/>
    <w:rsid w:val="00964F6A"/>
    <w:rsid w:val="00966C01"/>
    <w:rsid w:val="009712B5"/>
    <w:rsid w:val="00971452"/>
    <w:rsid w:val="00971685"/>
    <w:rsid w:val="00975E9A"/>
    <w:rsid w:val="0097678C"/>
    <w:rsid w:val="00977447"/>
    <w:rsid w:val="00977A44"/>
    <w:rsid w:val="009804D6"/>
    <w:rsid w:val="00980591"/>
    <w:rsid w:val="009816C3"/>
    <w:rsid w:val="00983636"/>
    <w:rsid w:val="0098487B"/>
    <w:rsid w:val="00984BD3"/>
    <w:rsid w:val="009864F6"/>
    <w:rsid w:val="00987908"/>
    <w:rsid w:val="00991916"/>
    <w:rsid w:val="0099232E"/>
    <w:rsid w:val="009944D8"/>
    <w:rsid w:val="009954CD"/>
    <w:rsid w:val="00995705"/>
    <w:rsid w:val="00995C88"/>
    <w:rsid w:val="0099651B"/>
    <w:rsid w:val="00996974"/>
    <w:rsid w:val="0099777F"/>
    <w:rsid w:val="009A1633"/>
    <w:rsid w:val="009A2771"/>
    <w:rsid w:val="009A39EF"/>
    <w:rsid w:val="009A457A"/>
    <w:rsid w:val="009A460E"/>
    <w:rsid w:val="009A596A"/>
    <w:rsid w:val="009A6D42"/>
    <w:rsid w:val="009B0299"/>
    <w:rsid w:val="009B121C"/>
    <w:rsid w:val="009B3061"/>
    <w:rsid w:val="009B3F4C"/>
    <w:rsid w:val="009B548C"/>
    <w:rsid w:val="009B569E"/>
    <w:rsid w:val="009B5EAD"/>
    <w:rsid w:val="009B5FB8"/>
    <w:rsid w:val="009B6227"/>
    <w:rsid w:val="009B6465"/>
    <w:rsid w:val="009C142E"/>
    <w:rsid w:val="009C1AF3"/>
    <w:rsid w:val="009C1C50"/>
    <w:rsid w:val="009C25AF"/>
    <w:rsid w:val="009C2794"/>
    <w:rsid w:val="009C2FB7"/>
    <w:rsid w:val="009C3430"/>
    <w:rsid w:val="009C34F2"/>
    <w:rsid w:val="009C3720"/>
    <w:rsid w:val="009C42AB"/>
    <w:rsid w:val="009C4F60"/>
    <w:rsid w:val="009C6A35"/>
    <w:rsid w:val="009C7E0D"/>
    <w:rsid w:val="009D1031"/>
    <w:rsid w:val="009D1ADC"/>
    <w:rsid w:val="009D1BE0"/>
    <w:rsid w:val="009D2828"/>
    <w:rsid w:val="009D2970"/>
    <w:rsid w:val="009D44A3"/>
    <w:rsid w:val="009D4EDE"/>
    <w:rsid w:val="009D5842"/>
    <w:rsid w:val="009D6D60"/>
    <w:rsid w:val="009D708E"/>
    <w:rsid w:val="009E0996"/>
    <w:rsid w:val="009E0A1F"/>
    <w:rsid w:val="009E0BEA"/>
    <w:rsid w:val="009E0F71"/>
    <w:rsid w:val="009E1F3E"/>
    <w:rsid w:val="009E2280"/>
    <w:rsid w:val="009E4C74"/>
    <w:rsid w:val="009E51E1"/>
    <w:rsid w:val="009E54B1"/>
    <w:rsid w:val="009E6C78"/>
    <w:rsid w:val="009E783C"/>
    <w:rsid w:val="009F0553"/>
    <w:rsid w:val="009F1BD1"/>
    <w:rsid w:val="009F2527"/>
    <w:rsid w:val="009F28D0"/>
    <w:rsid w:val="009F2F23"/>
    <w:rsid w:val="009F3175"/>
    <w:rsid w:val="009F3257"/>
    <w:rsid w:val="009F3633"/>
    <w:rsid w:val="009F37D7"/>
    <w:rsid w:val="009F39B2"/>
    <w:rsid w:val="009F4019"/>
    <w:rsid w:val="009F40CF"/>
    <w:rsid w:val="009F4A4F"/>
    <w:rsid w:val="009F4ABF"/>
    <w:rsid w:val="009F4C83"/>
    <w:rsid w:val="009F5D76"/>
    <w:rsid w:val="009F5F7A"/>
    <w:rsid w:val="009F6A30"/>
    <w:rsid w:val="009F7BE8"/>
    <w:rsid w:val="009F7E32"/>
    <w:rsid w:val="00A001F7"/>
    <w:rsid w:val="00A00494"/>
    <w:rsid w:val="00A013DD"/>
    <w:rsid w:val="00A0177E"/>
    <w:rsid w:val="00A0193C"/>
    <w:rsid w:val="00A02599"/>
    <w:rsid w:val="00A02673"/>
    <w:rsid w:val="00A028B7"/>
    <w:rsid w:val="00A040F9"/>
    <w:rsid w:val="00A0418D"/>
    <w:rsid w:val="00A049E1"/>
    <w:rsid w:val="00A05685"/>
    <w:rsid w:val="00A0584A"/>
    <w:rsid w:val="00A05CC1"/>
    <w:rsid w:val="00A064C5"/>
    <w:rsid w:val="00A0799E"/>
    <w:rsid w:val="00A10BAA"/>
    <w:rsid w:val="00A13FF6"/>
    <w:rsid w:val="00A15E03"/>
    <w:rsid w:val="00A163E3"/>
    <w:rsid w:val="00A16573"/>
    <w:rsid w:val="00A16E97"/>
    <w:rsid w:val="00A1767C"/>
    <w:rsid w:val="00A17E6E"/>
    <w:rsid w:val="00A20932"/>
    <w:rsid w:val="00A20A51"/>
    <w:rsid w:val="00A2133B"/>
    <w:rsid w:val="00A213F0"/>
    <w:rsid w:val="00A21467"/>
    <w:rsid w:val="00A22990"/>
    <w:rsid w:val="00A2366C"/>
    <w:rsid w:val="00A24DCF"/>
    <w:rsid w:val="00A250EF"/>
    <w:rsid w:val="00A25504"/>
    <w:rsid w:val="00A2630D"/>
    <w:rsid w:val="00A3089E"/>
    <w:rsid w:val="00A30D73"/>
    <w:rsid w:val="00A32BD7"/>
    <w:rsid w:val="00A32D3A"/>
    <w:rsid w:val="00A33408"/>
    <w:rsid w:val="00A33585"/>
    <w:rsid w:val="00A3389B"/>
    <w:rsid w:val="00A33BFF"/>
    <w:rsid w:val="00A3407D"/>
    <w:rsid w:val="00A3753C"/>
    <w:rsid w:val="00A412CC"/>
    <w:rsid w:val="00A41318"/>
    <w:rsid w:val="00A4147C"/>
    <w:rsid w:val="00A4149C"/>
    <w:rsid w:val="00A43BD7"/>
    <w:rsid w:val="00A4488C"/>
    <w:rsid w:val="00A44ED8"/>
    <w:rsid w:val="00A45254"/>
    <w:rsid w:val="00A45ACA"/>
    <w:rsid w:val="00A47E75"/>
    <w:rsid w:val="00A507FC"/>
    <w:rsid w:val="00A50982"/>
    <w:rsid w:val="00A50B4C"/>
    <w:rsid w:val="00A51664"/>
    <w:rsid w:val="00A52DA8"/>
    <w:rsid w:val="00A531B2"/>
    <w:rsid w:val="00A53873"/>
    <w:rsid w:val="00A53BBC"/>
    <w:rsid w:val="00A53E95"/>
    <w:rsid w:val="00A54250"/>
    <w:rsid w:val="00A551A9"/>
    <w:rsid w:val="00A55840"/>
    <w:rsid w:val="00A55A05"/>
    <w:rsid w:val="00A56213"/>
    <w:rsid w:val="00A57727"/>
    <w:rsid w:val="00A57AE6"/>
    <w:rsid w:val="00A6189C"/>
    <w:rsid w:val="00A619CA"/>
    <w:rsid w:val="00A624BD"/>
    <w:rsid w:val="00A628E6"/>
    <w:rsid w:val="00A63E63"/>
    <w:rsid w:val="00A65B02"/>
    <w:rsid w:val="00A664EB"/>
    <w:rsid w:val="00A67D68"/>
    <w:rsid w:val="00A702E7"/>
    <w:rsid w:val="00A7038F"/>
    <w:rsid w:val="00A70D98"/>
    <w:rsid w:val="00A71631"/>
    <w:rsid w:val="00A72129"/>
    <w:rsid w:val="00A721AF"/>
    <w:rsid w:val="00A73492"/>
    <w:rsid w:val="00A74511"/>
    <w:rsid w:val="00A74E2A"/>
    <w:rsid w:val="00A75296"/>
    <w:rsid w:val="00A75D7E"/>
    <w:rsid w:val="00A76FFB"/>
    <w:rsid w:val="00A77D72"/>
    <w:rsid w:val="00A77F1C"/>
    <w:rsid w:val="00A81373"/>
    <w:rsid w:val="00A82038"/>
    <w:rsid w:val="00A82B4C"/>
    <w:rsid w:val="00A83EE0"/>
    <w:rsid w:val="00A8486B"/>
    <w:rsid w:val="00A84B32"/>
    <w:rsid w:val="00A84F4E"/>
    <w:rsid w:val="00A85608"/>
    <w:rsid w:val="00A85AD4"/>
    <w:rsid w:val="00A85D07"/>
    <w:rsid w:val="00A862AE"/>
    <w:rsid w:val="00A86F3D"/>
    <w:rsid w:val="00A87613"/>
    <w:rsid w:val="00A8775C"/>
    <w:rsid w:val="00A879F2"/>
    <w:rsid w:val="00A87E76"/>
    <w:rsid w:val="00A90BF8"/>
    <w:rsid w:val="00A91101"/>
    <w:rsid w:val="00A92459"/>
    <w:rsid w:val="00A9303D"/>
    <w:rsid w:val="00A93695"/>
    <w:rsid w:val="00A9519F"/>
    <w:rsid w:val="00A95F50"/>
    <w:rsid w:val="00A96212"/>
    <w:rsid w:val="00A962E3"/>
    <w:rsid w:val="00A9668A"/>
    <w:rsid w:val="00A974C5"/>
    <w:rsid w:val="00A97778"/>
    <w:rsid w:val="00AA0003"/>
    <w:rsid w:val="00AA0872"/>
    <w:rsid w:val="00AA096E"/>
    <w:rsid w:val="00AA0AF4"/>
    <w:rsid w:val="00AA0CAC"/>
    <w:rsid w:val="00AA1234"/>
    <w:rsid w:val="00AA207B"/>
    <w:rsid w:val="00AA26A4"/>
    <w:rsid w:val="00AA2812"/>
    <w:rsid w:val="00AA3219"/>
    <w:rsid w:val="00AA3716"/>
    <w:rsid w:val="00AA3962"/>
    <w:rsid w:val="00AA5965"/>
    <w:rsid w:val="00AA6112"/>
    <w:rsid w:val="00AA646D"/>
    <w:rsid w:val="00AA6518"/>
    <w:rsid w:val="00AA66CA"/>
    <w:rsid w:val="00AA77DE"/>
    <w:rsid w:val="00AB214F"/>
    <w:rsid w:val="00AB2181"/>
    <w:rsid w:val="00AB3B39"/>
    <w:rsid w:val="00AB41EF"/>
    <w:rsid w:val="00AB4CB2"/>
    <w:rsid w:val="00AB5A31"/>
    <w:rsid w:val="00AB733E"/>
    <w:rsid w:val="00AB7586"/>
    <w:rsid w:val="00AB7C81"/>
    <w:rsid w:val="00AC082A"/>
    <w:rsid w:val="00AC10EF"/>
    <w:rsid w:val="00AC1DA5"/>
    <w:rsid w:val="00AC21D5"/>
    <w:rsid w:val="00AC24E2"/>
    <w:rsid w:val="00AC273D"/>
    <w:rsid w:val="00AC2BA4"/>
    <w:rsid w:val="00AC315C"/>
    <w:rsid w:val="00AC55CC"/>
    <w:rsid w:val="00AC586F"/>
    <w:rsid w:val="00AC6A8C"/>
    <w:rsid w:val="00AC7367"/>
    <w:rsid w:val="00AC7547"/>
    <w:rsid w:val="00AD0E1B"/>
    <w:rsid w:val="00AD148C"/>
    <w:rsid w:val="00AD1CAF"/>
    <w:rsid w:val="00AD29F5"/>
    <w:rsid w:val="00AD38C7"/>
    <w:rsid w:val="00AD3E20"/>
    <w:rsid w:val="00AD4FDB"/>
    <w:rsid w:val="00AD56DA"/>
    <w:rsid w:val="00AD58AB"/>
    <w:rsid w:val="00AD690F"/>
    <w:rsid w:val="00AE05FB"/>
    <w:rsid w:val="00AE136D"/>
    <w:rsid w:val="00AE1868"/>
    <w:rsid w:val="00AE1FFB"/>
    <w:rsid w:val="00AE23D8"/>
    <w:rsid w:val="00AE26D9"/>
    <w:rsid w:val="00AE4313"/>
    <w:rsid w:val="00AE452F"/>
    <w:rsid w:val="00AE466C"/>
    <w:rsid w:val="00AE5A99"/>
    <w:rsid w:val="00AF0221"/>
    <w:rsid w:val="00AF0A42"/>
    <w:rsid w:val="00AF0E2D"/>
    <w:rsid w:val="00AF1A2B"/>
    <w:rsid w:val="00AF25C1"/>
    <w:rsid w:val="00AF3241"/>
    <w:rsid w:val="00AF3C17"/>
    <w:rsid w:val="00AF3D4A"/>
    <w:rsid w:val="00AF5654"/>
    <w:rsid w:val="00AF602F"/>
    <w:rsid w:val="00AF6735"/>
    <w:rsid w:val="00AF6909"/>
    <w:rsid w:val="00AF7C68"/>
    <w:rsid w:val="00B009E8"/>
    <w:rsid w:val="00B00A03"/>
    <w:rsid w:val="00B01B9E"/>
    <w:rsid w:val="00B029DB"/>
    <w:rsid w:val="00B034D8"/>
    <w:rsid w:val="00B045FA"/>
    <w:rsid w:val="00B05CE9"/>
    <w:rsid w:val="00B06031"/>
    <w:rsid w:val="00B06831"/>
    <w:rsid w:val="00B06A65"/>
    <w:rsid w:val="00B06E59"/>
    <w:rsid w:val="00B07AF1"/>
    <w:rsid w:val="00B1047F"/>
    <w:rsid w:val="00B1065D"/>
    <w:rsid w:val="00B11A8A"/>
    <w:rsid w:val="00B130D7"/>
    <w:rsid w:val="00B13621"/>
    <w:rsid w:val="00B13B05"/>
    <w:rsid w:val="00B13D85"/>
    <w:rsid w:val="00B142BC"/>
    <w:rsid w:val="00B15071"/>
    <w:rsid w:val="00B1558A"/>
    <w:rsid w:val="00B15ADB"/>
    <w:rsid w:val="00B15C02"/>
    <w:rsid w:val="00B15DA7"/>
    <w:rsid w:val="00B171F6"/>
    <w:rsid w:val="00B17279"/>
    <w:rsid w:val="00B20A4E"/>
    <w:rsid w:val="00B21982"/>
    <w:rsid w:val="00B22CF8"/>
    <w:rsid w:val="00B241A4"/>
    <w:rsid w:val="00B242C8"/>
    <w:rsid w:val="00B24B37"/>
    <w:rsid w:val="00B2532A"/>
    <w:rsid w:val="00B25D15"/>
    <w:rsid w:val="00B26715"/>
    <w:rsid w:val="00B26E75"/>
    <w:rsid w:val="00B302B1"/>
    <w:rsid w:val="00B30552"/>
    <w:rsid w:val="00B30C8A"/>
    <w:rsid w:val="00B32E5D"/>
    <w:rsid w:val="00B33065"/>
    <w:rsid w:val="00B331B0"/>
    <w:rsid w:val="00B34A2D"/>
    <w:rsid w:val="00B34F8D"/>
    <w:rsid w:val="00B371FE"/>
    <w:rsid w:val="00B37C73"/>
    <w:rsid w:val="00B4188E"/>
    <w:rsid w:val="00B41B56"/>
    <w:rsid w:val="00B41BEA"/>
    <w:rsid w:val="00B41E8E"/>
    <w:rsid w:val="00B41F93"/>
    <w:rsid w:val="00B43585"/>
    <w:rsid w:val="00B439AF"/>
    <w:rsid w:val="00B439FF"/>
    <w:rsid w:val="00B44331"/>
    <w:rsid w:val="00B44B15"/>
    <w:rsid w:val="00B4591A"/>
    <w:rsid w:val="00B45CE3"/>
    <w:rsid w:val="00B47315"/>
    <w:rsid w:val="00B50173"/>
    <w:rsid w:val="00B50425"/>
    <w:rsid w:val="00B5056D"/>
    <w:rsid w:val="00B50B35"/>
    <w:rsid w:val="00B517E0"/>
    <w:rsid w:val="00B5180C"/>
    <w:rsid w:val="00B541E0"/>
    <w:rsid w:val="00B5430C"/>
    <w:rsid w:val="00B54ED2"/>
    <w:rsid w:val="00B55D9B"/>
    <w:rsid w:val="00B55FF7"/>
    <w:rsid w:val="00B56D77"/>
    <w:rsid w:val="00B5750C"/>
    <w:rsid w:val="00B57842"/>
    <w:rsid w:val="00B57B0C"/>
    <w:rsid w:val="00B6033E"/>
    <w:rsid w:val="00B62C57"/>
    <w:rsid w:val="00B6349F"/>
    <w:rsid w:val="00B6380D"/>
    <w:rsid w:val="00B6389C"/>
    <w:rsid w:val="00B63CFD"/>
    <w:rsid w:val="00B64885"/>
    <w:rsid w:val="00B655D2"/>
    <w:rsid w:val="00B655F5"/>
    <w:rsid w:val="00B65F5D"/>
    <w:rsid w:val="00B66014"/>
    <w:rsid w:val="00B6770B"/>
    <w:rsid w:val="00B67DBB"/>
    <w:rsid w:val="00B72444"/>
    <w:rsid w:val="00B72D21"/>
    <w:rsid w:val="00B74D1E"/>
    <w:rsid w:val="00B757DA"/>
    <w:rsid w:val="00B76BDC"/>
    <w:rsid w:val="00B77583"/>
    <w:rsid w:val="00B776DC"/>
    <w:rsid w:val="00B77850"/>
    <w:rsid w:val="00B811E0"/>
    <w:rsid w:val="00B81334"/>
    <w:rsid w:val="00B81D42"/>
    <w:rsid w:val="00B81EFA"/>
    <w:rsid w:val="00B84516"/>
    <w:rsid w:val="00B84B86"/>
    <w:rsid w:val="00B85988"/>
    <w:rsid w:val="00B85B78"/>
    <w:rsid w:val="00B85F3C"/>
    <w:rsid w:val="00B86923"/>
    <w:rsid w:val="00B86D5D"/>
    <w:rsid w:val="00B86E97"/>
    <w:rsid w:val="00B86F6D"/>
    <w:rsid w:val="00B87AC4"/>
    <w:rsid w:val="00B90196"/>
    <w:rsid w:val="00B9032E"/>
    <w:rsid w:val="00B90802"/>
    <w:rsid w:val="00B90E91"/>
    <w:rsid w:val="00B9134E"/>
    <w:rsid w:val="00B92AFE"/>
    <w:rsid w:val="00B9329A"/>
    <w:rsid w:val="00B939EE"/>
    <w:rsid w:val="00B93CD0"/>
    <w:rsid w:val="00B94BAF"/>
    <w:rsid w:val="00B94CF0"/>
    <w:rsid w:val="00B94F96"/>
    <w:rsid w:val="00B95F59"/>
    <w:rsid w:val="00B97631"/>
    <w:rsid w:val="00B9768E"/>
    <w:rsid w:val="00B97E20"/>
    <w:rsid w:val="00BA0D42"/>
    <w:rsid w:val="00BA1453"/>
    <w:rsid w:val="00BA18EC"/>
    <w:rsid w:val="00BA1A5B"/>
    <w:rsid w:val="00BA2445"/>
    <w:rsid w:val="00BA2EAE"/>
    <w:rsid w:val="00BA330D"/>
    <w:rsid w:val="00BA4458"/>
    <w:rsid w:val="00BA456A"/>
    <w:rsid w:val="00BA47B8"/>
    <w:rsid w:val="00BA494E"/>
    <w:rsid w:val="00BA4B5E"/>
    <w:rsid w:val="00BA4B8A"/>
    <w:rsid w:val="00BA4D89"/>
    <w:rsid w:val="00BA5031"/>
    <w:rsid w:val="00BA63F2"/>
    <w:rsid w:val="00BA78D7"/>
    <w:rsid w:val="00BB1EB2"/>
    <w:rsid w:val="00BB2441"/>
    <w:rsid w:val="00BB3F94"/>
    <w:rsid w:val="00BB4B45"/>
    <w:rsid w:val="00BB5E19"/>
    <w:rsid w:val="00BB62A0"/>
    <w:rsid w:val="00BB6C5D"/>
    <w:rsid w:val="00BB7684"/>
    <w:rsid w:val="00BB77FB"/>
    <w:rsid w:val="00BB7A5F"/>
    <w:rsid w:val="00BC0C98"/>
    <w:rsid w:val="00BC0EA2"/>
    <w:rsid w:val="00BC2C40"/>
    <w:rsid w:val="00BC3BA0"/>
    <w:rsid w:val="00BC4087"/>
    <w:rsid w:val="00BC4BF5"/>
    <w:rsid w:val="00BC4C66"/>
    <w:rsid w:val="00BC5357"/>
    <w:rsid w:val="00BC5CEB"/>
    <w:rsid w:val="00BC5E94"/>
    <w:rsid w:val="00BC65C3"/>
    <w:rsid w:val="00BC677C"/>
    <w:rsid w:val="00BC6884"/>
    <w:rsid w:val="00BD08A5"/>
    <w:rsid w:val="00BD1F01"/>
    <w:rsid w:val="00BD26BC"/>
    <w:rsid w:val="00BD281B"/>
    <w:rsid w:val="00BD29BC"/>
    <w:rsid w:val="00BD2DC2"/>
    <w:rsid w:val="00BD302A"/>
    <w:rsid w:val="00BD391E"/>
    <w:rsid w:val="00BD43BC"/>
    <w:rsid w:val="00BD43C3"/>
    <w:rsid w:val="00BD5998"/>
    <w:rsid w:val="00BD617E"/>
    <w:rsid w:val="00BD7384"/>
    <w:rsid w:val="00BE0B95"/>
    <w:rsid w:val="00BE0F21"/>
    <w:rsid w:val="00BE14E3"/>
    <w:rsid w:val="00BE1C13"/>
    <w:rsid w:val="00BE1CCE"/>
    <w:rsid w:val="00BE2139"/>
    <w:rsid w:val="00BE2239"/>
    <w:rsid w:val="00BE317B"/>
    <w:rsid w:val="00BE4C9D"/>
    <w:rsid w:val="00BE61D8"/>
    <w:rsid w:val="00BE6381"/>
    <w:rsid w:val="00BE743F"/>
    <w:rsid w:val="00BE76CC"/>
    <w:rsid w:val="00BE7CFA"/>
    <w:rsid w:val="00BF1D43"/>
    <w:rsid w:val="00BF25A8"/>
    <w:rsid w:val="00BF2B01"/>
    <w:rsid w:val="00BF3B7C"/>
    <w:rsid w:val="00BF439B"/>
    <w:rsid w:val="00BF4997"/>
    <w:rsid w:val="00BF52BC"/>
    <w:rsid w:val="00BF70A2"/>
    <w:rsid w:val="00BF7554"/>
    <w:rsid w:val="00BF76DD"/>
    <w:rsid w:val="00BF7F2C"/>
    <w:rsid w:val="00C00319"/>
    <w:rsid w:val="00C003A4"/>
    <w:rsid w:val="00C00882"/>
    <w:rsid w:val="00C00BAC"/>
    <w:rsid w:val="00C01368"/>
    <w:rsid w:val="00C02136"/>
    <w:rsid w:val="00C0220D"/>
    <w:rsid w:val="00C037ED"/>
    <w:rsid w:val="00C048FC"/>
    <w:rsid w:val="00C05A59"/>
    <w:rsid w:val="00C05B9D"/>
    <w:rsid w:val="00C05F4E"/>
    <w:rsid w:val="00C07040"/>
    <w:rsid w:val="00C074E2"/>
    <w:rsid w:val="00C1064A"/>
    <w:rsid w:val="00C106CE"/>
    <w:rsid w:val="00C12611"/>
    <w:rsid w:val="00C13344"/>
    <w:rsid w:val="00C149F5"/>
    <w:rsid w:val="00C15327"/>
    <w:rsid w:val="00C153AF"/>
    <w:rsid w:val="00C1755F"/>
    <w:rsid w:val="00C20816"/>
    <w:rsid w:val="00C22B59"/>
    <w:rsid w:val="00C2308E"/>
    <w:rsid w:val="00C230B8"/>
    <w:rsid w:val="00C23AA6"/>
    <w:rsid w:val="00C23C89"/>
    <w:rsid w:val="00C2546A"/>
    <w:rsid w:val="00C2554A"/>
    <w:rsid w:val="00C25A6B"/>
    <w:rsid w:val="00C26B28"/>
    <w:rsid w:val="00C26CD7"/>
    <w:rsid w:val="00C27127"/>
    <w:rsid w:val="00C308A2"/>
    <w:rsid w:val="00C30A65"/>
    <w:rsid w:val="00C3127B"/>
    <w:rsid w:val="00C31684"/>
    <w:rsid w:val="00C328E9"/>
    <w:rsid w:val="00C32F76"/>
    <w:rsid w:val="00C337A1"/>
    <w:rsid w:val="00C34526"/>
    <w:rsid w:val="00C34ADD"/>
    <w:rsid w:val="00C34E0A"/>
    <w:rsid w:val="00C34E9F"/>
    <w:rsid w:val="00C34F32"/>
    <w:rsid w:val="00C352BF"/>
    <w:rsid w:val="00C35363"/>
    <w:rsid w:val="00C365D9"/>
    <w:rsid w:val="00C378B4"/>
    <w:rsid w:val="00C37BBA"/>
    <w:rsid w:val="00C37DA7"/>
    <w:rsid w:val="00C37FCE"/>
    <w:rsid w:val="00C4040C"/>
    <w:rsid w:val="00C4066B"/>
    <w:rsid w:val="00C40C61"/>
    <w:rsid w:val="00C40E6A"/>
    <w:rsid w:val="00C41255"/>
    <w:rsid w:val="00C4206F"/>
    <w:rsid w:val="00C42798"/>
    <w:rsid w:val="00C43A5F"/>
    <w:rsid w:val="00C4449B"/>
    <w:rsid w:val="00C44EA8"/>
    <w:rsid w:val="00C44F89"/>
    <w:rsid w:val="00C44FAF"/>
    <w:rsid w:val="00C4551C"/>
    <w:rsid w:val="00C4706C"/>
    <w:rsid w:val="00C472AA"/>
    <w:rsid w:val="00C50469"/>
    <w:rsid w:val="00C50AE1"/>
    <w:rsid w:val="00C532C3"/>
    <w:rsid w:val="00C532C6"/>
    <w:rsid w:val="00C53601"/>
    <w:rsid w:val="00C53D32"/>
    <w:rsid w:val="00C5400A"/>
    <w:rsid w:val="00C557E0"/>
    <w:rsid w:val="00C56419"/>
    <w:rsid w:val="00C56B30"/>
    <w:rsid w:val="00C56F85"/>
    <w:rsid w:val="00C60862"/>
    <w:rsid w:val="00C6135D"/>
    <w:rsid w:val="00C62624"/>
    <w:rsid w:val="00C6297E"/>
    <w:rsid w:val="00C62A2E"/>
    <w:rsid w:val="00C63BD5"/>
    <w:rsid w:val="00C64FC0"/>
    <w:rsid w:val="00C6581A"/>
    <w:rsid w:val="00C65914"/>
    <w:rsid w:val="00C65A09"/>
    <w:rsid w:val="00C65BB0"/>
    <w:rsid w:val="00C663BC"/>
    <w:rsid w:val="00C668CB"/>
    <w:rsid w:val="00C67DC0"/>
    <w:rsid w:val="00C67ED9"/>
    <w:rsid w:val="00C701E4"/>
    <w:rsid w:val="00C703E2"/>
    <w:rsid w:val="00C7080F"/>
    <w:rsid w:val="00C70AB7"/>
    <w:rsid w:val="00C71FD0"/>
    <w:rsid w:val="00C72BBF"/>
    <w:rsid w:val="00C737C3"/>
    <w:rsid w:val="00C73A7A"/>
    <w:rsid w:val="00C7546B"/>
    <w:rsid w:val="00C76A90"/>
    <w:rsid w:val="00C76DA5"/>
    <w:rsid w:val="00C778E1"/>
    <w:rsid w:val="00C77DD0"/>
    <w:rsid w:val="00C80269"/>
    <w:rsid w:val="00C806D5"/>
    <w:rsid w:val="00C81FAE"/>
    <w:rsid w:val="00C82AE1"/>
    <w:rsid w:val="00C838F8"/>
    <w:rsid w:val="00C83A53"/>
    <w:rsid w:val="00C83CCB"/>
    <w:rsid w:val="00C83EA9"/>
    <w:rsid w:val="00C84625"/>
    <w:rsid w:val="00C8487D"/>
    <w:rsid w:val="00C8676A"/>
    <w:rsid w:val="00C869DE"/>
    <w:rsid w:val="00C90542"/>
    <w:rsid w:val="00C91236"/>
    <w:rsid w:val="00C91E8E"/>
    <w:rsid w:val="00C93427"/>
    <w:rsid w:val="00C93B3F"/>
    <w:rsid w:val="00C93DA1"/>
    <w:rsid w:val="00C94B0E"/>
    <w:rsid w:val="00C94BCC"/>
    <w:rsid w:val="00C95778"/>
    <w:rsid w:val="00C96008"/>
    <w:rsid w:val="00C975F2"/>
    <w:rsid w:val="00C9768F"/>
    <w:rsid w:val="00C97C98"/>
    <w:rsid w:val="00CA029B"/>
    <w:rsid w:val="00CA10A2"/>
    <w:rsid w:val="00CA13EC"/>
    <w:rsid w:val="00CA1537"/>
    <w:rsid w:val="00CA155E"/>
    <w:rsid w:val="00CA24E2"/>
    <w:rsid w:val="00CA2576"/>
    <w:rsid w:val="00CA3EA1"/>
    <w:rsid w:val="00CA4C33"/>
    <w:rsid w:val="00CA4D19"/>
    <w:rsid w:val="00CA5489"/>
    <w:rsid w:val="00CB1803"/>
    <w:rsid w:val="00CB1EF0"/>
    <w:rsid w:val="00CB29BD"/>
    <w:rsid w:val="00CB2A5A"/>
    <w:rsid w:val="00CB37A0"/>
    <w:rsid w:val="00CB384C"/>
    <w:rsid w:val="00CB3F5E"/>
    <w:rsid w:val="00CB4BE3"/>
    <w:rsid w:val="00CB597F"/>
    <w:rsid w:val="00CB6D31"/>
    <w:rsid w:val="00CB6DF3"/>
    <w:rsid w:val="00CB6E63"/>
    <w:rsid w:val="00CC053F"/>
    <w:rsid w:val="00CC06F6"/>
    <w:rsid w:val="00CC0AE2"/>
    <w:rsid w:val="00CC26BD"/>
    <w:rsid w:val="00CC3DF9"/>
    <w:rsid w:val="00CC3E60"/>
    <w:rsid w:val="00CC4647"/>
    <w:rsid w:val="00CC4E19"/>
    <w:rsid w:val="00CC4E8B"/>
    <w:rsid w:val="00CC51A6"/>
    <w:rsid w:val="00CC5825"/>
    <w:rsid w:val="00CC5B72"/>
    <w:rsid w:val="00CC7380"/>
    <w:rsid w:val="00CD07E8"/>
    <w:rsid w:val="00CD19C8"/>
    <w:rsid w:val="00CD1D3D"/>
    <w:rsid w:val="00CD227A"/>
    <w:rsid w:val="00CD2731"/>
    <w:rsid w:val="00CD4EE5"/>
    <w:rsid w:val="00CD53F4"/>
    <w:rsid w:val="00CD632E"/>
    <w:rsid w:val="00CD70FF"/>
    <w:rsid w:val="00CD7A78"/>
    <w:rsid w:val="00CE0889"/>
    <w:rsid w:val="00CE0E39"/>
    <w:rsid w:val="00CE12A6"/>
    <w:rsid w:val="00CE3AFA"/>
    <w:rsid w:val="00CE4D01"/>
    <w:rsid w:val="00CE4E05"/>
    <w:rsid w:val="00CE4EBA"/>
    <w:rsid w:val="00CE5A4D"/>
    <w:rsid w:val="00CE69A4"/>
    <w:rsid w:val="00CE7320"/>
    <w:rsid w:val="00CE78EF"/>
    <w:rsid w:val="00CE7E60"/>
    <w:rsid w:val="00CF0255"/>
    <w:rsid w:val="00CF058C"/>
    <w:rsid w:val="00CF0774"/>
    <w:rsid w:val="00CF2776"/>
    <w:rsid w:val="00CF2831"/>
    <w:rsid w:val="00CF3054"/>
    <w:rsid w:val="00CF356A"/>
    <w:rsid w:val="00CF3AD3"/>
    <w:rsid w:val="00CF4047"/>
    <w:rsid w:val="00CF45B5"/>
    <w:rsid w:val="00CF525B"/>
    <w:rsid w:val="00CF5C40"/>
    <w:rsid w:val="00CF61FE"/>
    <w:rsid w:val="00CF62CA"/>
    <w:rsid w:val="00CF72EC"/>
    <w:rsid w:val="00D01C74"/>
    <w:rsid w:val="00D01CDD"/>
    <w:rsid w:val="00D022B7"/>
    <w:rsid w:val="00D034E7"/>
    <w:rsid w:val="00D04C39"/>
    <w:rsid w:val="00D04E18"/>
    <w:rsid w:val="00D0509B"/>
    <w:rsid w:val="00D05F14"/>
    <w:rsid w:val="00D060E2"/>
    <w:rsid w:val="00D0730F"/>
    <w:rsid w:val="00D075DE"/>
    <w:rsid w:val="00D11345"/>
    <w:rsid w:val="00D11EDE"/>
    <w:rsid w:val="00D12A74"/>
    <w:rsid w:val="00D12E28"/>
    <w:rsid w:val="00D13137"/>
    <w:rsid w:val="00D13A29"/>
    <w:rsid w:val="00D14368"/>
    <w:rsid w:val="00D14A78"/>
    <w:rsid w:val="00D1561A"/>
    <w:rsid w:val="00D157A3"/>
    <w:rsid w:val="00D159F3"/>
    <w:rsid w:val="00D1608A"/>
    <w:rsid w:val="00D16098"/>
    <w:rsid w:val="00D16C8D"/>
    <w:rsid w:val="00D16CA2"/>
    <w:rsid w:val="00D2021A"/>
    <w:rsid w:val="00D207E8"/>
    <w:rsid w:val="00D21208"/>
    <w:rsid w:val="00D2194F"/>
    <w:rsid w:val="00D23CD3"/>
    <w:rsid w:val="00D23F90"/>
    <w:rsid w:val="00D24489"/>
    <w:rsid w:val="00D245EF"/>
    <w:rsid w:val="00D24730"/>
    <w:rsid w:val="00D25067"/>
    <w:rsid w:val="00D255D5"/>
    <w:rsid w:val="00D256B1"/>
    <w:rsid w:val="00D25801"/>
    <w:rsid w:val="00D25894"/>
    <w:rsid w:val="00D263FB"/>
    <w:rsid w:val="00D26B78"/>
    <w:rsid w:val="00D275EC"/>
    <w:rsid w:val="00D278A1"/>
    <w:rsid w:val="00D308F9"/>
    <w:rsid w:val="00D31C84"/>
    <w:rsid w:val="00D3246B"/>
    <w:rsid w:val="00D326E7"/>
    <w:rsid w:val="00D32F98"/>
    <w:rsid w:val="00D33EA0"/>
    <w:rsid w:val="00D351C9"/>
    <w:rsid w:val="00D35546"/>
    <w:rsid w:val="00D36219"/>
    <w:rsid w:val="00D404A2"/>
    <w:rsid w:val="00D40768"/>
    <w:rsid w:val="00D40A57"/>
    <w:rsid w:val="00D40D59"/>
    <w:rsid w:val="00D41470"/>
    <w:rsid w:val="00D422D0"/>
    <w:rsid w:val="00D42527"/>
    <w:rsid w:val="00D428FF"/>
    <w:rsid w:val="00D42A01"/>
    <w:rsid w:val="00D43181"/>
    <w:rsid w:val="00D4344F"/>
    <w:rsid w:val="00D44BB7"/>
    <w:rsid w:val="00D459E9"/>
    <w:rsid w:val="00D502EF"/>
    <w:rsid w:val="00D5045D"/>
    <w:rsid w:val="00D51E1B"/>
    <w:rsid w:val="00D51FFC"/>
    <w:rsid w:val="00D521B1"/>
    <w:rsid w:val="00D525A2"/>
    <w:rsid w:val="00D54887"/>
    <w:rsid w:val="00D55163"/>
    <w:rsid w:val="00D558AD"/>
    <w:rsid w:val="00D57835"/>
    <w:rsid w:val="00D57C88"/>
    <w:rsid w:val="00D60B4A"/>
    <w:rsid w:val="00D615E7"/>
    <w:rsid w:val="00D626A9"/>
    <w:rsid w:val="00D62BF9"/>
    <w:rsid w:val="00D636C2"/>
    <w:rsid w:val="00D63E16"/>
    <w:rsid w:val="00D6459E"/>
    <w:rsid w:val="00D6483F"/>
    <w:rsid w:val="00D659EC"/>
    <w:rsid w:val="00D66257"/>
    <w:rsid w:val="00D70E17"/>
    <w:rsid w:val="00D71821"/>
    <w:rsid w:val="00D72240"/>
    <w:rsid w:val="00D7260B"/>
    <w:rsid w:val="00D726EB"/>
    <w:rsid w:val="00D727AF"/>
    <w:rsid w:val="00D73B0D"/>
    <w:rsid w:val="00D73FB1"/>
    <w:rsid w:val="00D74444"/>
    <w:rsid w:val="00D74C1D"/>
    <w:rsid w:val="00D7522D"/>
    <w:rsid w:val="00D752D1"/>
    <w:rsid w:val="00D75C4F"/>
    <w:rsid w:val="00D7671E"/>
    <w:rsid w:val="00D806F7"/>
    <w:rsid w:val="00D8095F"/>
    <w:rsid w:val="00D80D5B"/>
    <w:rsid w:val="00D80F01"/>
    <w:rsid w:val="00D8181E"/>
    <w:rsid w:val="00D81944"/>
    <w:rsid w:val="00D83480"/>
    <w:rsid w:val="00D837D6"/>
    <w:rsid w:val="00D83B6E"/>
    <w:rsid w:val="00D84E64"/>
    <w:rsid w:val="00D86013"/>
    <w:rsid w:val="00D86278"/>
    <w:rsid w:val="00D9011E"/>
    <w:rsid w:val="00D9281D"/>
    <w:rsid w:val="00D93640"/>
    <w:rsid w:val="00D937EC"/>
    <w:rsid w:val="00D93B80"/>
    <w:rsid w:val="00D93F05"/>
    <w:rsid w:val="00D94A05"/>
    <w:rsid w:val="00D952B2"/>
    <w:rsid w:val="00D95A50"/>
    <w:rsid w:val="00D95DA2"/>
    <w:rsid w:val="00D96A29"/>
    <w:rsid w:val="00D97521"/>
    <w:rsid w:val="00D97E8B"/>
    <w:rsid w:val="00DA0A76"/>
    <w:rsid w:val="00DA1263"/>
    <w:rsid w:val="00DA1309"/>
    <w:rsid w:val="00DA2063"/>
    <w:rsid w:val="00DA251B"/>
    <w:rsid w:val="00DA27BE"/>
    <w:rsid w:val="00DA3F36"/>
    <w:rsid w:val="00DA40EA"/>
    <w:rsid w:val="00DA45A0"/>
    <w:rsid w:val="00DA4DA0"/>
    <w:rsid w:val="00DA58E1"/>
    <w:rsid w:val="00DA6967"/>
    <w:rsid w:val="00DB00C5"/>
    <w:rsid w:val="00DB089A"/>
    <w:rsid w:val="00DB36F4"/>
    <w:rsid w:val="00DB3D47"/>
    <w:rsid w:val="00DB4C4D"/>
    <w:rsid w:val="00DB4C63"/>
    <w:rsid w:val="00DC0552"/>
    <w:rsid w:val="00DC451D"/>
    <w:rsid w:val="00DC555E"/>
    <w:rsid w:val="00DD004F"/>
    <w:rsid w:val="00DD0317"/>
    <w:rsid w:val="00DD1A11"/>
    <w:rsid w:val="00DD266F"/>
    <w:rsid w:val="00DD2E43"/>
    <w:rsid w:val="00DD2F15"/>
    <w:rsid w:val="00DD2F4B"/>
    <w:rsid w:val="00DD336A"/>
    <w:rsid w:val="00DD4D4B"/>
    <w:rsid w:val="00DD56FB"/>
    <w:rsid w:val="00DD671F"/>
    <w:rsid w:val="00DD7C01"/>
    <w:rsid w:val="00DE106E"/>
    <w:rsid w:val="00DE1589"/>
    <w:rsid w:val="00DE17E1"/>
    <w:rsid w:val="00DE1BAF"/>
    <w:rsid w:val="00DE2727"/>
    <w:rsid w:val="00DE2D7C"/>
    <w:rsid w:val="00DE2EB6"/>
    <w:rsid w:val="00DE4312"/>
    <w:rsid w:val="00DE57D6"/>
    <w:rsid w:val="00DE58C5"/>
    <w:rsid w:val="00DE7B91"/>
    <w:rsid w:val="00DE7DF2"/>
    <w:rsid w:val="00DF1142"/>
    <w:rsid w:val="00DF2636"/>
    <w:rsid w:val="00DF2874"/>
    <w:rsid w:val="00DF47A3"/>
    <w:rsid w:val="00DF5E68"/>
    <w:rsid w:val="00DF5F1D"/>
    <w:rsid w:val="00DF6CFE"/>
    <w:rsid w:val="00DF6E38"/>
    <w:rsid w:val="00E00C19"/>
    <w:rsid w:val="00E0178F"/>
    <w:rsid w:val="00E019E0"/>
    <w:rsid w:val="00E022E2"/>
    <w:rsid w:val="00E024FE"/>
    <w:rsid w:val="00E03947"/>
    <w:rsid w:val="00E0568D"/>
    <w:rsid w:val="00E066E1"/>
    <w:rsid w:val="00E07083"/>
    <w:rsid w:val="00E10365"/>
    <w:rsid w:val="00E10D44"/>
    <w:rsid w:val="00E11E86"/>
    <w:rsid w:val="00E129EF"/>
    <w:rsid w:val="00E13DBD"/>
    <w:rsid w:val="00E157A2"/>
    <w:rsid w:val="00E15F4D"/>
    <w:rsid w:val="00E17D0C"/>
    <w:rsid w:val="00E17F30"/>
    <w:rsid w:val="00E218AE"/>
    <w:rsid w:val="00E226C7"/>
    <w:rsid w:val="00E22A7A"/>
    <w:rsid w:val="00E232B6"/>
    <w:rsid w:val="00E23963"/>
    <w:rsid w:val="00E262BD"/>
    <w:rsid w:val="00E26496"/>
    <w:rsid w:val="00E26E06"/>
    <w:rsid w:val="00E26F9A"/>
    <w:rsid w:val="00E26FE0"/>
    <w:rsid w:val="00E270FD"/>
    <w:rsid w:val="00E30252"/>
    <w:rsid w:val="00E305FE"/>
    <w:rsid w:val="00E306EC"/>
    <w:rsid w:val="00E322F5"/>
    <w:rsid w:val="00E32501"/>
    <w:rsid w:val="00E3348C"/>
    <w:rsid w:val="00E34063"/>
    <w:rsid w:val="00E347AC"/>
    <w:rsid w:val="00E34C86"/>
    <w:rsid w:val="00E35432"/>
    <w:rsid w:val="00E3743C"/>
    <w:rsid w:val="00E40480"/>
    <w:rsid w:val="00E404FF"/>
    <w:rsid w:val="00E40885"/>
    <w:rsid w:val="00E41010"/>
    <w:rsid w:val="00E41720"/>
    <w:rsid w:val="00E41884"/>
    <w:rsid w:val="00E41E66"/>
    <w:rsid w:val="00E44276"/>
    <w:rsid w:val="00E443EB"/>
    <w:rsid w:val="00E44485"/>
    <w:rsid w:val="00E50016"/>
    <w:rsid w:val="00E5098E"/>
    <w:rsid w:val="00E50BC1"/>
    <w:rsid w:val="00E50BE0"/>
    <w:rsid w:val="00E52181"/>
    <w:rsid w:val="00E5232F"/>
    <w:rsid w:val="00E536DA"/>
    <w:rsid w:val="00E53FA8"/>
    <w:rsid w:val="00E57537"/>
    <w:rsid w:val="00E577EB"/>
    <w:rsid w:val="00E579AF"/>
    <w:rsid w:val="00E60137"/>
    <w:rsid w:val="00E60493"/>
    <w:rsid w:val="00E608F1"/>
    <w:rsid w:val="00E6127A"/>
    <w:rsid w:val="00E616C9"/>
    <w:rsid w:val="00E62457"/>
    <w:rsid w:val="00E625F1"/>
    <w:rsid w:val="00E62A39"/>
    <w:rsid w:val="00E63852"/>
    <w:rsid w:val="00E64902"/>
    <w:rsid w:val="00E64DEE"/>
    <w:rsid w:val="00E654C2"/>
    <w:rsid w:val="00E67498"/>
    <w:rsid w:val="00E67A5A"/>
    <w:rsid w:val="00E67DE8"/>
    <w:rsid w:val="00E7035B"/>
    <w:rsid w:val="00E70E1E"/>
    <w:rsid w:val="00E70E8A"/>
    <w:rsid w:val="00E710A0"/>
    <w:rsid w:val="00E721AD"/>
    <w:rsid w:val="00E7263D"/>
    <w:rsid w:val="00E735FC"/>
    <w:rsid w:val="00E73B81"/>
    <w:rsid w:val="00E74903"/>
    <w:rsid w:val="00E7578A"/>
    <w:rsid w:val="00E7589C"/>
    <w:rsid w:val="00E75F3F"/>
    <w:rsid w:val="00E762F9"/>
    <w:rsid w:val="00E76A91"/>
    <w:rsid w:val="00E76BC6"/>
    <w:rsid w:val="00E77A1F"/>
    <w:rsid w:val="00E81D99"/>
    <w:rsid w:val="00E81F58"/>
    <w:rsid w:val="00E8205D"/>
    <w:rsid w:val="00E83148"/>
    <w:rsid w:val="00E84B95"/>
    <w:rsid w:val="00E84E79"/>
    <w:rsid w:val="00E85883"/>
    <w:rsid w:val="00E85B84"/>
    <w:rsid w:val="00E8632C"/>
    <w:rsid w:val="00E87CFE"/>
    <w:rsid w:val="00E90BB2"/>
    <w:rsid w:val="00E91662"/>
    <w:rsid w:val="00E918C5"/>
    <w:rsid w:val="00E934C2"/>
    <w:rsid w:val="00E9391A"/>
    <w:rsid w:val="00E93F5F"/>
    <w:rsid w:val="00E95313"/>
    <w:rsid w:val="00E9633D"/>
    <w:rsid w:val="00E965C6"/>
    <w:rsid w:val="00E96CF1"/>
    <w:rsid w:val="00E96E39"/>
    <w:rsid w:val="00E96F00"/>
    <w:rsid w:val="00E97C0E"/>
    <w:rsid w:val="00EA0162"/>
    <w:rsid w:val="00EA2C78"/>
    <w:rsid w:val="00EA3E04"/>
    <w:rsid w:val="00EA3EDE"/>
    <w:rsid w:val="00EA4ACB"/>
    <w:rsid w:val="00EA52E4"/>
    <w:rsid w:val="00EA5325"/>
    <w:rsid w:val="00EA5D24"/>
    <w:rsid w:val="00EA5EA3"/>
    <w:rsid w:val="00EA63E6"/>
    <w:rsid w:val="00EA6810"/>
    <w:rsid w:val="00EA6AE7"/>
    <w:rsid w:val="00EA6CD0"/>
    <w:rsid w:val="00EA77B7"/>
    <w:rsid w:val="00EB112F"/>
    <w:rsid w:val="00EB121C"/>
    <w:rsid w:val="00EB168A"/>
    <w:rsid w:val="00EB2F84"/>
    <w:rsid w:val="00EB365F"/>
    <w:rsid w:val="00EB36F2"/>
    <w:rsid w:val="00EB3BBA"/>
    <w:rsid w:val="00EB5DB4"/>
    <w:rsid w:val="00EB5F7A"/>
    <w:rsid w:val="00EB664A"/>
    <w:rsid w:val="00EB7B2D"/>
    <w:rsid w:val="00EC0D72"/>
    <w:rsid w:val="00EC1D3A"/>
    <w:rsid w:val="00EC2868"/>
    <w:rsid w:val="00EC2D49"/>
    <w:rsid w:val="00EC393C"/>
    <w:rsid w:val="00EC4DC5"/>
    <w:rsid w:val="00EC624C"/>
    <w:rsid w:val="00EC71BD"/>
    <w:rsid w:val="00EC7447"/>
    <w:rsid w:val="00EC795D"/>
    <w:rsid w:val="00EC7B3A"/>
    <w:rsid w:val="00ED14AF"/>
    <w:rsid w:val="00ED163D"/>
    <w:rsid w:val="00ED2178"/>
    <w:rsid w:val="00ED3234"/>
    <w:rsid w:val="00ED5F66"/>
    <w:rsid w:val="00ED61A4"/>
    <w:rsid w:val="00ED62C7"/>
    <w:rsid w:val="00ED7A3A"/>
    <w:rsid w:val="00EE190C"/>
    <w:rsid w:val="00EE1F87"/>
    <w:rsid w:val="00EE3C24"/>
    <w:rsid w:val="00EE4046"/>
    <w:rsid w:val="00EE578A"/>
    <w:rsid w:val="00EE57DF"/>
    <w:rsid w:val="00EE5966"/>
    <w:rsid w:val="00EE5980"/>
    <w:rsid w:val="00EE59CC"/>
    <w:rsid w:val="00EE5BC1"/>
    <w:rsid w:val="00EE6BCB"/>
    <w:rsid w:val="00EF30BA"/>
    <w:rsid w:val="00EF31B2"/>
    <w:rsid w:val="00EF37C7"/>
    <w:rsid w:val="00EF3FAD"/>
    <w:rsid w:val="00EF4B4B"/>
    <w:rsid w:val="00EF52E6"/>
    <w:rsid w:val="00EF5470"/>
    <w:rsid w:val="00EF5603"/>
    <w:rsid w:val="00EF6410"/>
    <w:rsid w:val="00EF6592"/>
    <w:rsid w:val="00EF6605"/>
    <w:rsid w:val="00EF6812"/>
    <w:rsid w:val="00EF6BD7"/>
    <w:rsid w:val="00EF6F3A"/>
    <w:rsid w:val="00EF7451"/>
    <w:rsid w:val="00F00763"/>
    <w:rsid w:val="00F00BA5"/>
    <w:rsid w:val="00F00D4E"/>
    <w:rsid w:val="00F012CD"/>
    <w:rsid w:val="00F01E63"/>
    <w:rsid w:val="00F02263"/>
    <w:rsid w:val="00F02480"/>
    <w:rsid w:val="00F03C5D"/>
    <w:rsid w:val="00F044B2"/>
    <w:rsid w:val="00F0454E"/>
    <w:rsid w:val="00F05DEC"/>
    <w:rsid w:val="00F07052"/>
    <w:rsid w:val="00F0783E"/>
    <w:rsid w:val="00F07FC5"/>
    <w:rsid w:val="00F10371"/>
    <w:rsid w:val="00F114E6"/>
    <w:rsid w:val="00F119A4"/>
    <w:rsid w:val="00F11A4E"/>
    <w:rsid w:val="00F155BB"/>
    <w:rsid w:val="00F16ABD"/>
    <w:rsid w:val="00F17612"/>
    <w:rsid w:val="00F176DA"/>
    <w:rsid w:val="00F17FA8"/>
    <w:rsid w:val="00F20010"/>
    <w:rsid w:val="00F2014C"/>
    <w:rsid w:val="00F20387"/>
    <w:rsid w:val="00F204E4"/>
    <w:rsid w:val="00F228CA"/>
    <w:rsid w:val="00F22AC2"/>
    <w:rsid w:val="00F23B99"/>
    <w:rsid w:val="00F27CA2"/>
    <w:rsid w:val="00F27EFC"/>
    <w:rsid w:val="00F30F1A"/>
    <w:rsid w:val="00F317E7"/>
    <w:rsid w:val="00F32233"/>
    <w:rsid w:val="00F331F5"/>
    <w:rsid w:val="00F34150"/>
    <w:rsid w:val="00F348BA"/>
    <w:rsid w:val="00F34F45"/>
    <w:rsid w:val="00F35EC9"/>
    <w:rsid w:val="00F36B0D"/>
    <w:rsid w:val="00F37F16"/>
    <w:rsid w:val="00F40744"/>
    <w:rsid w:val="00F40BE2"/>
    <w:rsid w:val="00F41593"/>
    <w:rsid w:val="00F41F86"/>
    <w:rsid w:val="00F42135"/>
    <w:rsid w:val="00F4237C"/>
    <w:rsid w:val="00F428BE"/>
    <w:rsid w:val="00F42AC3"/>
    <w:rsid w:val="00F43F47"/>
    <w:rsid w:val="00F446A7"/>
    <w:rsid w:val="00F45F69"/>
    <w:rsid w:val="00F46633"/>
    <w:rsid w:val="00F50252"/>
    <w:rsid w:val="00F50468"/>
    <w:rsid w:val="00F50685"/>
    <w:rsid w:val="00F51013"/>
    <w:rsid w:val="00F5259A"/>
    <w:rsid w:val="00F531C4"/>
    <w:rsid w:val="00F53765"/>
    <w:rsid w:val="00F54081"/>
    <w:rsid w:val="00F618F7"/>
    <w:rsid w:val="00F61A17"/>
    <w:rsid w:val="00F61E9A"/>
    <w:rsid w:val="00F62177"/>
    <w:rsid w:val="00F63576"/>
    <w:rsid w:val="00F63B9A"/>
    <w:rsid w:val="00F64C5F"/>
    <w:rsid w:val="00F6521B"/>
    <w:rsid w:val="00F654DF"/>
    <w:rsid w:val="00F66155"/>
    <w:rsid w:val="00F6652A"/>
    <w:rsid w:val="00F67037"/>
    <w:rsid w:val="00F67409"/>
    <w:rsid w:val="00F70276"/>
    <w:rsid w:val="00F704C9"/>
    <w:rsid w:val="00F70DB9"/>
    <w:rsid w:val="00F71E95"/>
    <w:rsid w:val="00F728E2"/>
    <w:rsid w:val="00F7322E"/>
    <w:rsid w:val="00F736B9"/>
    <w:rsid w:val="00F738C2"/>
    <w:rsid w:val="00F74405"/>
    <w:rsid w:val="00F74AF2"/>
    <w:rsid w:val="00F750C4"/>
    <w:rsid w:val="00F75D33"/>
    <w:rsid w:val="00F760C1"/>
    <w:rsid w:val="00F76175"/>
    <w:rsid w:val="00F76EB7"/>
    <w:rsid w:val="00F77DD5"/>
    <w:rsid w:val="00F8212B"/>
    <w:rsid w:val="00F82DAC"/>
    <w:rsid w:val="00F83AD4"/>
    <w:rsid w:val="00F83D37"/>
    <w:rsid w:val="00F858F9"/>
    <w:rsid w:val="00F869B6"/>
    <w:rsid w:val="00F87916"/>
    <w:rsid w:val="00F87BD7"/>
    <w:rsid w:val="00F87FD8"/>
    <w:rsid w:val="00F926F7"/>
    <w:rsid w:val="00F93A7F"/>
    <w:rsid w:val="00F940BE"/>
    <w:rsid w:val="00F944F4"/>
    <w:rsid w:val="00F946C1"/>
    <w:rsid w:val="00F94BD8"/>
    <w:rsid w:val="00F94F8E"/>
    <w:rsid w:val="00F9514B"/>
    <w:rsid w:val="00F956D9"/>
    <w:rsid w:val="00F96E36"/>
    <w:rsid w:val="00F97688"/>
    <w:rsid w:val="00FA108C"/>
    <w:rsid w:val="00FA2026"/>
    <w:rsid w:val="00FA22E6"/>
    <w:rsid w:val="00FA2B16"/>
    <w:rsid w:val="00FA3BCA"/>
    <w:rsid w:val="00FA495E"/>
    <w:rsid w:val="00FA4E37"/>
    <w:rsid w:val="00FA4EAB"/>
    <w:rsid w:val="00FA5D14"/>
    <w:rsid w:val="00FA682A"/>
    <w:rsid w:val="00FB0E11"/>
    <w:rsid w:val="00FB12E5"/>
    <w:rsid w:val="00FB1323"/>
    <w:rsid w:val="00FB20F0"/>
    <w:rsid w:val="00FB358B"/>
    <w:rsid w:val="00FB3B77"/>
    <w:rsid w:val="00FB3F0A"/>
    <w:rsid w:val="00FB5140"/>
    <w:rsid w:val="00FB72BE"/>
    <w:rsid w:val="00FC10BB"/>
    <w:rsid w:val="00FC34EE"/>
    <w:rsid w:val="00FC3A9B"/>
    <w:rsid w:val="00FC4377"/>
    <w:rsid w:val="00FC6043"/>
    <w:rsid w:val="00FC616D"/>
    <w:rsid w:val="00FC696A"/>
    <w:rsid w:val="00FD0D12"/>
    <w:rsid w:val="00FD179D"/>
    <w:rsid w:val="00FD21AF"/>
    <w:rsid w:val="00FD236E"/>
    <w:rsid w:val="00FD4882"/>
    <w:rsid w:val="00FD59E4"/>
    <w:rsid w:val="00FD5F50"/>
    <w:rsid w:val="00FD70E6"/>
    <w:rsid w:val="00FD74D8"/>
    <w:rsid w:val="00FD759F"/>
    <w:rsid w:val="00FD7689"/>
    <w:rsid w:val="00FD76ED"/>
    <w:rsid w:val="00FD7752"/>
    <w:rsid w:val="00FD779F"/>
    <w:rsid w:val="00FD7928"/>
    <w:rsid w:val="00FD7969"/>
    <w:rsid w:val="00FD7E68"/>
    <w:rsid w:val="00FE0120"/>
    <w:rsid w:val="00FE0D8E"/>
    <w:rsid w:val="00FE0F68"/>
    <w:rsid w:val="00FE13A6"/>
    <w:rsid w:val="00FE145E"/>
    <w:rsid w:val="00FE22AD"/>
    <w:rsid w:val="00FE29B9"/>
    <w:rsid w:val="00FE2E1C"/>
    <w:rsid w:val="00FE3E42"/>
    <w:rsid w:val="00FE3E5D"/>
    <w:rsid w:val="00FE40FC"/>
    <w:rsid w:val="00FE467B"/>
    <w:rsid w:val="00FE4D8C"/>
    <w:rsid w:val="00FE4E65"/>
    <w:rsid w:val="00FE53CB"/>
    <w:rsid w:val="00FE5CFE"/>
    <w:rsid w:val="00FE5D2B"/>
    <w:rsid w:val="00FE6CF5"/>
    <w:rsid w:val="00FF0357"/>
    <w:rsid w:val="00FF0A14"/>
    <w:rsid w:val="00FF0D8A"/>
    <w:rsid w:val="00FF1940"/>
    <w:rsid w:val="00FF24F1"/>
    <w:rsid w:val="00FF2635"/>
    <w:rsid w:val="00FF2CC8"/>
    <w:rsid w:val="00FF2E6F"/>
    <w:rsid w:val="00FF3318"/>
    <w:rsid w:val="00FF3DAC"/>
    <w:rsid w:val="00FF3FC3"/>
    <w:rsid w:val="00FF513D"/>
    <w:rsid w:val="00FF5A45"/>
    <w:rsid w:val="00FF62C3"/>
    <w:rsid w:val="00FF7F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95FE27-BE9E-48DF-A0C7-05F501CF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DE15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634BC"/>
    <w:pPr>
      <w:spacing w:after="0" w:line="240" w:lineRule="auto"/>
    </w:pPr>
    <w:rPr>
      <w:sz w:val="20"/>
      <w:szCs w:val="20"/>
    </w:rPr>
  </w:style>
  <w:style w:type="character" w:customStyle="1" w:styleId="a4">
    <w:name w:val="טקסט הערת שוליים תו"/>
    <w:basedOn w:val="a0"/>
    <w:link w:val="a3"/>
    <w:uiPriority w:val="99"/>
    <w:rsid w:val="007634BC"/>
    <w:rPr>
      <w:sz w:val="20"/>
      <w:szCs w:val="20"/>
    </w:rPr>
  </w:style>
  <w:style w:type="character" w:styleId="a5">
    <w:name w:val="footnote reference"/>
    <w:basedOn w:val="a0"/>
    <w:uiPriority w:val="99"/>
    <w:semiHidden/>
    <w:unhideWhenUsed/>
    <w:rsid w:val="007634BC"/>
    <w:rPr>
      <w:vertAlign w:val="superscript"/>
    </w:rPr>
  </w:style>
  <w:style w:type="paragraph" w:styleId="a6">
    <w:name w:val="List Paragraph"/>
    <w:basedOn w:val="a"/>
    <w:uiPriority w:val="34"/>
    <w:qFormat/>
    <w:rsid w:val="00423181"/>
    <w:pPr>
      <w:ind w:left="720"/>
      <w:contextualSpacing/>
    </w:pPr>
  </w:style>
  <w:style w:type="character" w:customStyle="1" w:styleId="default">
    <w:name w:val="default"/>
    <w:basedOn w:val="a0"/>
    <w:rsid w:val="001B596E"/>
  </w:style>
  <w:style w:type="paragraph" w:customStyle="1" w:styleId="p22">
    <w:name w:val="p22"/>
    <w:basedOn w:val="a"/>
    <w:rsid w:val="001B596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D9281D"/>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D9281D"/>
    <w:rPr>
      <w:rFonts w:ascii="Tahoma" w:hAnsi="Tahoma" w:cs="Tahoma"/>
      <w:sz w:val="18"/>
      <w:szCs w:val="18"/>
    </w:rPr>
  </w:style>
  <w:style w:type="paragraph" w:styleId="a9">
    <w:name w:val="header"/>
    <w:basedOn w:val="a"/>
    <w:link w:val="aa"/>
    <w:uiPriority w:val="99"/>
    <w:unhideWhenUsed/>
    <w:rsid w:val="00D9281D"/>
    <w:pPr>
      <w:tabs>
        <w:tab w:val="center" w:pos="4153"/>
        <w:tab w:val="right" w:pos="8306"/>
      </w:tabs>
      <w:spacing w:after="0" w:line="240" w:lineRule="auto"/>
    </w:pPr>
  </w:style>
  <w:style w:type="character" w:customStyle="1" w:styleId="aa">
    <w:name w:val="כותרת עליונה תו"/>
    <w:basedOn w:val="a0"/>
    <w:link w:val="a9"/>
    <w:uiPriority w:val="99"/>
    <w:rsid w:val="00D9281D"/>
  </w:style>
  <w:style w:type="paragraph" w:styleId="ab">
    <w:name w:val="footer"/>
    <w:basedOn w:val="a"/>
    <w:link w:val="ac"/>
    <w:uiPriority w:val="99"/>
    <w:unhideWhenUsed/>
    <w:rsid w:val="00D9281D"/>
    <w:pPr>
      <w:tabs>
        <w:tab w:val="center" w:pos="4153"/>
        <w:tab w:val="right" w:pos="8306"/>
      </w:tabs>
      <w:spacing w:after="0" w:line="240" w:lineRule="auto"/>
    </w:pPr>
  </w:style>
  <w:style w:type="character" w:customStyle="1" w:styleId="ac">
    <w:name w:val="כותרת תחתונה תו"/>
    <w:basedOn w:val="a0"/>
    <w:link w:val="ab"/>
    <w:uiPriority w:val="99"/>
    <w:rsid w:val="00D9281D"/>
  </w:style>
  <w:style w:type="paragraph" w:customStyle="1" w:styleId="p00">
    <w:name w:val="p00"/>
    <w:basedOn w:val="a"/>
    <w:rsid w:val="00C44EA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
    <w:rsid w:val="00C44EA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flink">
    <w:name w:val="selflink"/>
    <w:basedOn w:val="a0"/>
    <w:rsid w:val="006D09D8"/>
  </w:style>
  <w:style w:type="character" w:styleId="Hyperlink">
    <w:name w:val="Hyperlink"/>
    <w:basedOn w:val="a0"/>
    <w:uiPriority w:val="99"/>
    <w:unhideWhenUsed/>
    <w:rsid w:val="006D09D8"/>
    <w:rPr>
      <w:color w:val="0000FF"/>
      <w:u w:val="single"/>
    </w:rPr>
  </w:style>
  <w:style w:type="character" w:customStyle="1" w:styleId="law-note">
    <w:name w:val="law-note"/>
    <w:basedOn w:val="a0"/>
    <w:rsid w:val="006D09D8"/>
  </w:style>
  <w:style w:type="character" w:customStyle="1" w:styleId="law-local">
    <w:name w:val="law-local"/>
    <w:basedOn w:val="a0"/>
    <w:rsid w:val="006D09D8"/>
  </w:style>
  <w:style w:type="character" w:customStyle="1" w:styleId="10">
    <w:name w:val="כותרת 1 תו"/>
    <w:basedOn w:val="a0"/>
    <w:link w:val="1"/>
    <w:uiPriority w:val="9"/>
    <w:rsid w:val="00DE1589"/>
    <w:rPr>
      <w:rFonts w:asciiTheme="majorHAnsi" w:eastAsiaTheme="majorEastAsia" w:hAnsiTheme="majorHAnsi" w:cstheme="majorBidi"/>
      <w:color w:val="2E74B5" w:themeColor="accent1" w:themeShade="BF"/>
      <w:sz w:val="32"/>
      <w:szCs w:val="32"/>
    </w:rPr>
  </w:style>
  <w:style w:type="character" w:customStyle="1" w:styleId="reference-text">
    <w:name w:val="reference-text"/>
    <w:basedOn w:val="a0"/>
    <w:rsid w:val="00DE1589"/>
  </w:style>
  <w:style w:type="paragraph" w:styleId="NormalWeb">
    <w:name w:val="Normal (Web)"/>
    <w:basedOn w:val="a"/>
    <w:uiPriority w:val="99"/>
    <w:semiHidden/>
    <w:unhideWhenUsed/>
    <w:rsid w:val="00DE158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50739">
      <w:bodyDiv w:val="1"/>
      <w:marLeft w:val="0"/>
      <w:marRight w:val="0"/>
      <w:marTop w:val="0"/>
      <w:marBottom w:val="0"/>
      <w:divBdr>
        <w:top w:val="none" w:sz="0" w:space="0" w:color="auto"/>
        <w:left w:val="none" w:sz="0" w:space="0" w:color="auto"/>
        <w:bottom w:val="none" w:sz="0" w:space="0" w:color="auto"/>
        <w:right w:val="none" w:sz="0" w:space="0" w:color="auto"/>
      </w:divBdr>
    </w:div>
    <w:div w:id="766585597">
      <w:bodyDiv w:val="1"/>
      <w:marLeft w:val="0"/>
      <w:marRight w:val="0"/>
      <w:marTop w:val="0"/>
      <w:marBottom w:val="0"/>
      <w:divBdr>
        <w:top w:val="none" w:sz="0" w:space="0" w:color="auto"/>
        <w:left w:val="none" w:sz="0" w:space="0" w:color="auto"/>
        <w:bottom w:val="none" w:sz="0" w:space="0" w:color="auto"/>
        <w:right w:val="none" w:sz="0" w:space="0" w:color="auto"/>
      </w:divBdr>
    </w:div>
    <w:div w:id="1299798646">
      <w:bodyDiv w:val="1"/>
      <w:marLeft w:val="0"/>
      <w:marRight w:val="0"/>
      <w:marTop w:val="0"/>
      <w:marBottom w:val="0"/>
      <w:divBdr>
        <w:top w:val="none" w:sz="0" w:space="0" w:color="auto"/>
        <w:left w:val="none" w:sz="0" w:space="0" w:color="auto"/>
        <w:bottom w:val="none" w:sz="0" w:space="0" w:color="auto"/>
        <w:right w:val="none" w:sz="0" w:space="0" w:color="auto"/>
      </w:divBdr>
    </w:div>
    <w:div w:id="1476795395">
      <w:bodyDiv w:val="1"/>
      <w:marLeft w:val="0"/>
      <w:marRight w:val="0"/>
      <w:marTop w:val="0"/>
      <w:marBottom w:val="0"/>
      <w:divBdr>
        <w:top w:val="none" w:sz="0" w:space="0" w:color="auto"/>
        <w:left w:val="none" w:sz="0" w:space="0" w:color="auto"/>
        <w:bottom w:val="none" w:sz="0" w:space="0" w:color="auto"/>
        <w:right w:val="none" w:sz="0" w:space="0" w:color="auto"/>
      </w:divBdr>
    </w:div>
    <w:div w:id="1541867427">
      <w:bodyDiv w:val="1"/>
      <w:marLeft w:val="0"/>
      <w:marRight w:val="0"/>
      <w:marTop w:val="0"/>
      <w:marBottom w:val="0"/>
      <w:divBdr>
        <w:top w:val="none" w:sz="0" w:space="0" w:color="auto"/>
        <w:left w:val="none" w:sz="0" w:space="0" w:color="auto"/>
        <w:bottom w:val="none" w:sz="0" w:space="0" w:color="auto"/>
        <w:right w:val="none" w:sz="0" w:space="0" w:color="auto"/>
      </w:divBdr>
      <w:divsChild>
        <w:div w:id="2144418821">
          <w:marLeft w:val="0"/>
          <w:marRight w:val="0"/>
          <w:marTop w:val="0"/>
          <w:marBottom w:val="0"/>
          <w:divBdr>
            <w:top w:val="none" w:sz="0" w:space="0" w:color="auto"/>
            <w:left w:val="none" w:sz="0" w:space="0" w:color="auto"/>
            <w:bottom w:val="none" w:sz="0" w:space="0" w:color="auto"/>
            <w:right w:val="none" w:sz="0" w:space="0" w:color="auto"/>
          </w:divBdr>
        </w:div>
        <w:div w:id="715087789">
          <w:marLeft w:val="0"/>
          <w:marRight w:val="0"/>
          <w:marTop w:val="0"/>
          <w:marBottom w:val="0"/>
          <w:divBdr>
            <w:top w:val="none" w:sz="0" w:space="0" w:color="auto"/>
            <w:left w:val="none" w:sz="0" w:space="0" w:color="auto"/>
            <w:bottom w:val="none" w:sz="0" w:space="0" w:color="auto"/>
            <w:right w:val="none" w:sz="0" w:space="0" w:color="auto"/>
          </w:divBdr>
        </w:div>
        <w:div w:id="111366087">
          <w:marLeft w:val="0"/>
          <w:marRight w:val="0"/>
          <w:marTop w:val="0"/>
          <w:marBottom w:val="0"/>
          <w:divBdr>
            <w:top w:val="none" w:sz="0" w:space="0" w:color="auto"/>
            <w:left w:val="none" w:sz="0" w:space="0" w:color="auto"/>
            <w:bottom w:val="none" w:sz="0" w:space="0" w:color="auto"/>
            <w:right w:val="none" w:sz="0" w:space="0" w:color="auto"/>
          </w:divBdr>
          <w:divsChild>
            <w:div w:id="390690427">
              <w:marLeft w:val="0"/>
              <w:marRight w:val="0"/>
              <w:marTop w:val="0"/>
              <w:marBottom w:val="0"/>
              <w:divBdr>
                <w:top w:val="none" w:sz="0" w:space="0" w:color="auto"/>
                <w:left w:val="none" w:sz="0" w:space="0" w:color="auto"/>
                <w:bottom w:val="none" w:sz="0" w:space="0" w:color="auto"/>
                <w:right w:val="none" w:sz="0" w:space="0" w:color="auto"/>
              </w:divBdr>
            </w:div>
            <w:div w:id="1537936205">
              <w:marLeft w:val="0"/>
              <w:marRight w:val="0"/>
              <w:marTop w:val="0"/>
              <w:marBottom w:val="0"/>
              <w:divBdr>
                <w:top w:val="none" w:sz="0" w:space="0" w:color="auto"/>
                <w:left w:val="none" w:sz="0" w:space="0" w:color="auto"/>
                <w:bottom w:val="none" w:sz="0" w:space="0" w:color="auto"/>
                <w:right w:val="none" w:sz="0" w:space="0" w:color="auto"/>
              </w:divBdr>
              <w:divsChild>
                <w:div w:id="17505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6327">
          <w:marLeft w:val="0"/>
          <w:marRight w:val="0"/>
          <w:marTop w:val="0"/>
          <w:marBottom w:val="0"/>
          <w:divBdr>
            <w:top w:val="none" w:sz="0" w:space="0" w:color="auto"/>
            <w:left w:val="none" w:sz="0" w:space="0" w:color="auto"/>
            <w:bottom w:val="none" w:sz="0" w:space="0" w:color="auto"/>
            <w:right w:val="none" w:sz="0" w:space="0" w:color="auto"/>
          </w:divBdr>
        </w:div>
        <w:div w:id="211621806">
          <w:marLeft w:val="0"/>
          <w:marRight w:val="0"/>
          <w:marTop w:val="0"/>
          <w:marBottom w:val="0"/>
          <w:divBdr>
            <w:top w:val="none" w:sz="0" w:space="0" w:color="auto"/>
            <w:left w:val="none" w:sz="0" w:space="0" w:color="auto"/>
            <w:bottom w:val="none" w:sz="0" w:space="0" w:color="auto"/>
            <w:right w:val="none" w:sz="0" w:space="0" w:color="auto"/>
          </w:divBdr>
        </w:div>
        <w:div w:id="1036006779">
          <w:marLeft w:val="0"/>
          <w:marRight w:val="0"/>
          <w:marTop w:val="0"/>
          <w:marBottom w:val="0"/>
          <w:divBdr>
            <w:top w:val="none" w:sz="0" w:space="0" w:color="auto"/>
            <w:left w:val="none" w:sz="0" w:space="0" w:color="auto"/>
            <w:bottom w:val="none" w:sz="0" w:space="0" w:color="auto"/>
            <w:right w:val="none" w:sz="0" w:space="0" w:color="auto"/>
          </w:divBdr>
          <w:divsChild>
            <w:div w:id="108861509">
              <w:marLeft w:val="0"/>
              <w:marRight w:val="0"/>
              <w:marTop w:val="0"/>
              <w:marBottom w:val="0"/>
              <w:divBdr>
                <w:top w:val="none" w:sz="0" w:space="0" w:color="auto"/>
                <w:left w:val="none" w:sz="0" w:space="0" w:color="auto"/>
                <w:bottom w:val="none" w:sz="0" w:space="0" w:color="auto"/>
                <w:right w:val="none" w:sz="0" w:space="0" w:color="auto"/>
              </w:divBdr>
            </w:div>
            <w:div w:id="258295185">
              <w:marLeft w:val="0"/>
              <w:marRight w:val="0"/>
              <w:marTop w:val="0"/>
              <w:marBottom w:val="0"/>
              <w:divBdr>
                <w:top w:val="none" w:sz="0" w:space="0" w:color="auto"/>
                <w:left w:val="none" w:sz="0" w:space="0" w:color="auto"/>
                <w:bottom w:val="none" w:sz="0" w:space="0" w:color="auto"/>
                <w:right w:val="none" w:sz="0" w:space="0" w:color="auto"/>
              </w:divBdr>
            </w:div>
            <w:div w:id="1778059957">
              <w:marLeft w:val="0"/>
              <w:marRight w:val="0"/>
              <w:marTop w:val="0"/>
              <w:marBottom w:val="0"/>
              <w:divBdr>
                <w:top w:val="none" w:sz="0" w:space="0" w:color="auto"/>
                <w:left w:val="none" w:sz="0" w:space="0" w:color="auto"/>
                <w:bottom w:val="none" w:sz="0" w:space="0" w:color="auto"/>
                <w:right w:val="none" w:sz="0" w:space="0" w:color="auto"/>
              </w:divBdr>
            </w:div>
            <w:div w:id="1195268034">
              <w:marLeft w:val="0"/>
              <w:marRight w:val="0"/>
              <w:marTop w:val="0"/>
              <w:marBottom w:val="0"/>
              <w:divBdr>
                <w:top w:val="none" w:sz="0" w:space="0" w:color="auto"/>
                <w:left w:val="none" w:sz="0" w:space="0" w:color="auto"/>
                <w:bottom w:val="none" w:sz="0" w:space="0" w:color="auto"/>
                <w:right w:val="none" w:sz="0" w:space="0" w:color="auto"/>
              </w:divBdr>
            </w:div>
          </w:divsChild>
        </w:div>
        <w:div w:id="1121073418">
          <w:marLeft w:val="0"/>
          <w:marRight w:val="0"/>
          <w:marTop w:val="0"/>
          <w:marBottom w:val="0"/>
          <w:divBdr>
            <w:top w:val="none" w:sz="0" w:space="0" w:color="auto"/>
            <w:left w:val="none" w:sz="0" w:space="0" w:color="auto"/>
            <w:bottom w:val="none" w:sz="0" w:space="0" w:color="auto"/>
            <w:right w:val="none" w:sz="0" w:space="0" w:color="auto"/>
          </w:divBdr>
        </w:div>
        <w:div w:id="1586722754">
          <w:marLeft w:val="0"/>
          <w:marRight w:val="0"/>
          <w:marTop w:val="0"/>
          <w:marBottom w:val="0"/>
          <w:divBdr>
            <w:top w:val="none" w:sz="0" w:space="0" w:color="auto"/>
            <w:left w:val="none" w:sz="0" w:space="0" w:color="auto"/>
            <w:bottom w:val="none" w:sz="0" w:space="0" w:color="auto"/>
            <w:right w:val="none" w:sz="0" w:space="0" w:color="auto"/>
          </w:divBdr>
        </w:div>
        <w:div w:id="722800725">
          <w:marLeft w:val="0"/>
          <w:marRight w:val="0"/>
          <w:marTop w:val="0"/>
          <w:marBottom w:val="0"/>
          <w:divBdr>
            <w:top w:val="none" w:sz="0" w:space="0" w:color="auto"/>
            <w:left w:val="none" w:sz="0" w:space="0" w:color="auto"/>
            <w:bottom w:val="none" w:sz="0" w:space="0" w:color="auto"/>
            <w:right w:val="none" w:sz="0" w:space="0" w:color="auto"/>
          </w:divBdr>
          <w:divsChild>
            <w:div w:id="2246269">
              <w:marLeft w:val="0"/>
              <w:marRight w:val="0"/>
              <w:marTop w:val="0"/>
              <w:marBottom w:val="0"/>
              <w:divBdr>
                <w:top w:val="none" w:sz="0" w:space="0" w:color="auto"/>
                <w:left w:val="none" w:sz="0" w:space="0" w:color="auto"/>
                <w:bottom w:val="none" w:sz="0" w:space="0" w:color="auto"/>
                <w:right w:val="none" w:sz="0" w:space="0" w:color="auto"/>
              </w:divBdr>
            </w:div>
            <w:div w:id="1109621322">
              <w:marLeft w:val="0"/>
              <w:marRight w:val="0"/>
              <w:marTop w:val="0"/>
              <w:marBottom w:val="0"/>
              <w:divBdr>
                <w:top w:val="none" w:sz="0" w:space="0" w:color="auto"/>
                <w:left w:val="none" w:sz="0" w:space="0" w:color="auto"/>
                <w:bottom w:val="none" w:sz="0" w:space="0" w:color="auto"/>
                <w:right w:val="none" w:sz="0" w:space="0" w:color="auto"/>
              </w:divBdr>
            </w:div>
            <w:div w:id="84107521">
              <w:marLeft w:val="0"/>
              <w:marRight w:val="0"/>
              <w:marTop w:val="0"/>
              <w:marBottom w:val="0"/>
              <w:divBdr>
                <w:top w:val="none" w:sz="0" w:space="0" w:color="auto"/>
                <w:left w:val="none" w:sz="0" w:space="0" w:color="auto"/>
                <w:bottom w:val="none" w:sz="0" w:space="0" w:color="auto"/>
                <w:right w:val="none" w:sz="0" w:space="0" w:color="auto"/>
              </w:divBdr>
            </w:div>
            <w:div w:id="2139715136">
              <w:marLeft w:val="0"/>
              <w:marRight w:val="0"/>
              <w:marTop w:val="0"/>
              <w:marBottom w:val="0"/>
              <w:divBdr>
                <w:top w:val="none" w:sz="0" w:space="0" w:color="auto"/>
                <w:left w:val="none" w:sz="0" w:space="0" w:color="auto"/>
                <w:bottom w:val="none" w:sz="0" w:space="0" w:color="auto"/>
                <w:right w:val="none" w:sz="0" w:space="0" w:color="auto"/>
              </w:divBdr>
            </w:div>
          </w:divsChild>
        </w:div>
        <w:div w:id="187524905">
          <w:marLeft w:val="0"/>
          <w:marRight w:val="0"/>
          <w:marTop w:val="0"/>
          <w:marBottom w:val="0"/>
          <w:divBdr>
            <w:top w:val="none" w:sz="0" w:space="0" w:color="auto"/>
            <w:left w:val="none" w:sz="0" w:space="0" w:color="auto"/>
            <w:bottom w:val="none" w:sz="0" w:space="0" w:color="auto"/>
            <w:right w:val="none" w:sz="0" w:space="0" w:color="auto"/>
          </w:divBdr>
        </w:div>
        <w:div w:id="961959662">
          <w:marLeft w:val="0"/>
          <w:marRight w:val="0"/>
          <w:marTop w:val="0"/>
          <w:marBottom w:val="0"/>
          <w:divBdr>
            <w:top w:val="none" w:sz="0" w:space="0" w:color="auto"/>
            <w:left w:val="none" w:sz="0" w:space="0" w:color="auto"/>
            <w:bottom w:val="none" w:sz="0" w:space="0" w:color="auto"/>
            <w:right w:val="none" w:sz="0" w:space="0" w:color="auto"/>
          </w:divBdr>
        </w:div>
        <w:div w:id="918636321">
          <w:marLeft w:val="0"/>
          <w:marRight w:val="0"/>
          <w:marTop w:val="0"/>
          <w:marBottom w:val="0"/>
          <w:divBdr>
            <w:top w:val="none" w:sz="0" w:space="0" w:color="auto"/>
            <w:left w:val="none" w:sz="0" w:space="0" w:color="auto"/>
            <w:bottom w:val="none" w:sz="0" w:space="0" w:color="auto"/>
            <w:right w:val="none" w:sz="0" w:space="0" w:color="auto"/>
          </w:divBdr>
          <w:divsChild>
            <w:div w:id="42430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e.wikisource.org/wiki/%D7%97%D7%95%D7%A7_%D7%94%D7%A2%D7%95%D7%A0%D7%A9%D7%99%D7%9F" TargetMode="External"/><Relationship Id="rId34" Type="http://schemas.openxmlformats.org/officeDocument/2006/relationships/hyperlink" Target="http://www.ravner.tv/?p=2789"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www.internetworldstat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he.wikisource.org/wiki/%D7%97%D7%95%D7%A7_%D7%94%D7%A2%D7%95%D7%A0%D7%A9%D7%99%D7%9F" TargetMode="External"/><Relationship Id="rId29" Type="http://schemas.openxmlformats.org/officeDocument/2006/relationships/hyperlink" Target="http://www.fialkov.co.il/facebook/infographic-facebookisrael-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openxmlformats.org/officeDocument/2006/relationships/hyperlink" Target="http://www.isoc.org.il/sts-data/11216"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image" Target="media/image10.png"/><Relationship Id="rId36" Type="http://schemas.openxmlformats.org/officeDocument/2006/relationships/hyperlink" Target="https://www.idi.org.il/media/7872/opinion_internet.pdf" TargetMode="External"/><Relationship Id="rId10" Type="http://schemas.openxmlformats.org/officeDocument/2006/relationships/chart" Target="charts/chart2.xml"/><Relationship Id="rId19" Type="http://schemas.openxmlformats.org/officeDocument/2006/relationships/hyperlink" Target="https://he.wikisource.org/wiki/%D7%97%D7%95%D7%A7_%D7%94%D7%A2%D7%95%D7%A0%D7%A9%D7%99%D7%9F" TargetMode="External"/><Relationship Id="rId31" Type="http://schemas.openxmlformats.org/officeDocument/2006/relationships/hyperlink" Target="http://www.globes.co.il/news/article.aspx?did=100115881"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hyperlink" Target="https://he.wikisource.org/wiki/%D7%97%D7%95%D7%A7_%D7%94%D7%A2%D7%95%D7%A0%D7%A9%D7%99%D7%9F" TargetMode="External"/><Relationship Id="rId27" Type="http://schemas.openxmlformats.org/officeDocument/2006/relationships/image" Target="media/image9.png"/><Relationship Id="rId30" Type="http://schemas.openxmlformats.org/officeDocument/2006/relationships/hyperlink" Target="http://www.justice.gov.il/Units/StateAttorney/Guidelines/14.12.pdf" TargetMode="External"/><Relationship Id="rId35" Type="http://schemas.openxmlformats.org/officeDocument/2006/relationships/hyperlink" Target="http://www.huffingtonpost.com/entry/why-are-we-missing-the-bigger-picture-of-just-about_us_5787609be4b0e7c8734f82f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soc.org.il/sts-data/11216" TargetMode="External"/><Relationship Id="rId2" Type="http://schemas.openxmlformats.org/officeDocument/2006/relationships/hyperlink" Target="http://www.isoc.org.il/sts-data/11216" TargetMode="External"/><Relationship Id="rId1" Type="http://schemas.openxmlformats.org/officeDocument/2006/relationships/hyperlink" Target="http://www.internetworldstats.com" TargetMode="External"/><Relationship Id="rId6" Type="http://schemas.openxmlformats.org/officeDocument/2006/relationships/hyperlink" Target="https://www.idi.org.il/media/7872/opinion_internet.pdf" TargetMode="External"/><Relationship Id="rId5" Type="http://schemas.openxmlformats.org/officeDocument/2006/relationships/hyperlink" Target="http://www.justice.gov.il/Pubilcations/News/Pages/BillRemovingContentFromTheInternetJuly2016.aspx" TargetMode="External"/><Relationship Id="rId4" Type="http://schemas.openxmlformats.org/officeDocument/2006/relationships/hyperlink" Target="http://www.internetworldstat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26656\Desktop\&#1504;&#1514;&#1493;&#1504;&#1497;%20&#1492;&#1505;&#1514;&#1492;%20&#1495;&#1493;&#1491;&#1513;&#1497;%202015-201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26656\Desktop\&#1504;&#1514;&#1493;&#1504;&#1497;%20&#1490;&#1494;&#1506;&#1504;&#1493;&#1514;%20&#1493;&#1492;&#1505;&#1514;&#1492;%20&#1495;&#1493;&#1491;&#1513;&#1497;%202015-20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26656\Desktop\&#1504;&#1514;&#1493;&#1504;&#1497;%20&#1490;&#1494;&#1506;&#1504;&#1493;&#1514;%20&#1493;&#1492;&#1505;&#1514;&#1492;%20&#1495;&#1493;&#1491;&#1513;&#1497;%202015-201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26656\Desktop\&#1504;&#1514;&#1493;&#1504;&#1497;%20&#1490;&#1494;&#1506;&#1504;&#1493;&#1514;%20&#1493;&#1492;&#1505;&#1514;&#1492;%20&#1495;&#1493;&#1491;&#1513;&#1497;%202015-20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26656\Desktop\&#1504;&#1514;&#1493;&#1504;&#1497;%20&#1492;&#1505;&#1514;&#1492;%20&#1495;&#1493;&#1491;&#1513;&#1497;%202015-20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_________Microsoft_Excel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26656\Desktop\&#1506;&#1489;&#1493;&#1491;&#1514;%20&#1505;&#1497;&#1499;&#1493;&#1501;\&#1499;&#1514;&#1497;&#1489;&#1514;%20&#1492;&#1506;&#1489;&#1493;&#1491;&#1492;\&#1504;&#1514;&#1493;&#1504;&#1497;%20&#1495;&#1511;&#1497;&#1512;&#1493;&#1514;%20&#1502;&#1506;&#1510;&#1512;&#1497;&#1501;%20&#1493;&#1499;&#1514;&#1489;&#1497;%20&#1488;&#1497;&#1513;&#1493;&#15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גיליון2!$L$98</c:f>
              <c:strCache>
                <c:ptCount val="1"/>
                <c:pt idx="0">
                  <c:v>שנת 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גיליון2!$K$99:$K$100</c:f>
              <c:strCache>
                <c:ptCount val="2"/>
                <c:pt idx="0">
                  <c:v>גזענות</c:v>
                </c:pt>
                <c:pt idx="1">
                  <c:v>הסתה</c:v>
                </c:pt>
              </c:strCache>
            </c:strRef>
          </c:cat>
          <c:val>
            <c:numRef>
              <c:f>גיליון2!$L$99:$L$100</c:f>
              <c:numCache>
                <c:formatCode>#,##0</c:formatCode>
                <c:ptCount val="2"/>
                <c:pt idx="0">
                  <c:v>64251</c:v>
                </c:pt>
                <c:pt idx="1">
                  <c:v>9905</c:v>
                </c:pt>
              </c:numCache>
            </c:numRef>
          </c:val>
        </c:ser>
        <c:ser>
          <c:idx val="1"/>
          <c:order val="1"/>
          <c:tx>
            <c:strRef>
              <c:f>גיליון2!$M$98</c:f>
              <c:strCache>
                <c:ptCount val="1"/>
                <c:pt idx="0">
                  <c:v>שנת 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גיליון2!$K$99:$K$100</c:f>
              <c:strCache>
                <c:ptCount val="2"/>
                <c:pt idx="0">
                  <c:v>גזענות</c:v>
                </c:pt>
                <c:pt idx="1">
                  <c:v>הסתה</c:v>
                </c:pt>
              </c:strCache>
            </c:strRef>
          </c:cat>
          <c:val>
            <c:numRef>
              <c:f>גיליון2!$M$99:$M$100</c:f>
              <c:numCache>
                <c:formatCode>#,##0</c:formatCode>
                <c:ptCount val="2"/>
                <c:pt idx="0">
                  <c:v>132693</c:v>
                </c:pt>
                <c:pt idx="1">
                  <c:v>17238</c:v>
                </c:pt>
              </c:numCache>
            </c:numRef>
          </c:val>
        </c:ser>
        <c:dLbls>
          <c:showLegendKey val="0"/>
          <c:showVal val="0"/>
          <c:showCatName val="0"/>
          <c:showSerName val="0"/>
          <c:showPercent val="0"/>
          <c:showBubbleSize val="0"/>
        </c:dLbls>
        <c:gapWidth val="115"/>
        <c:overlap val="-20"/>
        <c:axId val="300173856"/>
        <c:axId val="300174248"/>
      </c:barChart>
      <c:catAx>
        <c:axId val="300173856"/>
        <c:scaling>
          <c:orientation val="minMax"/>
        </c:scaling>
        <c:delete val="0"/>
        <c:axPos val="r"/>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crossAx val="300174248"/>
        <c:crosses val="autoZero"/>
        <c:auto val="1"/>
        <c:lblAlgn val="ctr"/>
        <c:lblOffset val="100"/>
        <c:noMultiLvlLbl val="0"/>
      </c:catAx>
      <c:valAx>
        <c:axId val="300174248"/>
        <c:scaling>
          <c:orientation val="maxMin"/>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17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dPt>
          <c:dLbls>
            <c:dLbl>
              <c:idx val="0"/>
              <c:layout>
                <c:manualLayout>
                  <c:x val="-1.144204962245741E-3"/>
                  <c:y val="-2.69852041111002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גיליון1!$L$63:$M$63</c:f>
              <c:strCache>
                <c:ptCount val="2"/>
                <c:pt idx="0">
                  <c:v>גזענות והסתה 2015</c:v>
                </c:pt>
                <c:pt idx="1">
                  <c:v>גזענות והסתה 2016</c:v>
                </c:pt>
              </c:strCache>
            </c:strRef>
          </c:cat>
          <c:val>
            <c:numRef>
              <c:f>גיליון1!$L$76:$M$76</c:f>
              <c:numCache>
                <c:formatCode>#,##0</c:formatCode>
                <c:ptCount val="2"/>
                <c:pt idx="0">
                  <c:v>74156</c:v>
                </c:pt>
                <c:pt idx="1">
                  <c:v>151685</c:v>
                </c:pt>
              </c:numCache>
            </c:numRef>
          </c:val>
        </c:ser>
        <c:dLbls>
          <c:showLegendKey val="0"/>
          <c:showVal val="0"/>
          <c:showCatName val="0"/>
          <c:showSerName val="0"/>
          <c:showPercent val="0"/>
          <c:showBubbleSize val="0"/>
        </c:dLbls>
        <c:gapWidth val="164"/>
        <c:overlap val="-22"/>
        <c:axId val="300552368"/>
        <c:axId val="300552760"/>
      </c:barChart>
      <c:catAx>
        <c:axId val="300552368"/>
        <c:scaling>
          <c:orientation val="maxMin"/>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crossAx val="300552760"/>
        <c:crosses val="autoZero"/>
        <c:auto val="1"/>
        <c:lblAlgn val="ctr"/>
        <c:lblOffset val="100"/>
        <c:noMultiLvlLbl val="0"/>
      </c:catAx>
      <c:valAx>
        <c:axId val="30055276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55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גיליון1!$L$63</c:f>
              <c:strCache>
                <c:ptCount val="1"/>
                <c:pt idx="0">
                  <c:v>גזענות והסתה 2015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גיליון1!$K$64:$K$75</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גיליון1!$L$64:$L$75</c:f>
              <c:numCache>
                <c:formatCode>#,##0</c:formatCode>
                <c:ptCount val="12"/>
                <c:pt idx="0">
                  <c:v>4814</c:v>
                </c:pt>
                <c:pt idx="1">
                  <c:v>3250</c:v>
                </c:pt>
                <c:pt idx="2">
                  <c:v>4973</c:v>
                </c:pt>
                <c:pt idx="3">
                  <c:v>4206</c:v>
                </c:pt>
                <c:pt idx="4">
                  <c:v>4137</c:v>
                </c:pt>
                <c:pt idx="5">
                  <c:v>4479</c:v>
                </c:pt>
                <c:pt idx="6">
                  <c:v>5917</c:v>
                </c:pt>
                <c:pt idx="7">
                  <c:v>5767</c:v>
                </c:pt>
                <c:pt idx="8">
                  <c:v>4415</c:v>
                </c:pt>
                <c:pt idx="9">
                  <c:v>10456</c:v>
                </c:pt>
                <c:pt idx="10">
                  <c:v>8033</c:v>
                </c:pt>
                <c:pt idx="11">
                  <c:v>13709</c:v>
                </c:pt>
              </c:numCache>
            </c:numRef>
          </c:val>
          <c:smooth val="0"/>
        </c:ser>
        <c:ser>
          <c:idx val="1"/>
          <c:order val="1"/>
          <c:tx>
            <c:strRef>
              <c:f>גיליון1!$M$63</c:f>
              <c:strCache>
                <c:ptCount val="1"/>
                <c:pt idx="0">
                  <c:v>גזענות והסתה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גיליון1!$K$64:$K$75</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גיליון1!$M$64:$M$75</c:f>
              <c:numCache>
                <c:formatCode>#,##0</c:formatCode>
                <c:ptCount val="12"/>
                <c:pt idx="0">
                  <c:v>12497</c:v>
                </c:pt>
                <c:pt idx="1">
                  <c:v>13161</c:v>
                </c:pt>
                <c:pt idx="2">
                  <c:v>14419</c:v>
                </c:pt>
                <c:pt idx="3">
                  <c:v>12859</c:v>
                </c:pt>
                <c:pt idx="4">
                  <c:v>10747</c:v>
                </c:pt>
                <c:pt idx="5">
                  <c:v>9434</c:v>
                </c:pt>
                <c:pt idx="6">
                  <c:v>21109</c:v>
                </c:pt>
                <c:pt idx="7">
                  <c:v>16767</c:v>
                </c:pt>
                <c:pt idx="8">
                  <c:v>15363</c:v>
                </c:pt>
                <c:pt idx="9">
                  <c:v>10112</c:v>
                </c:pt>
                <c:pt idx="10">
                  <c:v>8337</c:v>
                </c:pt>
                <c:pt idx="11">
                  <c:v>6880</c:v>
                </c:pt>
              </c:numCache>
            </c:numRef>
          </c:val>
          <c:smooth val="0"/>
        </c:ser>
        <c:dLbls>
          <c:showLegendKey val="0"/>
          <c:showVal val="0"/>
          <c:showCatName val="0"/>
          <c:showSerName val="0"/>
          <c:showPercent val="0"/>
          <c:showBubbleSize val="0"/>
        </c:dLbls>
        <c:marker val="1"/>
        <c:smooth val="0"/>
        <c:axId val="300553544"/>
        <c:axId val="300352288"/>
      </c:lineChart>
      <c:catAx>
        <c:axId val="30055354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352288"/>
        <c:crosses val="autoZero"/>
        <c:auto val="1"/>
        <c:lblAlgn val="ctr"/>
        <c:lblOffset val="100"/>
        <c:noMultiLvlLbl val="0"/>
      </c:catAx>
      <c:valAx>
        <c:axId val="300352288"/>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55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גיליון1!$L$3</c:f>
              <c:strCache>
                <c:ptCount val="1"/>
                <c:pt idx="0">
                  <c:v>גזענות 2015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גיליון1!$K$4:$K$15</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גיליון1!$L$4:$L$15</c:f>
              <c:numCache>
                <c:formatCode>#,##0</c:formatCode>
                <c:ptCount val="12"/>
                <c:pt idx="0">
                  <c:v>4473</c:v>
                </c:pt>
                <c:pt idx="1">
                  <c:v>2992</c:v>
                </c:pt>
                <c:pt idx="2">
                  <c:v>4593</c:v>
                </c:pt>
                <c:pt idx="3">
                  <c:v>3902</c:v>
                </c:pt>
                <c:pt idx="4">
                  <c:v>3910</c:v>
                </c:pt>
                <c:pt idx="5">
                  <c:v>4092</c:v>
                </c:pt>
                <c:pt idx="6">
                  <c:v>5312</c:v>
                </c:pt>
                <c:pt idx="7">
                  <c:v>4990</c:v>
                </c:pt>
                <c:pt idx="8">
                  <c:v>3994</c:v>
                </c:pt>
                <c:pt idx="9">
                  <c:v>8438</c:v>
                </c:pt>
                <c:pt idx="10">
                  <c:v>6557</c:v>
                </c:pt>
                <c:pt idx="11">
                  <c:v>10998</c:v>
                </c:pt>
              </c:numCache>
            </c:numRef>
          </c:val>
          <c:smooth val="0"/>
        </c:ser>
        <c:ser>
          <c:idx val="1"/>
          <c:order val="1"/>
          <c:tx>
            <c:strRef>
              <c:f>גיליון1!$M$3</c:f>
              <c:strCache>
                <c:ptCount val="1"/>
                <c:pt idx="0">
                  <c:v>גזענות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גיליון1!$K$4:$K$15</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גיליון1!$M$4:$M$15</c:f>
              <c:numCache>
                <c:formatCode>#,##0</c:formatCode>
                <c:ptCount val="12"/>
                <c:pt idx="0">
                  <c:v>9703</c:v>
                </c:pt>
                <c:pt idx="1">
                  <c:v>11080</c:v>
                </c:pt>
                <c:pt idx="2">
                  <c:v>11756</c:v>
                </c:pt>
                <c:pt idx="3">
                  <c:v>10747</c:v>
                </c:pt>
                <c:pt idx="4">
                  <c:v>9582</c:v>
                </c:pt>
                <c:pt idx="5">
                  <c:v>8501</c:v>
                </c:pt>
                <c:pt idx="6">
                  <c:v>19927</c:v>
                </c:pt>
                <c:pt idx="7">
                  <c:v>15782</c:v>
                </c:pt>
                <c:pt idx="8">
                  <c:v>14157</c:v>
                </c:pt>
                <c:pt idx="9">
                  <c:v>9082</c:v>
                </c:pt>
                <c:pt idx="10">
                  <c:v>7670</c:v>
                </c:pt>
                <c:pt idx="11">
                  <c:v>6197</c:v>
                </c:pt>
              </c:numCache>
            </c:numRef>
          </c:val>
          <c:smooth val="0"/>
        </c:ser>
        <c:dLbls>
          <c:showLegendKey val="0"/>
          <c:showVal val="0"/>
          <c:showCatName val="0"/>
          <c:showSerName val="0"/>
          <c:showPercent val="0"/>
          <c:showBubbleSize val="0"/>
        </c:dLbls>
        <c:marker val="1"/>
        <c:smooth val="0"/>
        <c:axId val="300353072"/>
        <c:axId val="300353464"/>
      </c:lineChart>
      <c:catAx>
        <c:axId val="30035307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353464"/>
        <c:crosses val="autoZero"/>
        <c:auto val="1"/>
        <c:lblAlgn val="ctr"/>
        <c:lblOffset val="100"/>
        <c:noMultiLvlLbl val="0"/>
      </c:catAx>
      <c:valAx>
        <c:axId val="30035346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30035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גיליון1!$L$151</c:f>
              <c:strCache>
                <c:ptCount val="1"/>
                <c:pt idx="0">
                  <c:v>הסתה 2015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גיליון1!$K$152:$K$163</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גיליון1!$L$152:$L$163</c:f>
              <c:numCache>
                <c:formatCode>#,##0</c:formatCode>
                <c:ptCount val="12"/>
                <c:pt idx="0">
                  <c:v>341</c:v>
                </c:pt>
                <c:pt idx="1">
                  <c:v>258</c:v>
                </c:pt>
                <c:pt idx="2">
                  <c:v>380</c:v>
                </c:pt>
                <c:pt idx="3">
                  <c:v>304</c:v>
                </c:pt>
                <c:pt idx="4">
                  <c:v>227</c:v>
                </c:pt>
                <c:pt idx="5">
                  <c:v>387</c:v>
                </c:pt>
                <c:pt idx="6">
                  <c:v>605</c:v>
                </c:pt>
                <c:pt idx="7">
                  <c:v>777</c:v>
                </c:pt>
                <c:pt idx="8">
                  <c:v>421</c:v>
                </c:pt>
                <c:pt idx="9">
                  <c:v>2018</c:v>
                </c:pt>
                <c:pt idx="10">
                  <c:v>1476</c:v>
                </c:pt>
                <c:pt idx="11">
                  <c:v>2711</c:v>
                </c:pt>
              </c:numCache>
            </c:numRef>
          </c:val>
          <c:smooth val="0"/>
        </c:ser>
        <c:ser>
          <c:idx val="1"/>
          <c:order val="1"/>
          <c:tx>
            <c:strRef>
              <c:f>גיליון1!$M$151</c:f>
              <c:strCache>
                <c:ptCount val="1"/>
                <c:pt idx="0">
                  <c:v>הסתה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גיליון1!$K$152:$K$163</c:f>
              <c:strCache>
                <c:ptCount val="12"/>
                <c:pt idx="0">
                  <c:v>ינואר</c:v>
                </c:pt>
                <c:pt idx="1">
                  <c:v>פברואר</c:v>
                </c:pt>
                <c:pt idx="2">
                  <c:v>מרץ</c:v>
                </c:pt>
                <c:pt idx="3">
                  <c:v>אפריל</c:v>
                </c:pt>
                <c:pt idx="4">
                  <c:v>מאי</c:v>
                </c:pt>
                <c:pt idx="5">
                  <c:v>יוני </c:v>
                </c:pt>
                <c:pt idx="6">
                  <c:v>יולי</c:v>
                </c:pt>
                <c:pt idx="7">
                  <c:v>אוגוסט</c:v>
                </c:pt>
                <c:pt idx="8">
                  <c:v>ספטמבר </c:v>
                </c:pt>
                <c:pt idx="9">
                  <c:v>אוקטובר </c:v>
                </c:pt>
                <c:pt idx="10">
                  <c:v>נובמבר </c:v>
                </c:pt>
                <c:pt idx="11">
                  <c:v>דצמבר</c:v>
                </c:pt>
              </c:strCache>
            </c:strRef>
          </c:cat>
          <c:val>
            <c:numRef>
              <c:f>גיליון1!$M$152:$M$163</c:f>
              <c:numCache>
                <c:formatCode>#,##0</c:formatCode>
                <c:ptCount val="12"/>
                <c:pt idx="0">
                  <c:v>2794</c:v>
                </c:pt>
                <c:pt idx="1">
                  <c:v>2081</c:v>
                </c:pt>
                <c:pt idx="2">
                  <c:v>2663</c:v>
                </c:pt>
                <c:pt idx="3">
                  <c:v>2112</c:v>
                </c:pt>
                <c:pt idx="4">
                  <c:v>1165</c:v>
                </c:pt>
                <c:pt idx="5">
                  <c:v>933</c:v>
                </c:pt>
                <c:pt idx="6">
                  <c:v>1182</c:v>
                </c:pt>
                <c:pt idx="7">
                  <c:v>985</c:v>
                </c:pt>
                <c:pt idx="8">
                  <c:v>1206</c:v>
                </c:pt>
                <c:pt idx="9">
                  <c:v>1030</c:v>
                </c:pt>
                <c:pt idx="10">
                  <c:v>667</c:v>
                </c:pt>
                <c:pt idx="11">
                  <c:v>683</c:v>
                </c:pt>
              </c:numCache>
            </c:numRef>
          </c:val>
          <c:smooth val="0"/>
        </c:ser>
        <c:dLbls>
          <c:showLegendKey val="0"/>
          <c:showVal val="0"/>
          <c:showCatName val="0"/>
          <c:showSerName val="0"/>
          <c:showPercent val="0"/>
          <c:showBubbleSize val="0"/>
        </c:dLbls>
        <c:marker val="1"/>
        <c:smooth val="0"/>
        <c:axId val="255262264"/>
        <c:axId val="255262656"/>
      </c:lineChart>
      <c:catAx>
        <c:axId val="25526226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55262656"/>
        <c:crosses val="autoZero"/>
        <c:auto val="1"/>
        <c:lblAlgn val="ctr"/>
        <c:lblOffset val="100"/>
        <c:noMultiLvlLbl val="0"/>
      </c:catAx>
      <c:valAx>
        <c:axId val="255262656"/>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5526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59015510620458"/>
          <c:y val="0.21559662775616084"/>
          <c:w val="0.53787671770466206"/>
          <c:h val="0.78440337224383916"/>
        </c:manualLayout>
      </c:layout>
      <c:doughnutChart>
        <c:varyColors val="1"/>
        <c:ser>
          <c:idx val="0"/>
          <c:order val="0"/>
          <c:tx>
            <c:strRef>
              <c:f>Sheet1!$B$1</c:f>
              <c:strCache>
                <c:ptCount val="1"/>
                <c:pt idx="0">
                  <c:v>Sales</c:v>
                </c:pt>
              </c:strCache>
            </c:strRef>
          </c:tx>
          <c:dPt>
            <c:idx val="0"/>
            <c:bubble3D val="0"/>
            <c:spPr>
              <a:solidFill>
                <a:srgbClr val="0070C0"/>
              </a:solidFill>
              <a:ln w="19050">
                <a:solidFill>
                  <a:schemeClr val="lt1"/>
                </a:solidFill>
              </a:ln>
              <a:effectLst/>
            </c:spPr>
          </c:dPt>
          <c:dPt>
            <c:idx val="1"/>
            <c:bubble3D val="0"/>
            <c:spPr>
              <a:solidFill>
                <a:schemeClr val="accent5">
                  <a:lumMod val="75000"/>
                </a:schemeClr>
              </a:solidFill>
              <a:ln w="19050">
                <a:solidFill>
                  <a:schemeClr val="lt1"/>
                </a:solidFill>
              </a:ln>
              <a:effectLst/>
            </c:spPr>
          </c:dPt>
          <c:dPt>
            <c:idx val="2"/>
            <c:bubble3D val="0"/>
            <c:spPr>
              <a:solidFill>
                <a:srgbClr val="17B992"/>
              </a:solidFill>
              <a:ln w="19050">
                <a:solidFill>
                  <a:schemeClr val="lt1"/>
                </a:solidFill>
              </a:ln>
              <a:effectLst/>
            </c:spPr>
          </c:dPt>
          <c:dPt>
            <c:idx val="3"/>
            <c:bubble3D val="0"/>
            <c:spPr>
              <a:solidFill>
                <a:schemeClr val="accent3">
                  <a:lumMod val="40000"/>
                  <a:lumOff val="60000"/>
                </a:schemeClr>
              </a:solidFill>
              <a:ln w="19050">
                <a:solidFill>
                  <a:schemeClr val="lt1"/>
                </a:solidFill>
              </a:ln>
              <a:effectLst/>
            </c:spPr>
          </c:dPt>
          <c:dPt>
            <c:idx val="4"/>
            <c:bubble3D val="0"/>
            <c:spPr>
              <a:solidFill>
                <a:schemeClr val="tx1">
                  <a:lumMod val="50000"/>
                  <a:lumOff val="50000"/>
                </a:schemeClr>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6.249999999999924E-3"/>
                  <c:y val="3.1250000000000002E-3"/>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16660370574846153"/>
                  <c:y val="-9.4714656290531773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0596111305416632"/>
                  <c:y val="-0.14824902723735409"/>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3.1061707851408032E-2"/>
                  <c:y val="-0.2017833981841764"/>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4.9416353399967299E-2"/>
                  <c:y val="-0.2017833981841764"/>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4464883705366027"/>
                      <c:h val="0.12605285343709469"/>
                    </c:manualLayout>
                  </c15:layout>
                </c:ext>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he-IL"/>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Sheet1!$A$2:$A$8</c:f>
              <c:strCache>
                <c:ptCount val="7"/>
                <c:pt idx="0">
                  <c:v>Facebook</c:v>
                </c:pt>
                <c:pt idx="1">
                  <c:v>פורומים</c:v>
                </c:pt>
                <c:pt idx="2">
                  <c:v>טוקבקים</c:v>
                </c:pt>
                <c:pt idx="3">
                  <c:v>Twitter</c:v>
                </c:pt>
                <c:pt idx="4">
                  <c:v>בלוגים</c:v>
                </c:pt>
                <c:pt idx="5">
                  <c:v> Youtube</c:v>
                </c:pt>
                <c:pt idx="6">
                  <c:v>Instagram</c:v>
                </c:pt>
              </c:strCache>
            </c:strRef>
          </c:cat>
          <c:val>
            <c:numRef>
              <c:f>Sheet1!$B$2:$B$8</c:f>
              <c:numCache>
                <c:formatCode>General</c:formatCode>
                <c:ptCount val="7"/>
                <c:pt idx="0">
                  <c:v>16586</c:v>
                </c:pt>
                <c:pt idx="1">
                  <c:v>922</c:v>
                </c:pt>
                <c:pt idx="2">
                  <c:v>626</c:v>
                </c:pt>
                <c:pt idx="3">
                  <c:v>590</c:v>
                </c:pt>
                <c:pt idx="4">
                  <c:v>304</c:v>
                </c:pt>
                <c:pt idx="5">
                  <c:v>48</c:v>
                </c:pt>
                <c:pt idx="6">
                  <c:v>5</c:v>
                </c:pt>
              </c:numCache>
            </c:numRef>
          </c:val>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גיליון1!$B$2</c:f>
              <c:strCache>
                <c:ptCount val="1"/>
                <c:pt idx="0">
                  <c:v>חקירות</c:v>
                </c:pt>
              </c:strCache>
            </c:strRef>
          </c:tx>
          <c:spPr>
            <a:ln w="28575" cap="rnd">
              <a:solidFill>
                <a:schemeClr val="accent1"/>
              </a:solidFill>
              <a:round/>
            </a:ln>
            <a:effectLst/>
          </c:spPr>
          <c:marker>
            <c:symbol val="none"/>
          </c:marker>
          <c:dLbls>
            <c:dLbl>
              <c:idx val="4"/>
              <c:layout>
                <c:manualLayout>
                  <c:x val="-3.1206696433023158E-2"/>
                  <c:y val="-4.721791665805555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גיליון1!$A$3:$A$9</c:f>
              <c:numCache>
                <c:formatCode>General</c:formatCode>
                <c:ptCount val="7"/>
                <c:pt idx="0">
                  <c:v>2010</c:v>
                </c:pt>
                <c:pt idx="1">
                  <c:v>2011</c:v>
                </c:pt>
                <c:pt idx="2">
                  <c:v>2012</c:v>
                </c:pt>
                <c:pt idx="3">
                  <c:v>2013</c:v>
                </c:pt>
                <c:pt idx="4">
                  <c:v>2014</c:v>
                </c:pt>
                <c:pt idx="5">
                  <c:v>2015</c:v>
                </c:pt>
                <c:pt idx="6">
                  <c:v>2016</c:v>
                </c:pt>
              </c:numCache>
            </c:numRef>
          </c:cat>
          <c:val>
            <c:numRef>
              <c:f>גיליון1!$B$3:$B$9</c:f>
              <c:numCache>
                <c:formatCode>General</c:formatCode>
                <c:ptCount val="7"/>
                <c:pt idx="0">
                  <c:v>12</c:v>
                </c:pt>
                <c:pt idx="1">
                  <c:v>10</c:v>
                </c:pt>
                <c:pt idx="2">
                  <c:v>8</c:v>
                </c:pt>
                <c:pt idx="3">
                  <c:v>11</c:v>
                </c:pt>
                <c:pt idx="4">
                  <c:v>38</c:v>
                </c:pt>
                <c:pt idx="5">
                  <c:v>20</c:v>
                </c:pt>
                <c:pt idx="6">
                  <c:v>19</c:v>
                </c:pt>
              </c:numCache>
            </c:numRef>
          </c:val>
          <c:smooth val="0"/>
        </c:ser>
        <c:ser>
          <c:idx val="1"/>
          <c:order val="1"/>
          <c:tx>
            <c:strRef>
              <c:f>גיליון1!$C$2</c:f>
              <c:strCache>
                <c:ptCount val="1"/>
                <c:pt idx="0">
                  <c:v>מעצרים</c:v>
                </c:pt>
              </c:strCache>
            </c:strRef>
          </c:tx>
          <c:spPr>
            <a:ln w="28575" cap="rnd">
              <a:solidFill>
                <a:schemeClr val="accent2"/>
              </a:solidFill>
              <a:round/>
            </a:ln>
            <a:effectLst/>
          </c:spPr>
          <c:marker>
            <c:symbol val="none"/>
          </c:marker>
          <c:dLbls>
            <c:dLbl>
              <c:idx val="5"/>
              <c:layout>
                <c:manualLayout>
                  <c:x val="-2.983670080265707E-2"/>
                  <c:y val="-9.758727857762548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גיליון1!$A$3:$A$9</c:f>
              <c:numCache>
                <c:formatCode>General</c:formatCode>
                <c:ptCount val="7"/>
                <c:pt idx="0">
                  <c:v>2010</c:v>
                </c:pt>
                <c:pt idx="1">
                  <c:v>2011</c:v>
                </c:pt>
                <c:pt idx="2">
                  <c:v>2012</c:v>
                </c:pt>
                <c:pt idx="3">
                  <c:v>2013</c:v>
                </c:pt>
                <c:pt idx="4">
                  <c:v>2014</c:v>
                </c:pt>
                <c:pt idx="5">
                  <c:v>2015</c:v>
                </c:pt>
                <c:pt idx="6">
                  <c:v>2016</c:v>
                </c:pt>
              </c:numCache>
            </c:numRef>
          </c:cat>
          <c:val>
            <c:numRef>
              <c:f>גיליון1!$C$3:$C$9</c:f>
              <c:numCache>
                <c:formatCode>General</c:formatCode>
                <c:ptCount val="7"/>
                <c:pt idx="0">
                  <c:v>4</c:v>
                </c:pt>
                <c:pt idx="1">
                  <c:v>4</c:v>
                </c:pt>
                <c:pt idx="2">
                  <c:v>8</c:v>
                </c:pt>
                <c:pt idx="3">
                  <c:v>4</c:v>
                </c:pt>
                <c:pt idx="4">
                  <c:v>24</c:v>
                </c:pt>
                <c:pt idx="5">
                  <c:v>4</c:v>
                </c:pt>
                <c:pt idx="6">
                  <c:v>7</c:v>
                </c:pt>
              </c:numCache>
            </c:numRef>
          </c:val>
          <c:smooth val="0"/>
        </c:ser>
        <c:ser>
          <c:idx val="2"/>
          <c:order val="2"/>
          <c:tx>
            <c:strRef>
              <c:f>גיליון1!$D$2</c:f>
              <c:strCache>
                <c:ptCount val="1"/>
                <c:pt idx="0">
                  <c:v>כתבי אישום</c:v>
                </c:pt>
              </c:strCache>
            </c:strRef>
          </c:tx>
          <c:spPr>
            <a:ln w="28575" cap="rnd">
              <a:solidFill>
                <a:schemeClr val="accent3"/>
              </a:solidFill>
              <a:round/>
            </a:ln>
            <a:effectLst/>
          </c:spPr>
          <c:marker>
            <c:symbol val="none"/>
          </c:marker>
          <c:dLbls>
            <c:dLbl>
              <c:idx val="6"/>
              <c:layout>
                <c:manualLayout>
                  <c:x val="-3.260437484063454E-2"/>
                  <c:y val="-6.132485531358799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r"/>
              <c:showLegendKey val="0"/>
              <c:showVal val="1"/>
              <c:showCatName val="0"/>
              <c:showSerName val="0"/>
              <c:showPercent val="0"/>
              <c:showBubbleSize val="0"/>
              <c:extLst>
                <c:ext xmlns:c15="http://schemas.microsoft.com/office/drawing/2012/chart" uri="{CE6537A1-D6FC-4f65-9D91-7224C49458BB}">
                  <c15:layout>
                    <c:manualLayout>
                      <c:w val="2.9227788541378349E-2"/>
                      <c:h val="9.475614711340997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גיליון1!$A$3:$A$9</c:f>
              <c:numCache>
                <c:formatCode>General</c:formatCode>
                <c:ptCount val="7"/>
                <c:pt idx="0">
                  <c:v>2010</c:v>
                </c:pt>
                <c:pt idx="1">
                  <c:v>2011</c:v>
                </c:pt>
                <c:pt idx="2">
                  <c:v>2012</c:v>
                </c:pt>
                <c:pt idx="3">
                  <c:v>2013</c:v>
                </c:pt>
                <c:pt idx="4">
                  <c:v>2014</c:v>
                </c:pt>
                <c:pt idx="5">
                  <c:v>2015</c:v>
                </c:pt>
                <c:pt idx="6">
                  <c:v>2016</c:v>
                </c:pt>
              </c:numCache>
            </c:numRef>
          </c:cat>
          <c:val>
            <c:numRef>
              <c:f>גיליון1!$D$3:$D$9</c:f>
              <c:numCache>
                <c:formatCode>General</c:formatCode>
                <c:ptCount val="7"/>
                <c:pt idx="0">
                  <c:v>1</c:v>
                </c:pt>
                <c:pt idx="1">
                  <c:v>0</c:v>
                </c:pt>
                <c:pt idx="2">
                  <c:v>0</c:v>
                </c:pt>
                <c:pt idx="3">
                  <c:v>1</c:v>
                </c:pt>
                <c:pt idx="4">
                  <c:v>8</c:v>
                </c:pt>
                <c:pt idx="5">
                  <c:v>3</c:v>
                </c:pt>
                <c:pt idx="6">
                  <c:v>6</c:v>
                </c:pt>
              </c:numCache>
            </c:numRef>
          </c:val>
          <c:smooth val="0"/>
        </c:ser>
        <c:dLbls>
          <c:dLblPos val="t"/>
          <c:showLegendKey val="0"/>
          <c:showVal val="1"/>
          <c:showCatName val="0"/>
          <c:showSerName val="0"/>
          <c:showPercent val="0"/>
          <c:showBubbleSize val="0"/>
        </c:dLbls>
        <c:smooth val="0"/>
        <c:axId val="255263832"/>
        <c:axId val="299530160"/>
      </c:lineChart>
      <c:catAx>
        <c:axId val="25526383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e-IL"/>
          </a:p>
        </c:txPr>
        <c:crossAx val="299530160"/>
        <c:crosses val="autoZero"/>
        <c:auto val="1"/>
        <c:lblAlgn val="ctr"/>
        <c:lblOffset val="100"/>
        <c:noMultiLvlLbl val="0"/>
      </c:catAx>
      <c:valAx>
        <c:axId val="29953016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5526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0.36062</cdr:x>
      <cdr:y>0.20946</cdr:y>
    </cdr:from>
    <cdr:to>
      <cdr:x>0.58575</cdr:x>
      <cdr:y>0.37629</cdr:y>
    </cdr:to>
    <cdr:cxnSp macro="">
      <cdr:nvCxnSpPr>
        <cdr:cNvPr id="3" name="מחבר חץ ישר 2"/>
        <cdr:cNvCxnSpPr/>
      </cdr:nvCxnSpPr>
      <cdr:spPr>
        <a:xfrm xmlns:a="http://schemas.openxmlformats.org/drawingml/2006/main" flipH="1" flipV="1">
          <a:off x="1647825" y="295275"/>
          <a:ext cx="1028736" cy="235182"/>
        </a:xfrm>
        <a:prstGeom xmlns:a="http://schemas.openxmlformats.org/drawingml/2006/main" prst="straightConnector1">
          <a:avLst/>
        </a:prstGeom>
        <a:ln xmlns:a="http://schemas.openxmlformats.org/drawingml/2006/main" w="38100">
          <a:solidFill>
            <a:srgbClr val="FF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E2750-26B4-4211-A696-FDDC3C8C1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28276</Words>
  <Characters>141383</Characters>
  <Application>Microsoft Office Word</Application>
  <DocSecurity>0</DocSecurity>
  <Lines>1178</Lines>
  <Paragraphs>338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u26656</dc:creator>
  <cp:keywords/>
  <dc:description/>
  <cp:lastModifiedBy>Mamram</cp:lastModifiedBy>
  <cp:revision>2</cp:revision>
  <cp:lastPrinted>2017-04-24T12:11:00Z</cp:lastPrinted>
  <dcterms:created xsi:type="dcterms:W3CDTF">2017-09-07T11:15:00Z</dcterms:created>
  <dcterms:modified xsi:type="dcterms:W3CDTF">2017-09-07T11:15:00Z</dcterms:modified>
</cp:coreProperties>
</file>