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hint="cs"/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B07091" w:rsidRDefault="00B07091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ראשון</w:t>
      </w:r>
      <w:r>
        <w:rPr>
          <w:rFonts w:cs="David"/>
          <w:b/>
          <w:bCs/>
          <w:sz w:val="28"/>
          <w:szCs w:val="28"/>
          <w:rtl/>
        </w:rPr>
        <w:t xml:space="preserve"> 05 ינואר 2020</w:t>
      </w:r>
    </w:p>
    <w:p w:rsidR="000B6CC4" w:rsidRDefault="00B07091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ראשון</w:t>
      </w:r>
      <w:r>
        <w:rPr>
          <w:rFonts w:cs="David"/>
          <w:b/>
          <w:bCs/>
          <w:sz w:val="28"/>
          <w:szCs w:val="28"/>
          <w:rtl/>
        </w:rPr>
        <w:t xml:space="preserve"> ח' טבת תש"פ</w:t>
      </w:r>
    </w:p>
    <w:p w:rsidR="00B07091" w:rsidRDefault="00B07091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B07091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לימודי חובה בביטחו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הלאומי</w:t>
      </w:r>
    </w:p>
    <w:p w:rsidR="0000579F" w:rsidRDefault="0000579F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7C4539" w:rsidRDefault="00A85A27" w:rsidP="00C543EF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בטחון לאומי הינו מושג </w:t>
      </w:r>
      <w:r w:rsidR="00C543EF">
        <w:rPr>
          <w:rFonts w:cs="David" w:hint="cs"/>
          <w:sz w:val="28"/>
          <w:szCs w:val="28"/>
          <w:rtl/>
        </w:rPr>
        <w:t>חמקמק, הנתון לפרשנויות שונות. יש שיבחרו בגישה מצמצמת, יש שיבחרו בגישה מרחיבה, יש שיסתפקו בהגדרות ברורות של אינטרסים וזיקות, יש אחרים שימתחו את היריעה אל מגוון תחומי חיים ואירועי</w:t>
      </w:r>
      <w:r w:rsidR="00C543EF">
        <w:rPr>
          <w:rFonts w:cs="David" w:hint="eastAsia"/>
          <w:sz w:val="28"/>
          <w:szCs w:val="28"/>
          <w:rtl/>
        </w:rPr>
        <w:t>ם</w:t>
      </w:r>
      <w:r w:rsidR="00C543EF">
        <w:rPr>
          <w:rFonts w:cs="David" w:hint="cs"/>
          <w:sz w:val="28"/>
          <w:szCs w:val="28"/>
          <w:rtl/>
        </w:rPr>
        <w:t xml:space="preserve">. </w:t>
      </w:r>
    </w:p>
    <w:p w:rsidR="00C543EF" w:rsidRDefault="00C543EF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ועדין, בבואנו לעסוק במבנה שנת </w:t>
      </w:r>
      <w:proofErr w:type="spellStart"/>
      <w:r>
        <w:rPr>
          <w:rFonts w:cs="David" w:hint="cs"/>
          <w:sz w:val="28"/>
          <w:szCs w:val="28"/>
          <w:rtl/>
        </w:rPr>
        <w:t>המב"ל</w:t>
      </w:r>
      <w:proofErr w:type="spellEnd"/>
      <w:r>
        <w:rPr>
          <w:rFonts w:cs="David" w:hint="cs"/>
          <w:sz w:val="28"/>
          <w:szCs w:val="28"/>
          <w:rtl/>
        </w:rPr>
        <w:t>, נדרש לקבוע מה תכני החובה ללומדים בתכנית העוסקת בביטחו</w:t>
      </w:r>
      <w:r>
        <w:rPr>
          <w:rFonts w:cs="David" w:hint="eastAsia"/>
          <w:sz w:val="28"/>
          <w:szCs w:val="28"/>
          <w:rtl/>
        </w:rPr>
        <w:t>ן</w:t>
      </w:r>
      <w:r>
        <w:rPr>
          <w:rFonts w:cs="David" w:hint="cs"/>
          <w:sz w:val="28"/>
          <w:szCs w:val="28"/>
          <w:rtl/>
        </w:rPr>
        <w:t xml:space="preserve"> לאומי ומהי המתכונת ללמוד נושאים אלו.</w:t>
      </w:r>
    </w:p>
    <w:p w:rsidR="009E1872" w:rsidRDefault="009E1872" w:rsidP="009E1872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הטעם</w:t>
      </w:r>
      <w:r w:rsidR="00041DFF">
        <w:rPr>
          <w:rFonts w:cs="David" w:hint="cs"/>
          <w:sz w:val="28"/>
          <w:szCs w:val="28"/>
          <w:rtl/>
        </w:rPr>
        <w:t xml:space="preserve"> להגדרת לימודי החובה </w:t>
      </w:r>
      <w:r w:rsidR="00041DFF">
        <w:rPr>
          <w:rFonts w:cs="David"/>
          <w:sz w:val="28"/>
          <w:szCs w:val="28"/>
          <w:rtl/>
        </w:rPr>
        <w:t>–</w:t>
      </w:r>
      <w:r w:rsidR="00041DFF">
        <w:rPr>
          <w:rFonts w:cs="David" w:hint="cs"/>
          <w:sz w:val="28"/>
          <w:szCs w:val="28"/>
          <w:rtl/>
        </w:rPr>
        <w:t xml:space="preserve"> הינו הצורך לייצר בפרק זמן נתון בסיס ידע משותף אליו מתכנסים </w:t>
      </w:r>
      <w:r>
        <w:rPr>
          <w:rFonts w:cs="David" w:hint="cs"/>
          <w:sz w:val="28"/>
          <w:szCs w:val="28"/>
          <w:rtl/>
        </w:rPr>
        <w:t>כלל המשתתפים וממנו ניתן להגיע לקומות גבוהות יותר.</w:t>
      </w:r>
    </w:p>
    <w:p w:rsidR="00730A6C" w:rsidRDefault="009E1872" w:rsidP="009E1872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בחינה של הנושא במוסדות להשכלה גבוהה בארץ ובעולם אינו נותן לכך תשובה ברורה. מוסדות אקדמיים</w:t>
      </w:r>
      <w:r w:rsidR="00730A6C">
        <w:rPr>
          <w:rFonts w:cs="David" w:hint="cs"/>
          <w:sz w:val="28"/>
          <w:szCs w:val="28"/>
          <w:rtl/>
        </w:rPr>
        <w:t>, המציעים תואר שני בביטחון לאומי,</w:t>
      </w:r>
      <w:r>
        <w:rPr>
          <w:rFonts w:cs="David" w:hint="cs"/>
          <w:sz w:val="28"/>
          <w:szCs w:val="28"/>
          <w:rtl/>
        </w:rPr>
        <w:t xml:space="preserve"> מחייבים קורסים בשיטות מ</w:t>
      </w:r>
      <w:r w:rsidR="00F60EB7">
        <w:rPr>
          <w:rFonts w:cs="David" w:hint="cs"/>
          <w:sz w:val="28"/>
          <w:szCs w:val="28"/>
          <w:rtl/>
        </w:rPr>
        <w:t xml:space="preserve">חקר ומבואות מהתואר הראשון, למשתתפים </w:t>
      </w:r>
      <w:r w:rsidR="00730A6C">
        <w:rPr>
          <w:rFonts w:cs="David" w:hint="cs"/>
          <w:sz w:val="28"/>
          <w:szCs w:val="28"/>
          <w:rtl/>
        </w:rPr>
        <w:t xml:space="preserve">שלא למדו תואר ראשון באותו מוסד. מוסדות דמויי </w:t>
      </w:r>
      <w:proofErr w:type="spellStart"/>
      <w:r w:rsidR="00730A6C">
        <w:rPr>
          <w:rFonts w:cs="David" w:hint="cs"/>
          <w:sz w:val="28"/>
          <w:szCs w:val="28"/>
          <w:rtl/>
        </w:rPr>
        <w:t>מב"ל</w:t>
      </w:r>
      <w:proofErr w:type="spellEnd"/>
      <w:r w:rsidR="00730A6C">
        <w:rPr>
          <w:rFonts w:cs="David" w:hint="cs"/>
          <w:sz w:val="28"/>
          <w:szCs w:val="28"/>
          <w:rtl/>
        </w:rPr>
        <w:t xml:space="preserve">  מגדירים את קורסי החובה בהתאם לעיסוקם בביטחון הלאומי.</w:t>
      </w:r>
    </w:p>
    <w:p w:rsidR="00730A6C" w:rsidRDefault="00730A6C" w:rsidP="006C637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>משכך, נראה כי נדרשים גם אנחנו לגבש מסגרת מחייבת ללימודי בסיס, על סמך ניסיו</w:t>
      </w:r>
      <w:r>
        <w:rPr>
          <w:rFonts w:cs="David" w:hint="eastAsia"/>
          <w:sz w:val="28"/>
          <w:szCs w:val="28"/>
          <w:rtl/>
        </w:rPr>
        <w:t>ן</w:t>
      </w:r>
      <w:r>
        <w:rPr>
          <w:rFonts w:cs="David" w:hint="cs"/>
          <w:sz w:val="28"/>
          <w:szCs w:val="28"/>
          <w:rtl/>
        </w:rPr>
        <w:t xml:space="preserve"> העבר, הצרכים הלאומיים של ישראל  ובחינה של הנעשה ו</w:t>
      </w:r>
      <w:r w:rsidR="006C637E">
        <w:rPr>
          <w:rFonts w:cs="David" w:hint="cs"/>
          <w:sz w:val="28"/>
          <w:szCs w:val="28"/>
          <w:rtl/>
        </w:rPr>
        <w:t>הנלמד במוסדות אחרים בארץ ובעולם.</w:t>
      </w:r>
    </w:p>
    <w:p w:rsidR="006C637E" w:rsidRDefault="006C637E" w:rsidP="006C637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להלן הצעה ראשונית לא מחייבת </w:t>
      </w:r>
      <w:r w:rsidR="00E527C9">
        <w:rPr>
          <w:rFonts w:cs="David" w:hint="cs"/>
          <w:sz w:val="28"/>
          <w:szCs w:val="28"/>
          <w:rtl/>
        </w:rPr>
        <w:t xml:space="preserve">: </w:t>
      </w:r>
    </w:p>
    <w:tbl>
      <w:tblPr>
        <w:tblStyle w:val="6-1"/>
        <w:bidiVisual/>
        <w:tblW w:w="9160" w:type="dxa"/>
        <w:tblLook w:val="04A0" w:firstRow="1" w:lastRow="0" w:firstColumn="1" w:lastColumn="0" w:noHBand="0" w:noVBand="1"/>
      </w:tblPr>
      <w:tblGrid>
        <w:gridCol w:w="4200"/>
        <w:gridCol w:w="1744"/>
        <w:gridCol w:w="3216"/>
      </w:tblGrid>
      <w:tr w:rsidR="006C637E" w:rsidTr="00E5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שם הקורס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מספר מפגשים</w:t>
            </w:r>
          </w:p>
        </w:tc>
        <w:tc>
          <w:tcPr>
            <w:tcW w:w="3216" w:type="dxa"/>
          </w:tcPr>
          <w:p w:rsidR="006C637E" w:rsidRDefault="006C637E" w:rsidP="006C637E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הישג נדרש</w:t>
            </w:r>
          </w:p>
        </w:tc>
      </w:tr>
      <w:tr w:rsidR="006C637E" w:rsidTr="00E5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תולדות המחשבה המדינית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6C637E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גישות ואסכולות והתפתחות חשיבה ביקורתית</w:t>
            </w:r>
          </w:p>
        </w:tc>
      </w:tr>
      <w:tr w:rsidR="006C637E" w:rsidTr="00E5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תולדות המחשבה האסטרטגית 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6C637E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הכרות עם חשיבה אסטרטגית ומרכיביה </w:t>
            </w:r>
          </w:p>
        </w:tc>
      </w:tr>
      <w:tr w:rsidR="006C637E" w:rsidTr="00E5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מושגי יסוד בכלכלה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מושגים נדרשים בכלכלה</w:t>
            </w:r>
          </w:p>
        </w:tc>
      </w:tr>
      <w:tr w:rsidR="006C637E" w:rsidTr="00E5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מושגי יסוד בחברה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מושגים נדרשים לניתוח חברתי</w:t>
            </w:r>
          </w:p>
        </w:tc>
      </w:tr>
      <w:tr w:rsidR="006C637E" w:rsidTr="00E5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מושגי יסוד במדינאות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מושגים נדרשים בחשיבה מדינית</w:t>
            </w:r>
          </w:p>
        </w:tc>
      </w:tr>
      <w:tr w:rsidR="006C637E" w:rsidTr="00E5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מושגי יסוד בהגנה לאומית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מושגים נדרשים בביטחון והגנה ברמה הלאומית</w:t>
            </w:r>
          </w:p>
        </w:tc>
      </w:tr>
      <w:tr w:rsidR="006C637E" w:rsidTr="00E5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תולדות הציונות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בית לאומי לעם היהודי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קבלת החלטות וחזון ציוני</w:t>
            </w:r>
          </w:p>
        </w:tc>
      </w:tr>
      <w:tr w:rsidR="006C637E" w:rsidTr="00E5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6C637E" w:rsidRDefault="006C637E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התפתחות הטרור והגרילה</w:t>
            </w:r>
          </w:p>
        </w:tc>
        <w:tc>
          <w:tcPr>
            <w:tcW w:w="1744" w:type="dxa"/>
          </w:tcPr>
          <w:p w:rsidR="006C637E" w:rsidRDefault="006C637E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6C637E" w:rsidRDefault="00E527C9" w:rsidP="006C637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ממלחמה לטרור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מושגים </w:t>
            </w:r>
          </w:p>
        </w:tc>
      </w:tr>
      <w:tr w:rsidR="00E527C9" w:rsidTr="00E5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:rsidR="00E527C9" w:rsidRDefault="00E527C9" w:rsidP="006C637E">
            <w:pPr>
              <w:spacing w:line="480" w:lineRule="auto"/>
              <w:jc w:val="both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משפט ציבורי וחוקתי </w:t>
            </w:r>
          </w:p>
        </w:tc>
        <w:tc>
          <w:tcPr>
            <w:tcW w:w="1744" w:type="dxa"/>
          </w:tcPr>
          <w:p w:rsidR="00E527C9" w:rsidRDefault="00E527C9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3216" w:type="dxa"/>
          </w:tcPr>
          <w:p w:rsidR="00E527C9" w:rsidRDefault="00E527C9" w:rsidP="006C637E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הכרות עם מושגים משפטיים מתחומי המשפט הציבורי</w:t>
            </w:r>
          </w:p>
        </w:tc>
      </w:tr>
    </w:tbl>
    <w:p w:rsidR="006C637E" w:rsidRDefault="006C637E" w:rsidP="006C637E">
      <w:pPr>
        <w:spacing w:line="480" w:lineRule="auto"/>
        <w:jc w:val="both"/>
        <w:rPr>
          <w:rFonts w:cs="David"/>
          <w:sz w:val="28"/>
          <w:szCs w:val="28"/>
          <w:rtl/>
        </w:rPr>
      </w:pPr>
    </w:p>
    <w:p w:rsidR="00E527C9" w:rsidRDefault="00E527C9" w:rsidP="00E527C9">
      <w:pPr>
        <w:pStyle w:val="a9"/>
        <w:numPr>
          <w:ilvl w:val="0"/>
          <w:numId w:val="1"/>
        </w:numPr>
        <w:bidi/>
        <w:spacing w:line="48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לעיונכם.</w:t>
      </w:r>
    </w:p>
    <w:p w:rsidR="00E527C9" w:rsidRPr="00E527C9" w:rsidRDefault="00E527C9" w:rsidP="00E527C9">
      <w:pPr>
        <w:spacing w:line="480" w:lineRule="auto"/>
        <w:ind w:left="5040" w:firstLine="720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ערן קמין </w:t>
      </w:r>
    </w:p>
    <w:p w:rsidR="00730A6C" w:rsidRDefault="00730A6C" w:rsidP="00730A6C">
      <w:pPr>
        <w:spacing w:line="480" w:lineRule="auto"/>
        <w:jc w:val="both"/>
        <w:rPr>
          <w:rFonts w:cs="David"/>
          <w:sz w:val="28"/>
          <w:szCs w:val="28"/>
          <w:rtl/>
        </w:rPr>
      </w:pPr>
    </w:p>
    <w:p w:rsidR="00730A6C" w:rsidRDefault="00730A6C" w:rsidP="00730A6C">
      <w:pPr>
        <w:spacing w:line="480" w:lineRule="auto"/>
        <w:jc w:val="both"/>
        <w:rPr>
          <w:rFonts w:cs="David"/>
          <w:sz w:val="28"/>
          <w:szCs w:val="28"/>
        </w:rPr>
      </w:pPr>
    </w:p>
    <w:sectPr w:rsidR="00730A6C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7D" w:rsidRDefault="00052F7D">
      <w:r>
        <w:separator/>
      </w:r>
    </w:p>
  </w:endnote>
  <w:endnote w:type="continuationSeparator" w:id="0">
    <w:p w:rsidR="00052F7D" w:rsidRDefault="000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7D" w:rsidRDefault="00052F7D">
      <w:r>
        <w:separator/>
      </w:r>
    </w:p>
  </w:footnote>
  <w:footnote w:type="continuationSeparator" w:id="0">
    <w:p w:rsidR="00052F7D" w:rsidRDefault="0005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1DFF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2F7D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3566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637E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0A6C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1872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27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709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43EF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7C9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0EB7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2AAC2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Grid Table 6 Colorful Accent 1"/>
    <w:basedOn w:val="a1"/>
    <w:uiPriority w:val="51"/>
    <w:rsid w:val="006C637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F914E9-4ABF-481B-A3A6-23806D18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5</cp:revision>
  <cp:lastPrinted>2018-08-16T07:24:00Z</cp:lastPrinted>
  <dcterms:created xsi:type="dcterms:W3CDTF">2020-01-05T07:22:00Z</dcterms:created>
  <dcterms:modified xsi:type="dcterms:W3CDTF">2020-01-05T15:40:00Z</dcterms:modified>
</cp:coreProperties>
</file>