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33" w:rsidRPr="008F2018" w:rsidRDefault="00001133" w:rsidP="00001133">
      <w:pPr>
        <w:tabs>
          <w:tab w:val="left" w:pos="9360"/>
        </w:tabs>
        <w:rPr>
          <w:b/>
          <w:bCs/>
          <w:szCs w:val="23"/>
        </w:rPr>
      </w:pPr>
      <w:bookmarkStart w:id="0" w:name="_GoBack"/>
      <w:bookmarkEnd w:id="0"/>
      <w:r>
        <w:rPr>
          <w:b/>
          <w:bCs/>
          <w:szCs w:val="23"/>
        </w:rPr>
        <w:t>DRAFT RESOLUTION</w:t>
      </w:r>
    </w:p>
    <w:p w:rsidR="00001133" w:rsidRPr="00F8259C" w:rsidRDefault="00001133" w:rsidP="00001133">
      <w:pPr>
        <w:tabs>
          <w:tab w:val="left" w:pos="9360"/>
        </w:tabs>
        <w:rPr>
          <w:szCs w:val="23"/>
        </w:rPr>
      </w:pPr>
    </w:p>
    <w:p w:rsidR="00001133" w:rsidRPr="00F8259C" w:rsidRDefault="00001133" w:rsidP="00001133">
      <w:pPr>
        <w:pStyle w:val="SingleTxt"/>
        <w:tabs>
          <w:tab w:val="left" w:pos="9360"/>
        </w:tabs>
        <w:spacing w:after="0" w:line="240" w:lineRule="auto"/>
        <w:ind w:left="0"/>
        <w:rPr>
          <w:sz w:val="23"/>
          <w:szCs w:val="23"/>
        </w:rPr>
      </w:pPr>
      <w:r w:rsidRPr="00F8259C">
        <w:rPr>
          <w:i/>
          <w:sz w:val="23"/>
          <w:szCs w:val="23"/>
        </w:rPr>
        <w:t>The Security Council</w:t>
      </w:r>
      <w:r w:rsidRPr="00F8259C">
        <w:rPr>
          <w:sz w:val="23"/>
          <w:szCs w:val="23"/>
        </w:rPr>
        <w:t>,</w:t>
      </w:r>
    </w:p>
    <w:p w:rsidR="00001133" w:rsidRDefault="00001133" w:rsidP="00001133">
      <w:pPr>
        <w:pStyle w:val="SingleTxt"/>
        <w:tabs>
          <w:tab w:val="left" w:pos="9360"/>
        </w:tabs>
        <w:spacing w:after="0" w:line="240" w:lineRule="auto"/>
        <w:ind w:left="0" w:right="360"/>
        <w:rPr>
          <w:i/>
          <w:sz w:val="23"/>
          <w:szCs w:val="23"/>
        </w:rPr>
      </w:pPr>
      <w:r>
        <w:rPr>
          <w:i/>
          <w:sz w:val="23"/>
          <w:szCs w:val="23"/>
        </w:rPr>
        <w:tab/>
      </w:r>
    </w:p>
    <w:p w:rsidR="00001133" w:rsidRDefault="00001133" w:rsidP="00001133">
      <w:pPr>
        <w:pStyle w:val="SingleTxt"/>
        <w:tabs>
          <w:tab w:val="left" w:pos="9360"/>
        </w:tabs>
        <w:spacing w:after="0" w:line="240" w:lineRule="auto"/>
        <w:ind w:left="0" w:right="360"/>
        <w:rPr>
          <w:sz w:val="23"/>
          <w:szCs w:val="23"/>
        </w:rPr>
      </w:pPr>
      <w:r w:rsidRPr="00F8259C">
        <w:rPr>
          <w:i/>
          <w:sz w:val="23"/>
          <w:szCs w:val="23"/>
        </w:rPr>
        <w:t>Re</w:t>
      </w:r>
      <w:r>
        <w:rPr>
          <w:i/>
          <w:sz w:val="23"/>
          <w:szCs w:val="23"/>
        </w:rPr>
        <w:t>affirm</w:t>
      </w:r>
      <w:r w:rsidRPr="00F8259C">
        <w:rPr>
          <w:i/>
          <w:sz w:val="23"/>
          <w:szCs w:val="23"/>
        </w:rPr>
        <w:t>ing</w:t>
      </w:r>
      <w:r w:rsidRPr="00F8259C">
        <w:rPr>
          <w:sz w:val="23"/>
          <w:szCs w:val="23"/>
        </w:rPr>
        <w:t xml:space="preserve"> its relevant resolutions, including resolutions 242 (1967), 338 (1973), 446 (1979), 452 (1979), 465 (1980), 476 (1980), 478 (1980), 1397 (2002), 1515 (2003), and 1850 (2008),</w:t>
      </w:r>
    </w:p>
    <w:p w:rsidR="00001133" w:rsidRDefault="00001133" w:rsidP="00001133">
      <w:pPr>
        <w:pStyle w:val="SingleTxt"/>
        <w:tabs>
          <w:tab w:val="left" w:pos="9360"/>
        </w:tabs>
        <w:spacing w:after="0" w:line="240" w:lineRule="auto"/>
        <w:ind w:left="0" w:right="360"/>
        <w:rPr>
          <w:sz w:val="23"/>
          <w:szCs w:val="23"/>
        </w:rPr>
      </w:pPr>
    </w:p>
    <w:p w:rsidR="00001133" w:rsidRPr="00F8259C" w:rsidRDefault="00001133" w:rsidP="00001133">
      <w:pPr>
        <w:pStyle w:val="SingleTxt"/>
        <w:tabs>
          <w:tab w:val="left" w:pos="9360"/>
        </w:tabs>
        <w:spacing w:after="0" w:line="240" w:lineRule="auto"/>
        <w:ind w:left="0" w:right="360"/>
        <w:rPr>
          <w:sz w:val="23"/>
          <w:szCs w:val="23"/>
        </w:rPr>
      </w:pPr>
      <w:r w:rsidRPr="00C50FB2">
        <w:rPr>
          <w:i/>
          <w:iCs/>
          <w:sz w:val="23"/>
          <w:szCs w:val="23"/>
        </w:rPr>
        <w:t>Guided</w:t>
      </w:r>
      <w:r>
        <w:rPr>
          <w:sz w:val="23"/>
          <w:szCs w:val="23"/>
        </w:rPr>
        <w:t xml:space="preserve"> by the purposes and principles of the Charter of the United Nations, and reaffirming, </w:t>
      </w:r>
      <w:r w:rsidRPr="00395081">
        <w:rPr>
          <w:i/>
          <w:iCs/>
          <w:sz w:val="23"/>
          <w:szCs w:val="23"/>
        </w:rPr>
        <w:t>inter alia</w:t>
      </w:r>
      <w:r>
        <w:rPr>
          <w:sz w:val="23"/>
          <w:szCs w:val="23"/>
        </w:rPr>
        <w:t>, the inadmissibility of the acquisition of territory by force,</w:t>
      </w:r>
      <w:r>
        <w:rPr>
          <w:sz w:val="23"/>
          <w:szCs w:val="23"/>
        </w:rPr>
        <w:tab/>
      </w:r>
    </w:p>
    <w:p w:rsidR="00001133" w:rsidRDefault="00001133" w:rsidP="00001133">
      <w:pPr>
        <w:pStyle w:val="SingleTxt"/>
        <w:tabs>
          <w:tab w:val="left" w:pos="9360"/>
        </w:tabs>
        <w:spacing w:after="0" w:line="240" w:lineRule="auto"/>
        <w:ind w:left="0" w:right="360"/>
        <w:rPr>
          <w:i/>
          <w:sz w:val="23"/>
          <w:szCs w:val="23"/>
        </w:rPr>
      </w:pPr>
      <w:r>
        <w:rPr>
          <w:i/>
          <w:sz w:val="23"/>
          <w:szCs w:val="23"/>
        </w:rPr>
        <w:tab/>
      </w:r>
    </w:p>
    <w:p w:rsidR="00001133" w:rsidRPr="00F73790" w:rsidRDefault="00001133" w:rsidP="00001133">
      <w:pPr>
        <w:pStyle w:val="SingleTxt"/>
        <w:tabs>
          <w:tab w:val="left" w:pos="9360"/>
        </w:tabs>
        <w:spacing w:after="0" w:line="240" w:lineRule="auto"/>
        <w:ind w:left="0" w:right="360"/>
        <w:rPr>
          <w:strike/>
          <w:sz w:val="23"/>
          <w:szCs w:val="23"/>
        </w:rPr>
      </w:pPr>
      <w:r w:rsidRPr="00F8259C">
        <w:rPr>
          <w:i/>
          <w:sz w:val="23"/>
          <w:szCs w:val="23"/>
        </w:rPr>
        <w:t>Reaffirming</w:t>
      </w:r>
      <w:r w:rsidRPr="00F8259C">
        <w:rPr>
          <w:sz w:val="23"/>
          <w:szCs w:val="23"/>
        </w:rPr>
        <w:t xml:space="preserve"> the </w:t>
      </w:r>
      <w:r>
        <w:rPr>
          <w:sz w:val="23"/>
          <w:szCs w:val="23"/>
        </w:rPr>
        <w:t xml:space="preserve">obligation of Israel, the occupying Power, to abide scrupulously by its legal obligations and responsibilities under the Fourth </w:t>
      </w:r>
      <w:r w:rsidRPr="00F8259C">
        <w:rPr>
          <w:sz w:val="23"/>
          <w:szCs w:val="23"/>
        </w:rPr>
        <w:t>Geneva Convention relativ</w:t>
      </w:r>
      <w:r>
        <w:rPr>
          <w:sz w:val="23"/>
          <w:szCs w:val="23"/>
        </w:rPr>
        <w:t>e to the Protection of Civilian</w:t>
      </w:r>
      <w:r>
        <w:rPr>
          <w:rFonts w:hint="cs"/>
          <w:sz w:val="23"/>
          <w:szCs w:val="23"/>
          <w:rtl/>
        </w:rPr>
        <w:t xml:space="preserve"> </w:t>
      </w:r>
      <w:r w:rsidRPr="00F8259C">
        <w:rPr>
          <w:sz w:val="23"/>
          <w:szCs w:val="23"/>
        </w:rPr>
        <w:t xml:space="preserve">Persons in Time of War, of 12 August 1949, </w:t>
      </w:r>
      <w:r w:rsidRPr="002175A6">
        <w:rPr>
          <w:sz w:val="23"/>
          <w:szCs w:val="23"/>
        </w:rPr>
        <w:t xml:space="preserve">and </w:t>
      </w:r>
      <w:r>
        <w:rPr>
          <w:i/>
          <w:iCs/>
          <w:sz w:val="23"/>
          <w:szCs w:val="23"/>
        </w:rPr>
        <w:t>r</w:t>
      </w:r>
      <w:r w:rsidRPr="00C50FB2">
        <w:rPr>
          <w:i/>
          <w:iCs/>
          <w:sz w:val="23"/>
          <w:szCs w:val="23"/>
        </w:rPr>
        <w:t>ecalling</w:t>
      </w:r>
      <w:r>
        <w:rPr>
          <w:sz w:val="23"/>
          <w:szCs w:val="23"/>
        </w:rPr>
        <w:t xml:space="preserve"> the advisory opinion rendered on 9 July 2004 by the International Court of Justice,</w:t>
      </w:r>
    </w:p>
    <w:p w:rsidR="00001133" w:rsidRDefault="00001133" w:rsidP="00001133">
      <w:pPr>
        <w:pStyle w:val="SingleTxt"/>
        <w:tabs>
          <w:tab w:val="left" w:pos="8280"/>
          <w:tab w:val="left" w:pos="9360"/>
        </w:tabs>
        <w:spacing w:after="0" w:line="240" w:lineRule="auto"/>
        <w:ind w:left="0" w:right="0"/>
        <w:rPr>
          <w:i/>
          <w:sz w:val="23"/>
          <w:szCs w:val="23"/>
        </w:rPr>
      </w:pPr>
      <w:r>
        <w:rPr>
          <w:i/>
          <w:sz w:val="23"/>
          <w:szCs w:val="23"/>
        </w:rPr>
        <w:tab/>
      </w:r>
    </w:p>
    <w:p w:rsidR="00001133" w:rsidRPr="00F8259C" w:rsidRDefault="00001133" w:rsidP="00001133">
      <w:pPr>
        <w:pStyle w:val="SingleTxt"/>
        <w:tabs>
          <w:tab w:val="left" w:pos="9360"/>
        </w:tabs>
        <w:spacing w:after="0" w:line="240" w:lineRule="auto"/>
        <w:ind w:left="0" w:right="0"/>
        <w:rPr>
          <w:sz w:val="23"/>
          <w:szCs w:val="23"/>
        </w:rPr>
      </w:pPr>
      <w:r w:rsidRPr="00F8259C">
        <w:rPr>
          <w:i/>
          <w:sz w:val="23"/>
          <w:szCs w:val="23"/>
        </w:rPr>
        <w:t>Condemning</w:t>
      </w:r>
      <w:r w:rsidRPr="00F8259C">
        <w:rPr>
          <w:sz w:val="23"/>
          <w:szCs w:val="23"/>
        </w:rPr>
        <w:t xml:space="preserve"> </w:t>
      </w:r>
      <w:r>
        <w:rPr>
          <w:sz w:val="23"/>
          <w:szCs w:val="23"/>
        </w:rPr>
        <w:t>a</w:t>
      </w:r>
      <w:r w:rsidRPr="00F8259C">
        <w:rPr>
          <w:sz w:val="23"/>
          <w:szCs w:val="23"/>
        </w:rPr>
        <w:t xml:space="preserve">ll measures aimed at altering the demographic composition, character and status of the </w:t>
      </w:r>
      <w:r>
        <w:rPr>
          <w:sz w:val="23"/>
          <w:szCs w:val="23"/>
        </w:rPr>
        <w:t xml:space="preserve">Palestinian </w:t>
      </w:r>
      <w:r w:rsidRPr="00F8259C">
        <w:rPr>
          <w:sz w:val="23"/>
          <w:szCs w:val="23"/>
        </w:rPr>
        <w:t>Territory</w:t>
      </w:r>
      <w:r>
        <w:rPr>
          <w:sz w:val="23"/>
          <w:szCs w:val="23"/>
        </w:rPr>
        <w:t xml:space="preserve"> occupied since 1967</w:t>
      </w:r>
      <w:r w:rsidRPr="00F8259C">
        <w:rPr>
          <w:sz w:val="23"/>
          <w:szCs w:val="23"/>
        </w:rPr>
        <w:t>,</w:t>
      </w:r>
      <w:r>
        <w:rPr>
          <w:sz w:val="23"/>
          <w:szCs w:val="23"/>
        </w:rPr>
        <w:t xml:space="preserve"> including East Jerusalem, including, </w:t>
      </w:r>
      <w:r w:rsidRPr="0033136B">
        <w:rPr>
          <w:i/>
          <w:iCs/>
          <w:sz w:val="23"/>
          <w:szCs w:val="23"/>
        </w:rPr>
        <w:t>inter alia</w:t>
      </w:r>
      <w:r>
        <w:rPr>
          <w:sz w:val="23"/>
          <w:szCs w:val="23"/>
        </w:rPr>
        <w:t xml:space="preserve">, </w:t>
      </w:r>
      <w:r w:rsidRPr="002175A6">
        <w:rPr>
          <w:sz w:val="23"/>
          <w:szCs w:val="23"/>
        </w:rPr>
        <w:t>the</w:t>
      </w:r>
      <w:r>
        <w:rPr>
          <w:sz w:val="23"/>
          <w:szCs w:val="23"/>
        </w:rPr>
        <w:t xml:space="preserve"> construction and expansion of settlements, transfer of Israeli settlers, confiscation of land,  demolition of homes </w:t>
      </w:r>
      <w:r w:rsidRPr="000C49C6">
        <w:rPr>
          <w:sz w:val="23"/>
          <w:szCs w:val="23"/>
        </w:rPr>
        <w:t xml:space="preserve">and </w:t>
      </w:r>
      <w:r w:rsidRPr="007851F4">
        <w:rPr>
          <w:sz w:val="23"/>
          <w:szCs w:val="23"/>
        </w:rPr>
        <w:t>displacement</w:t>
      </w:r>
      <w:r>
        <w:rPr>
          <w:sz w:val="23"/>
          <w:szCs w:val="23"/>
        </w:rPr>
        <w:t xml:space="preserve"> </w:t>
      </w:r>
      <w:r w:rsidRPr="007851F4">
        <w:rPr>
          <w:sz w:val="23"/>
          <w:szCs w:val="23"/>
        </w:rPr>
        <w:t>of</w:t>
      </w:r>
      <w:r w:rsidRPr="000C49C6">
        <w:rPr>
          <w:sz w:val="23"/>
          <w:szCs w:val="23"/>
        </w:rPr>
        <w:t xml:space="preserve"> Palestinian civilians</w:t>
      </w:r>
      <w:r>
        <w:rPr>
          <w:sz w:val="23"/>
          <w:szCs w:val="23"/>
        </w:rPr>
        <w:t>,</w:t>
      </w:r>
      <w:r w:rsidRPr="00F8259C">
        <w:rPr>
          <w:sz w:val="23"/>
          <w:szCs w:val="23"/>
        </w:rPr>
        <w:t xml:space="preserve"> in violation of international humanitarian law and relevant resolutions,</w:t>
      </w:r>
    </w:p>
    <w:p w:rsidR="00001133" w:rsidRDefault="00001133" w:rsidP="00001133">
      <w:pPr>
        <w:pStyle w:val="SingleTxt"/>
        <w:tabs>
          <w:tab w:val="left" w:pos="9360"/>
        </w:tabs>
        <w:spacing w:after="0" w:line="240" w:lineRule="auto"/>
        <w:ind w:left="0" w:right="0"/>
        <w:rPr>
          <w:i/>
          <w:sz w:val="23"/>
          <w:szCs w:val="23"/>
        </w:rPr>
      </w:pPr>
    </w:p>
    <w:p w:rsidR="00001133" w:rsidRDefault="00001133" w:rsidP="00001133">
      <w:pPr>
        <w:pStyle w:val="SingleTxt"/>
        <w:tabs>
          <w:tab w:val="left" w:pos="9360"/>
        </w:tabs>
        <w:spacing w:after="0" w:line="240" w:lineRule="auto"/>
        <w:ind w:left="0" w:right="0"/>
        <w:rPr>
          <w:iCs/>
          <w:sz w:val="23"/>
          <w:szCs w:val="23"/>
        </w:rPr>
      </w:pPr>
      <w:r>
        <w:rPr>
          <w:i/>
          <w:sz w:val="23"/>
          <w:szCs w:val="23"/>
        </w:rPr>
        <w:t xml:space="preserve">Expressing </w:t>
      </w:r>
      <w:proofErr w:type="gramStart"/>
      <w:r w:rsidRPr="000C49C6">
        <w:rPr>
          <w:iCs/>
          <w:sz w:val="23"/>
          <w:szCs w:val="23"/>
        </w:rPr>
        <w:t>grave</w:t>
      </w:r>
      <w:r w:rsidRPr="0033136B">
        <w:rPr>
          <w:i/>
          <w:sz w:val="23"/>
          <w:szCs w:val="23"/>
        </w:rPr>
        <w:t xml:space="preserve"> </w:t>
      </w:r>
      <w:r w:rsidRPr="000C49C6">
        <w:rPr>
          <w:iCs/>
          <w:sz w:val="23"/>
          <w:szCs w:val="23"/>
        </w:rPr>
        <w:t>concern</w:t>
      </w:r>
      <w:proofErr w:type="gramEnd"/>
      <w:r>
        <w:rPr>
          <w:iCs/>
          <w:sz w:val="23"/>
          <w:szCs w:val="23"/>
        </w:rPr>
        <w:t xml:space="preserve"> that continuing Israeli settlement activities are dangerously imperilling the viability of the two-State solution based on the 1967 lines,</w:t>
      </w:r>
    </w:p>
    <w:p w:rsidR="00001133" w:rsidRDefault="00001133" w:rsidP="00001133">
      <w:pPr>
        <w:pStyle w:val="SingleTxt"/>
        <w:tabs>
          <w:tab w:val="left" w:pos="9360"/>
        </w:tabs>
        <w:spacing w:after="0" w:line="240" w:lineRule="auto"/>
        <w:ind w:left="0" w:right="0"/>
        <w:rPr>
          <w:i/>
          <w:sz w:val="23"/>
          <w:szCs w:val="23"/>
        </w:rPr>
      </w:pPr>
      <w:r>
        <w:rPr>
          <w:i/>
          <w:sz w:val="23"/>
          <w:szCs w:val="23"/>
        </w:rPr>
        <w:tab/>
      </w:r>
      <w:r>
        <w:rPr>
          <w:i/>
          <w:sz w:val="23"/>
          <w:szCs w:val="23"/>
        </w:rPr>
        <w:tab/>
      </w:r>
    </w:p>
    <w:p w:rsidR="00001133" w:rsidRDefault="00001133" w:rsidP="00001133">
      <w:pPr>
        <w:pStyle w:val="SingleTxt"/>
        <w:tabs>
          <w:tab w:val="left" w:pos="9360"/>
        </w:tabs>
        <w:spacing w:after="0" w:line="240" w:lineRule="auto"/>
        <w:ind w:left="0" w:right="0"/>
        <w:rPr>
          <w:sz w:val="23"/>
          <w:szCs w:val="23"/>
          <w:rtl/>
        </w:rPr>
      </w:pPr>
      <w:r>
        <w:rPr>
          <w:i/>
          <w:sz w:val="23"/>
          <w:szCs w:val="23"/>
        </w:rPr>
        <w:t>Recalling</w:t>
      </w:r>
      <w:r w:rsidRPr="00F8259C">
        <w:rPr>
          <w:sz w:val="23"/>
          <w:szCs w:val="23"/>
        </w:rPr>
        <w:t xml:space="preserve"> the obligation under the Quartet Roadmap, endorsed by its resolution 1515 (2003), for a freeze by Israel of all settlement activity, including “natural growth”, and the dismantlement of all settlement outposts erected since March 2001,</w:t>
      </w:r>
    </w:p>
    <w:p w:rsidR="00001133" w:rsidRDefault="00001133" w:rsidP="00001133">
      <w:pPr>
        <w:pStyle w:val="SingleTxt"/>
        <w:tabs>
          <w:tab w:val="left" w:pos="9360"/>
        </w:tabs>
        <w:spacing w:after="0" w:line="240" w:lineRule="auto"/>
        <w:ind w:left="0" w:right="0"/>
        <w:rPr>
          <w:sz w:val="23"/>
          <w:szCs w:val="23"/>
          <w:rtl/>
        </w:rPr>
      </w:pPr>
    </w:p>
    <w:p w:rsidR="00001133" w:rsidRPr="002175A6" w:rsidRDefault="00001133" w:rsidP="00001133">
      <w:pPr>
        <w:pStyle w:val="SingleTxt"/>
        <w:tabs>
          <w:tab w:val="left" w:pos="9360"/>
        </w:tabs>
        <w:spacing w:after="0" w:line="240" w:lineRule="auto"/>
        <w:ind w:left="0" w:right="0"/>
        <w:rPr>
          <w:i/>
          <w:iCs/>
          <w:sz w:val="23"/>
          <w:szCs w:val="23"/>
        </w:rPr>
      </w:pPr>
      <w:r w:rsidRPr="002175A6">
        <w:rPr>
          <w:i/>
          <w:iCs/>
          <w:sz w:val="23"/>
          <w:szCs w:val="23"/>
          <w:lang w:val="en-US"/>
        </w:rPr>
        <w:t>R</w:t>
      </w:r>
      <w:proofErr w:type="spellStart"/>
      <w:r w:rsidRPr="002175A6">
        <w:rPr>
          <w:i/>
          <w:iCs/>
          <w:sz w:val="23"/>
          <w:szCs w:val="23"/>
        </w:rPr>
        <w:t>ecalling</w:t>
      </w:r>
      <w:proofErr w:type="spellEnd"/>
      <w:r w:rsidRPr="002175A6">
        <w:rPr>
          <w:sz w:val="23"/>
          <w:szCs w:val="23"/>
        </w:rPr>
        <w:t xml:space="preserve"> also the obligation under the Quartet roadmap for the Palestinian Authority Security Forces to maintain effective operations aimed at confronting all those engaged in terror and dismantling terrorist capabilities, including the confiscation of illegal weapons,  </w:t>
      </w:r>
      <w:r w:rsidRPr="002175A6">
        <w:rPr>
          <w:i/>
          <w:iCs/>
          <w:sz w:val="23"/>
          <w:szCs w:val="23"/>
        </w:rPr>
        <w:t xml:space="preserve">  </w:t>
      </w:r>
    </w:p>
    <w:p w:rsidR="00001133" w:rsidRDefault="00001133" w:rsidP="00001133">
      <w:pPr>
        <w:pStyle w:val="SingleTxt"/>
        <w:tabs>
          <w:tab w:val="left" w:pos="9360"/>
        </w:tabs>
        <w:spacing w:after="0" w:line="240" w:lineRule="auto"/>
        <w:ind w:left="0" w:right="0"/>
        <w:rPr>
          <w:sz w:val="23"/>
          <w:szCs w:val="23"/>
        </w:rPr>
      </w:pPr>
    </w:p>
    <w:p w:rsidR="00001133" w:rsidRPr="00F8259C" w:rsidRDefault="00001133" w:rsidP="002175A6">
      <w:pPr>
        <w:pStyle w:val="SingleTxt"/>
        <w:tabs>
          <w:tab w:val="left" w:pos="9360"/>
        </w:tabs>
        <w:spacing w:after="0" w:line="240" w:lineRule="auto"/>
        <w:ind w:left="0" w:right="0"/>
        <w:rPr>
          <w:sz w:val="23"/>
          <w:szCs w:val="23"/>
        </w:rPr>
      </w:pPr>
      <w:r w:rsidRPr="0033136B">
        <w:rPr>
          <w:i/>
          <w:iCs/>
          <w:sz w:val="23"/>
          <w:szCs w:val="23"/>
        </w:rPr>
        <w:t>Condemning</w:t>
      </w:r>
      <w:r>
        <w:rPr>
          <w:sz w:val="23"/>
          <w:szCs w:val="23"/>
        </w:rPr>
        <w:t xml:space="preserve"> all acts of violence against civilians, including acts of terror, as well as all acts of provocation, incitement and destruction,</w:t>
      </w:r>
    </w:p>
    <w:p w:rsidR="00001133" w:rsidRDefault="00001133" w:rsidP="00001133">
      <w:pPr>
        <w:pStyle w:val="SingleTxt"/>
        <w:tabs>
          <w:tab w:val="left" w:pos="9360"/>
        </w:tabs>
        <w:spacing w:after="0" w:line="240" w:lineRule="auto"/>
        <w:ind w:left="0" w:right="0"/>
        <w:rPr>
          <w:i/>
          <w:sz w:val="23"/>
          <w:szCs w:val="23"/>
        </w:rPr>
      </w:pPr>
    </w:p>
    <w:p w:rsidR="00001133" w:rsidRDefault="00001133" w:rsidP="00001133">
      <w:pPr>
        <w:pStyle w:val="SingleTxt"/>
        <w:tabs>
          <w:tab w:val="left" w:pos="9360"/>
        </w:tabs>
        <w:spacing w:after="0" w:line="240" w:lineRule="auto"/>
        <w:ind w:left="0" w:right="0"/>
        <w:rPr>
          <w:sz w:val="23"/>
          <w:szCs w:val="23"/>
        </w:rPr>
      </w:pPr>
      <w:r w:rsidRPr="00F8259C">
        <w:rPr>
          <w:i/>
          <w:sz w:val="23"/>
          <w:szCs w:val="23"/>
        </w:rPr>
        <w:t>Reiterating</w:t>
      </w:r>
      <w:r w:rsidRPr="00F8259C">
        <w:rPr>
          <w:sz w:val="23"/>
          <w:szCs w:val="23"/>
        </w:rPr>
        <w:t xml:space="preserve"> its vision of a region where two democratic States, Israel and Palestine, live side by side in peace within secure and recognized borders,</w:t>
      </w:r>
    </w:p>
    <w:p w:rsidR="00001133" w:rsidRPr="008A2C4E" w:rsidRDefault="00001133" w:rsidP="00001133">
      <w:pPr>
        <w:pStyle w:val="SingleTxt"/>
        <w:tabs>
          <w:tab w:val="left" w:pos="9360"/>
        </w:tabs>
        <w:spacing w:after="0" w:line="240" w:lineRule="auto"/>
        <w:ind w:left="0" w:right="0"/>
        <w:rPr>
          <w:i/>
          <w:sz w:val="23"/>
          <w:szCs w:val="23"/>
        </w:rPr>
      </w:pPr>
      <w:r>
        <w:rPr>
          <w:i/>
          <w:sz w:val="23"/>
          <w:szCs w:val="23"/>
        </w:rPr>
        <w:tab/>
      </w:r>
    </w:p>
    <w:p w:rsidR="00001133" w:rsidRPr="004B2FBB" w:rsidRDefault="00001133" w:rsidP="00001133">
      <w:pPr>
        <w:pStyle w:val="SingleTxt"/>
        <w:tabs>
          <w:tab w:val="left" w:pos="9360"/>
        </w:tabs>
        <w:spacing w:after="0" w:line="240" w:lineRule="auto"/>
        <w:ind w:left="0" w:right="0"/>
        <w:rPr>
          <w:sz w:val="23"/>
          <w:szCs w:val="23"/>
        </w:rPr>
      </w:pPr>
      <w:proofErr w:type="gramStart"/>
      <w:r w:rsidRPr="000C49C6">
        <w:rPr>
          <w:i/>
          <w:iCs/>
          <w:sz w:val="23"/>
          <w:szCs w:val="23"/>
        </w:rPr>
        <w:t>Stressing</w:t>
      </w:r>
      <w:r>
        <w:rPr>
          <w:sz w:val="23"/>
          <w:szCs w:val="23"/>
        </w:rPr>
        <w:t xml:space="preserve"> that the status quo is not sustainable and that significant steps, consistent with the transition contemplated by prior agreements, are urgently needed in order to (</w:t>
      </w:r>
      <w:proofErr w:type="spellStart"/>
      <w:r>
        <w:rPr>
          <w:sz w:val="23"/>
          <w:szCs w:val="23"/>
        </w:rPr>
        <w:t>i</w:t>
      </w:r>
      <w:proofErr w:type="spellEnd"/>
      <w:r>
        <w:rPr>
          <w:sz w:val="23"/>
          <w:szCs w:val="23"/>
        </w:rPr>
        <w:t xml:space="preserve">) stabilize the situation and to reverse negative trends on the ground, which are steadily eroding the two-State solution and entrenching a one-State reality, and (ii) to create the conditions for successful final status negotiations </w:t>
      </w:r>
      <w:r w:rsidRPr="004B2FBB">
        <w:rPr>
          <w:sz w:val="23"/>
          <w:szCs w:val="23"/>
        </w:rPr>
        <w:t>and for advancing the two-State solution through those negotiations and on the ground,</w:t>
      </w:r>
      <w:proofErr w:type="gramEnd"/>
    </w:p>
    <w:p w:rsidR="00001133" w:rsidRPr="00F8259C" w:rsidRDefault="00001133" w:rsidP="00001133">
      <w:pPr>
        <w:pStyle w:val="SingleTxt"/>
        <w:tabs>
          <w:tab w:val="left" w:pos="9360"/>
        </w:tabs>
        <w:spacing w:after="0" w:line="240" w:lineRule="auto"/>
        <w:ind w:left="0" w:right="0"/>
        <w:rPr>
          <w:sz w:val="23"/>
          <w:szCs w:val="23"/>
        </w:rPr>
      </w:pPr>
    </w:p>
    <w:p w:rsidR="00001133" w:rsidRDefault="00001133" w:rsidP="00001133">
      <w:pPr>
        <w:pStyle w:val="SingleTxt"/>
        <w:numPr>
          <w:ilvl w:val="0"/>
          <w:numId w:val="1"/>
        </w:numPr>
        <w:tabs>
          <w:tab w:val="left" w:pos="9360"/>
        </w:tabs>
        <w:spacing w:after="0" w:line="240" w:lineRule="auto"/>
        <w:ind w:right="0"/>
        <w:rPr>
          <w:sz w:val="23"/>
          <w:szCs w:val="23"/>
        </w:rPr>
      </w:pPr>
      <w:r w:rsidRPr="00F8259C">
        <w:rPr>
          <w:i/>
          <w:sz w:val="23"/>
          <w:szCs w:val="23"/>
        </w:rPr>
        <w:t>Reaffirms</w:t>
      </w:r>
      <w:r w:rsidRPr="00F8259C">
        <w:rPr>
          <w:sz w:val="23"/>
          <w:szCs w:val="23"/>
        </w:rPr>
        <w:t xml:space="preserve"> that the</w:t>
      </w:r>
      <w:r>
        <w:rPr>
          <w:sz w:val="23"/>
          <w:szCs w:val="23"/>
        </w:rPr>
        <w:t xml:space="preserve"> establishment by</w:t>
      </w:r>
      <w:r w:rsidRPr="00F8259C">
        <w:rPr>
          <w:sz w:val="23"/>
          <w:szCs w:val="23"/>
        </w:rPr>
        <w:t xml:space="preserve"> Israel </w:t>
      </w:r>
      <w:r>
        <w:rPr>
          <w:sz w:val="23"/>
          <w:szCs w:val="23"/>
        </w:rPr>
        <w:t xml:space="preserve">of </w:t>
      </w:r>
      <w:r w:rsidRPr="00F8259C">
        <w:rPr>
          <w:sz w:val="23"/>
          <w:szCs w:val="23"/>
        </w:rPr>
        <w:t xml:space="preserve">settlements in the Palestinian </w:t>
      </w:r>
      <w:r>
        <w:rPr>
          <w:sz w:val="23"/>
          <w:szCs w:val="23"/>
        </w:rPr>
        <w:t>t</w:t>
      </w:r>
      <w:r w:rsidRPr="00F8259C">
        <w:rPr>
          <w:sz w:val="23"/>
          <w:szCs w:val="23"/>
        </w:rPr>
        <w:t>erritory occupied since 1967, including East Jerusalem,</w:t>
      </w:r>
      <w:r>
        <w:rPr>
          <w:sz w:val="23"/>
          <w:szCs w:val="23"/>
        </w:rPr>
        <w:t xml:space="preserve"> has no legal validity </w:t>
      </w:r>
      <w:r w:rsidRPr="00F8259C">
        <w:rPr>
          <w:sz w:val="23"/>
          <w:szCs w:val="23"/>
        </w:rPr>
        <w:t>and constitute</w:t>
      </w:r>
      <w:r>
        <w:rPr>
          <w:sz w:val="23"/>
          <w:szCs w:val="23"/>
        </w:rPr>
        <w:t xml:space="preserve">s a </w:t>
      </w:r>
      <w:r w:rsidRPr="00672A6D">
        <w:rPr>
          <w:sz w:val="23"/>
          <w:szCs w:val="23"/>
        </w:rPr>
        <w:lastRenderedPageBreak/>
        <w:t>flagrant</w:t>
      </w:r>
      <w:r>
        <w:rPr>
          <w:sz w:val="23"/>
          <w:szCs w:val="23"/>
        </w:rPr>
        <w:t xml:space="preserve"> violation under international law and</w:t>
      </w:r>
      <w:r w:rsidRPr="00F8259C">
        <w:rPr>
          <w:sz w:val="23"/>
          <w:szCs w:val="23"/>
        </w:rPr>
        <w:t xml:space="preserve"> a major obstacle to the achievement of </w:t>
      </w:r>
      <w:r>
        <w:rPr>
          <w:sz w:val="23"/>
          <w:szCs w:val="23"/>
        </w:rPr>
        <w:t xml:space="preserve">the two-State solution and </w:t>
      </w:r>
      <w:r w:rsidRPr="00F8259C">
        <w:rPr>
          <w:sz w:val="23"/>
          <w:szCs w:val="23"/>
        </w:rPr>
        <w:t>a just, lasting and comprehensive peace;</w:t>
      </w:r>
    </w:p>
    <w:p w:rsidR="00001133" w:rsidRPr="00F8259C" w:rsidRDefault="00001133" w:rsidP="00001133">
      <w:pPr>
        <w:pStyle w:val="SingleTxt"/>
        <w:tabs>
          <w:tab w:val="left" w:pos="9360"/>
        </w:tabs>
        <w:spacing w:after="0" w:line="240" w:lineRule="auto"/>
        <w:ind w:left="1740" w:right="0"/>
        <w:rPr>
          <w:sz w:val="23"/>
          <w:szCs w:val="23"/>
        </w:rPr>
      </w:pPr>
    </w:p>
    <w:p w:rsidR="00001133" w:rsidRDefault="00001133" w:rsidP="00001133">
      <w:pPr>
        <w:pStyle w:val="SingleTxt"/>
        <w:numPr>
          <w:ilvl w:val="0"/>
          <w:numId w:val="1"/>
        </w:numPr>
        <w:tabs>
          <w:tab w:val="left" w:pos="9360"/>
        </w:tabs>
        <w:spacing w:after="0" w:line="240" w:lineRule="auto"/>
        <w:ind w:right="0"/>
        <w:rPr>
          <w:sz w:val="23"/>
          <w:szCs w:val="23"/>
        </w:rPr>
      </w:pPr>
      <w:r w:rsidRPr="00F8259C">
        <w:rPr>
          <w:i/>
          <w:sz w:val="23"/>
          <w:szCs w:val="23"/>
        </w:rPr>
        <w:t>Reiterates</w:t>
      </w:r>
      <w:r>
        <w:rPr>
          <w:sz w:val="23"/>
          <w:szCs w:val="23"/>
        </w:rPr>
        <w:t xml:space="preserve"> its demand that Israel </w:t>
      </w:r>
      <w:r w:rsidRPr="00F8259C">
        <w:rPr>
          <w:sz w:val="23"/>
          <w:szCs w:val="23"/>
        </w:rPr>
        <w:t xml:space="preserve">immediately and completely cease all settlement activities </w:t>
      </w:r>
      <w:r>
        <w:rPr>
          <w:sz w:val="23"/>
          <w:szCs w:val="23"/>
        </w:rPr>
        <w:t>in the occupied Palestinian territory, including East Jerusalem,</w:t>
      </w:r>
      <w:r w:rsidRPr="00F8259C">
        <w:rPr>
          <w:sz w:val="23"/>
          <w:szCs w:val="23"/>
        </w:rPr>
        <w:t xml:space="preserve"> and that it fully respect all of its legal obligations in this regard;</w:t>
      </w:r>
    </w:p>
    <w:p w:rsidR="00001133" w:rsidRDefault="00001133" w:rsidP="00001133">
      <w:pPr>
        <w:pStyle w:val="ListParagraph"/>
        <w:rPr>
          <w:szCs w:val="23"/>
        </w:rPr>
      </w:pPr>
    </w:p>
    <w:p w:rsidR="00001133" w:rsidRPr="004B2FBB" w:rsidRDefault="00001133" w:rsidP="00001133">
      <w:pPr>
        <w:pStyle w:val="SingleTxt"/>
        <w:numPr>
          <w:ilvl w:val="0"/>
          <w:numId w:val="1"/>
        </w:numPr>
        <w:tabs>
          <w:tab w:val="left" w:pos="9360"/>
        </w:tabs>
        <w:spacing w:after="0" w:line="240" w:lineRule="auto"/>
        <w:ind w:right="0"/>
        <w:rPr>
          <w:sz w:val="23"/>
          <w:szCs w:val="23"/>
        </w:rPr>
      </w:pPr>
      <w:r w:rsidRPr="0063279F">
        <w:rPr>
          <w:i/>
          <w:iCs/>
          <w:sz w:val="23"/>
          <w:szCs w:val="23"/>
        </w:rPr>
        <w:t>Underlines</w:t>
      </w:r>
      <w:r>
        <w:rPr>
          <w:sz w:val="23"/>
          <w:szCs w:val="23"/>
        </w:rPr>
        <w:t xml:space="preserve"> that it will not recognize any changes to the </w:t>
      </w:r>
      <w:r w:rsidRPr="000C49C6">
        <w:rPr>
          <w:sz w:val="23"/>
          <w:szCs w:val="23"/>
        </w:rPr>
        <w:t xml:space="preserve">4 </w:t>
      </w:r>
      <w:r>
        <w:rPr>
          <w:sz w:val="23"/>
          <w:szCs w:val="23"/>
        </w:rPr>
        <w:t xml:space="preserve">June 1967 lines, including with regard to Jerusalem, other than those agreed by the parties </w:t>
      </w:r>
      <w:r w:rsidRPr="004B2FBB">
        <w:rPr>
          <w:sz w:val="23"/>
          <w:szCs w:val="23"/>
        </w:rPr>
        <w:t>through negotiations;</w:t>
      </w:r>
    </w:p>
    <w:p w:rsidR="00001133" w:rsidRDefault="00001133" w:rsidP="00001133">
      <w:pPr>
        <w:pStyle w:val="ListParagraph"/>
        <w:rPr>
          <w:szCs w:val="23"/>
        </w:rPr>
      </w:pPr>
    </w:p>
    <w:p w:rsidR="00001133" w:rsidRDefault="00001133" w:rsidP="00001133">
      <w:pPr>
        <w:pStyle w:val="SingleTxt"/>
        <w:numPr>
          <w:ilvl w:val="0"/>
          <w:numId w:val="1"/>
        </w:numPr>
        <w:tabs>
          <w:tab w:val="left" w:pos="9360"/>
        </w:tabs>
        <w:spacing w:after="0" w:line="240" w:lineRule="auto"/>
        <w:ind w:right="0"/>
        <w:rPr>
          <w:sz w:val="23"/>
          <w:szCs w:val="23"/>
        </w:rPr>
      </w:pPr>
      <w:r w:rsidRPr="0063279F">
        <w:rPr>
          <w:i/>
          <w:iCs/>
          <w:sz w:val="23"/>
          <w:szCs w:val="23"/>
        </w:rPr>
        <w:t>Stresses</w:t>
      </w:r>
      <w:r>
        <w:rPr>
          <w:sz w:val="23"/>
          <w:szCs w:val="23"/>
        </w:rPr>
        <w:t xml:space="preserve"> that the cessation of all Israeli settlement activities is essential for salvaging the two-State solution, and calls for affirmative steps to be taken immediately to reverse the negative trends on the ground that are imperilling the two-State solution;</w:t>
      </w:r>
    </w:p>
    <w:p w:rsidR="00001133" w:rsidRPr="005B4408" w:rsidRDefault="00001133" w:rsidP="00001133">
      <w:pPr>
        <w:pStyle w:val="ListParagraph"/>
        <w:rPr>
          <w:szCs w:val="23"/>
          <w:lang w:val="en-GB"/>
        </w:rPr>
      </w:pPr>
    </w:p>
    <w:p w:rsidR="00001133" w:rsidRPr="007851F4" w:rsidRDefault="00001133" w:rsidP="00001133">
      <w:pPr>
        <w:pStyle w:val="SingleTxt"/>
        <w:numPr>
          <w:ilvl w:val="0"/>
          <w:numId w:val="1"/>
        </w:numPr>
        <w:tabs>
          <w:tab w:val="left" w:pos="9360"/>
        </w:tabs>
        <w:spacing w:after="0" w:line="240" w:lineRule="auto"/>
        <w:ind w:right="0"/>
        <w:rPr>
          <w:szCs w:val="23"/>
        </w:rPr>
      </w:pPr>
      <w:r w:rsidRPr="004B2FBB">
        <w:rPr>
          <w:i/>
          <w:iCs/>
          <w:sz w:val="23"/>
          <w:szCs w:val="23"/>
        </w:rPr>
        <w:t>Calls</w:t>
      </w:r>
      <w:r>
        <w:rPr>
          <w:sz w:val="23"/>
          <w:szCs w:val="23"/>
        </w:rPr>
        <w:t xml:space="preserve"> upon</w:t>
      </w:r>
      <w:r>
        <w:rPr>
          <w:rFonts w:hint="cs"/>
          <w:sz w:val="23"/>
          <w:szCs w:val="23"/>
          <w:rtl/>
        </w:rPr>
        <w:t xml:space="preserve"> </w:t>
      </w:r>
      <w:r w:rsidRPr="004B2FBB">
        <w:rPr>
          <w:sz w:val="23"/>
          <w:szCs w:val="23"/>
        </w:rPr>
        <w:t>all States, bearing in mind paragraph 1 of this resolution, to distinguish</w:t>
      </w:r>
      <w:r w:rsidRPr="004B2FBB">
        <w:rPr>
          <w:b/>
          <w:bCs/>
          <w:sz w:val="23"/>
          <w:szCs w:val="23"/>
        </w:rPr>
        <w:t xml:space="preserve">, </w:t>
      </w:r>
      <w:r w:rsidRPr="004B2FBB">
        <w:rPr>
          <w:sz w:val="23"/>
          <w:szCs w:val="23"/>
        </w:rPr>
        <w:t xml:space="preserve">in their relevant dealings, between the territory of the State of Israel and the </w:t>
      </w:r>
      <w:r>
        <w:rPr>
          <w:sz w:val="23"/>
          <w:szCs w:val="23"/>
        </w:rPr>
        <w:t xml:space="preserve">territories occupied since 1967; </w:t>
      </w:r>
    </w:p>
    <w:p w:rsidR="00001133" w:rsidRPr="004B2FBB" w:rsidRDefault="00001133" w:rsidP="00001133">
      <w:pPr>
        <w:pStyle w:val="SingleTxt"/>
        <w:tabs>
          <w:tab w:val="left" w:pos="9360"/>
        </w:tabs>
        <w:spacing w:after="0" w:line="240" w:lineRule="auto"/>
        <w:ind w:left="0" w:right="0"/>
        <w:rPr>
          <w:szCs w:val="23"/>
        </w:rPr>
      </w:pPr>
    </w:p>
    <w:p w:rsidR="00001133" w:rsidRPr="001032A4" w:rsidRDefault="00001133" w:rsidP="002175A6">
      <w:pPr>
        <w:pStyle w:val="SingleTxt"/>
        <w:numPr>
          <w:ilvl w:val="0"/>
          <w:numId w:val="1"/>
        </w:numPr>
        <w:tabs>
          <w:tab w:val="left" w:pos="9360"/>
        </w:tabs>
        <w:spacing w:after="0" w:line="240" w:lineRule="auto"/>
        <w:ind w:right="0"/>
        <w:rPr>
          <w:sz w:val="23"/>
          <w:szCs w:val="23"/>
        </w:rPr>
      </w:pPr>
      <w:r w:rsidRPr="00F267AD">
        <w:rPr>
          <w:i/>
          <w:iCs/>
          <w:sz w:val="23"/>
          <w:szCs w:val="23"/>
        </w:rPr>
        <w:t>Calls</w:t>
      </w:r>
      <w:r>
        <w:rPr>
          <w:i/>
          <w:iCs/>
          <w:sz w:val="23"/>
          <w:szCs w:val="23"/>
        </w:rPr>
        <w:t xml:space="preserve"> </w:t>
      </w:r>
      <w:r>
        <w:rPr>
          <w:sz w:val="23"/>
          <w:szCs w:val="23"/>
        </w:rPr>
        <w:t xml:space="preserve">for immediate steps to prevent </w:t>
      </w:r>
      <w:r w:rsidRPr="00F267AD">
        <w:rPr>
          <w:i/>
          <w:iCs/>
          <w:sz w:val="23"/>
          <w:szCs w:val="23"/>
        </w:rPr>
        <w:t xml:space="preserve"> </w:t>
      </w:r>
      <w:r>
        <w:rPr>
          <w:sz w:val="23"/>
          <w:szCs w:val="23"/>
        </w:rPr>
        <w:t xml:space="preserve">all acts of violence against civilians, including acts of terror, as well as all acts of provocation and destruction, calls for accountability in this regard, and calls </w:t>
      </w:r>
      <w:r w:rsidRPr="002175A6">
        <w:rPr>
          <w:sz w:val="23"/>
          <w:szCs w:val="23"/>
        </w:rPr>
        <w:t>for compliance</w:t>
      </w:r>
      <w:r w:rsidR="002175A6">
        <w:rPr>
          <w:sz w:val="23"/>
          <w:szCs w:val="23"/>
        </w:rPr>
        <w:t xml:space="preserve"> </w:t>
      </w:r>
      <w:r>
        <w:rPr>
          <w:sz w:val="23"/>
          <w:szCs w:val="23"/>
        </w:rPr>
        <w:t>with obli</w:t>
      </w:r>
      <w:r w:rsidR="006D4CA9">
        <w:rPr>
          <w:sz w:val="23"/>
          <w:szCs w:val="23"/>
        </w:rPr>
        <w:t>gations under international law</w:t>
      </w:r>
      <w:r>
        <w:rPr>
          <w:sz w:val="23"/>
          <w:szCs w:val="23"/>
        </w:rPr>
        <w:t xml:space="preserve"> </w:t>
      </w:r>
      <w:r w:rsidR="006D4CA9">
        <w:rPr>
          <w:sz w:val="23"/>
          <w:szCs w:val="23"/>
        </w:rPr>
        <w:t>for the strengthening of</w:t>
      </w:r>
      <w:r w:rsidRPr="002175A6">
        <w:rPr>
          <w:sz w:val="23"/>
          <w:szCs w:val="23"/>
        </w:rPr>
        <w:t xml:space="preserve"> ongoing</w:t>
      </w:r>
      <w:r>
        <w:rPr>
          <w:sz w:val="23"/>
          <w:szCs w:val="23"/>
        </w:rPr>
        <w:t xml:space="preserve"> efforts to combat terrorism, </w:t>
      </w:r>
      <w:r w:rsidRPr="004B2FBB">
        <w:rPr>
          <w:sz w:val="23"/>
          <w:szCs w:val="23"/>
        </w:rPr>
        <w:t xml:space="preserve">including </w:t>
      </w:r>
      <w:r>
        <w:rPr>
          <w:sz w:val="23"/>
          <w:szCs w:val="23"/>
        </w:rPr>
        <w:t>through existing</w:t>
      </w:r>
      <w:r w:rsidRPr="004B2FBB">
        <w:rPr>
          <w:sz w:val="23"/>
          <w:szCs w:val="23"/>
        </w:rPr>
        <w:t xml:space="preserve"> security coordination, and</w:t>
      </w:r>
      <w:r>
        <w:rPr>
          <w:sz w:val="23"/>
          <w:szCs w:val="23"/>
        </w:rPr>
        <w:t xml:space="preserve"> </w:t>
      </w:r>
      <w:r w:rsidRPr="001032A4">
        <w:rPr>
          <w:sz w:val="23"/>
          <w:szCs w:val="23"/>
        </w:rPr>
        <w:t xml:space="preserve">to clearly condemn all acts of terrorism;    </w:t>
      </w:r>
    </w:p>
    <w:p w:rsidR="00001133" w:rsidRPr="005B4408" w:rsidRDefault="00001133" w:rsidP="00001133">
      <w:pPr>
        <w:pStyle w:val="ListParagraph"/>
        <w:rPr>
          <w:szCs w:val="23"/>
          <w:lang w:val="en-GB"/>
        </w:rPr>
      </w:pPr>
    </w:p>
    <w:p w:rsidR="00001133" w:rsidRDefault="00001133" w:rsidP="00001133">
      <w:pPr>
        <w:pStyle w:val="SingleTxt"/>
        <w:numPr>
          <w:ilvl w:val="0"/>
          <w:numId w:val="1"/>
        </w:numPr>
        <w:tabs>
          <w:tab w:val="left" w:pos="9360"/>
        </w:tabs>
        <w:spacing w:after="0" w:line="240" w:lineRule="auto"/>
        <w:ind w:right="0"/>
        <w:rPr>
          <w:sz w:val="23"/>
          <w:szCs w:val="23"/>
        </w:rPr>
      </w:pPr>
      <w:r w:rsidRPr="00F8259C">
        <w:rPr>
          <w:i/>
          <w:sz w:val="23"/>
          <w:szCs w:val="23"/>
        </w:rPr>
        <w:t>Calls upon</w:t>
      </w:r>
      <w:r w:rsidRPr="00F8259C">
        <w:rPr>
          <w:sz w:val="23"/>
          <w:szCs w:val="23"/>
        </w:rPr>
        <w:t xml:space="preserve"> both parties to act on the basis of international law</w:t>
      </w:r>
      <w:r>
        <w:rPr>
          <w:sz w:val="23"/>
          <w:szCs w:val="23"/>
        </w:rPr>
        <w:t>, including international humanitarian law,</w:t>
      </w:r>
      <w:r w:rsidRPr="00F8259C">
        <w:rPr>
          <w:sz w:val="23"/>
          <w:szCs w:val="23"/>
        </w:rPr>
        <w:t xml:space="preserve"> and their previous agreements and obligations,</w:t>
      </w:r>
      <w:r>
        <w:rPr>
          <w:sz w:val="23"/>
          <w:szCs w:val="23"/>
        </w:rPr>
        <w:t xml:space="preserve"> to observe calm and restraint, and to refrain from</w:t>
      </w:r>
      <w:r w:rsidRPr="00445191">
        <w:rPr>
          <w:sz w:val="23"/>
          <w:szCs w:val="23"/>
        </w:rPr>
        <w:t xml:space="preserve"> provocative actions, incitement and</w:t>
      </w:r>
      <w:r>
        <w:rPr>
          <w:sz w:val="23"/>
          <w:szCs w:val="23"/>
        </w:rPr>
        <w:t xml:space="preserve"> inflammatory rhetoric</w:t>
      </w:r>
      <w:r w:rsidRPr="00F8259C">
        <w:rPr>
          <w:sz w:val="23"/>
          <w:szCs w:val="23"/>
        </w:rPr>
        <w:t xml:space="preserve">, </w:t>
      </w:r>
      <w:r>
        <w:rPr>
          <w:sz w:val="23"/>
          <w:szCs w:val="23"/>
        </w:rPr>
        <w:t xml:space="preserve">with the </w:t>
      </w:r>
      <w:r w:rsidRPr="00F8259C">
        <w:rPr>
          <w:sz w:val="23"/>
          <w:szCs w:val="23"/>
        </w:rPr>
        <w:t xml:space="preserve">aim, </w:t>
      </w:r>
      <w:r w:rsidRPr="00796CB3">
        <w:rPr>
          <w:i/>
          <w:iCs/>
          <w:sz w:val="23"/>
          <w:szCs w:val="23"/>
        </w:rPr>
        <w:t>inter alia</w:t>
      </w:r>
      <w:r w:rsidRPr="00F8259C">
        <w:rPr>
          <w:sz w:val="23"/>
          <w:szCs w:val="23"/>
        </w:rPr>
        <w:t xml:space="preserve">, </w:t>
      </w:r>
      <w:r>
        <w:rPr>
          <w:sz w:val="23"/>
          <w:szCs w:val="23"/>
        </w:rPr>
        <w:t>of</w:t>
      </w:r>
      <w:r w:rsidRPr="00F8259C">
        <w:rPr>
          <w:sz w:val="23"/>
          <w:szCs w:val="23"/>
        </w:rPr>
        <w:t xml:space="preserve"> </w:t>
      </w:r>
      <w:r>
        <w:rPr>
          <w:sz w:val="23"/>
          <w:szCs w:val="23"/>
        </w:rPr>
        <w:t>de-escalating</w:t>
      </w:r>
      <w:r w:rsidRPr="00F8259C">
        <w:rPr>
          <w:sz w:val="23"/>
          <w:szCs w:val="23"/>
        </w:rPr>
        <w:t xml:space="preserve"> the situation on the ground, </w:t>
      </w:r>
      <w:r>
        <w:rPr>
          <w:sz w:val="23"/>
          <w:szCs w:val="23"/>
        </w:rPr>
        <w:t>re</w:t>
      </w:r>
      <w:r w:rsidRPr="00F8259C">
        <w:rPr>
          <w:sz w:val="23"/>
          <w:szCs w:val="23"/>
        </w:rPr>
        <w:t xml:space="preserve">building </w:t>
      </w:r>
      <w:r>
        <w:rPr>
          <w:sz w:val="23"/>
          <w:szCs w:val="23"/>
        </w:rPr>
        <w:t xml:space="preserve">trust and </w:t>
      </w:r>
      <w:r w:rsidRPr="00F8259C">
        <w:rPr>
          <w:sz w:val="23"/>
          <w:szCs w:val="23"/>
        </w:rPr>
        <w:t>confidence</w:t>
      </w:r>
      <w:r>
        <w:rPr>
          <w:sz w:val="23"/>
          <w:szCs w:val="23"/>
        </w:rPr>
        <w:t>, demonstrating through policies and actions a genuine commitment to the two-State solution,</w:t>
      </w:r>
      <w:r w:rsidRPr="00F8259C">
        <w:rPr>
          <w:sz w:val="23"/>
          <w:szCs w:val="23"/>
        </w:rPr>
        <w:t xml:space="preserve"> and creating the conditions necessary for promoting peace;</w:t>
      </w:r>
    </w:p>
    <w:p w:rsidR="00001133" w:rsidRPr="00F8259C" w:rsidRDefault="00001133" w:rsidP="00001133">
      <w:pPr>
        <w:pStyle w:val="SingleTxt"/>
        <w:tabs>
          <w:tab w:val="left" w:pos="9360"/>
        </w:tabs>
        <w:spacing w:after="0" w:line="240" w:lineRule="auto"/>
        <w:ind w:left="0" w:right="0"/>
        <w:rPr>
          <w:sz w:val="23"/>
          <w:szCs w:val="23"/>
        </w:rPr>
      </w:pPr>
    </w:p>
    <w:p w:rsidR="00001133" w:rsidRDefault="00001133" w:rsidP="00001133">
      <w:pPr>
        <w:pStyle w:val="SingleTxt"/>
        <w:numPr>
          <w:ilvl w:val="0"/>
          <w:numId w:val="1"/>
        </w:numPr>
        <w:tabs>
          <w:tab w:val="left" w:pos="9360"/>
        </w:tabs>
        <w:spacing w:after="0" w:line="240" w:lineRule="auto"/>
        <w:ind w:right="0"/>
        <w:rPr>
          <w:sz w:val="23"/>
          <w:szCs w:val="23"/>
        </w:rPr>
      </w:pPr>
      <w:r w:rsidRPr="00F8259C">
        <w:rPr>
          <w:i/>
          <w:sz w:val="23"/>
          <w:szCs w:val="23"/>
        </w:rPr>
        <w:t>Calls upon</w:t>
      </w:r>
      <w:r w:rsidRPr="00F8259C">
        <w:rPr>
          <w:sz w:val="23"/>
          <w:szCs w:val="23"/>
        </w:rPr>
        <w:t xml:space="preserve"> all parties to continue, in the interest of the promotion of peace and security, </w:t>
      </w:r>
      <w:r>
        <w:rPr>
          <w:sz w:val="23"/>
          <w:szCs w:val="23"/>
        </w:rPr>
        <w:t xml:space="preserve">to exert collective efforts to launch credible </w:t>
      </w:r>
      <w:r w:rsidRPr="00F8259C">
        <w:rPr>
          <w:sz w:val="23"/>
          <w:szCs w:val="23"/>
        </w:rPr>
        <w:t xml:space="preserve">negotiations on </w:t>
      </w:r>
      <w:r>
        <w:rPr>
          <w:sz w:val="23"/>
          <w:szCs w:val="23"/>
        </w:rPr>
        <w:t xml:space="preserve">all </w:t>
      </w:r>
      <w:r w:rsidRPr="00F8259C">
        <w:rPr>
          <w:sz w:val="23"/>
          <w:szCs w:val="23"/>
        </w:rPr>
        <w:t>final status issues in the Middle East peace process and within the time frame specified by the Quartet in its statement of 21 September 2010;</w:t>
      </w:r>
    </w:p>
    <w:p w:rsidR="00001133" w:rsidRPr="00F8259C" w:rsidRDefault="00001133" w:rsidP="00001133">
      <w:pPr>
        <w:pStyle w:val="SingleTxt"/>
        <w:tabs>
          <w:tab w:val="left" w:pos="9360"/>
        </w:tabs>
        <w:spacing w:after="0" w:line="240" w:lineRule="auto"/>
        <w:ind w:left="0" w:right="0"/>
        <w:rPr>
          <w:sz w:val="23"/>
          <w:szCs w:val="23"/>
        </w:rPr>
      </w:pPr>
    </w:p>
    <w:p w:rsidR="00001133" w:rsidRPr="00F3750E" w:rsidRDefault="00001133" w:rsidP="002175A6">
      <w:pPr>
        <w:pStyle w:val="SingleTxt"/>
        <w:numPr>
          <w:ilvl w:val="0"/>
          <w:numId w:val="1"/>
        </w:numPr>
        <w:tabs>
          <w:tab w:val="left" w:pos="9360"/>
        </w:tabs>
        <w:spacing w:after="0" w:line="240" w:lineRule="auto"/>
        <w:ind w:right="0"/>
        <w:rPr>
          <w:sz w:val="23"/>
          <w:szCs w:val="23"/>
        </w:rPr>
      </w:pPr>
      <w:r w:rsidRPr="00F3750E">
        <w:rPr>
          <w:i/>
          <w:iCs/>
          <w:sz w:val="23"/>
          <w:szCs w:val="23"/>
        </w:rPr>
        <w:t>Urges in this regard</w:t>
      </w:r>
      <w:r w:rsidRPr="00F3750E">
        <w:rPr>
          <w:sz w:val="23"/>
          <w:szCs w:val="23"/>
        </w:rPr>
        <w:t xml:space="preserve"> the intensification and acceleration of international and regional diplomatic efforts and support aimed at achieving, without delay a comprehensive, just and lasting peace in the Middle East</w:t>
      </w:r>
      <w:r>
        <w:rPr>
          <w:sz w:val="23"/>
          <w:szCs w:val="23"/>
        </w:rPr>
        <w:t xml:space="preserve"> on the basis of the relevant United Nations resolutions, the Madrid terms of reference, including the principle of land for peace</w:t>
      </w:r>
      <w:r w:rsidRPr="00F3750E">
        <w:rPr>
          <w:sz w:val="23"/>
          <w:szCs w:val="23"/>
        </w:rPr>
        <w:t>,</w:t>
      </w:r>
      <w:r>
        <w:rPr>
          <w:sz w:val="23"/>
          <w:szCs w:val="23"/>
        </w:rPr>
        <w:t xml:space="preserve"> the Arab Peace Initiative and the Quartet </w:t>
      </w:r>
      <w:r w:rsidRPr="002175A6">
        <w:rPr>
          <w:sz w:val="23"/>
          <w:szCs w:val="23"/>
        </w:rPr>
        <w:t>Roadmap</w:t>
      </w:r>
      <w:r w:rsidR="005314EC" w:rsidRPr="002175A6">
        <w:rPr>
          <w:sz w:val="23"/>
          <w:szCs w:val="23"/>
        </w:rPr>
        <w:t xml:space="preserve"> and an end to the Israeli occupation that began in 1967</w:t>
      </w:r>
      <w:r>
        <w:rPr>
          <w:sz w:val="23"/>
          <w:szCs w:val="23"/>
        </w:rPr>
        <w:t>;</w:t>
      </w:r>
      <w:r w:rsidRPr="00F3750E">
        <w:rPr>
          <w:sz w:val="23"/>
          <w:szCs w:val="23"/>
        </w:rPr>
        <w:t xml:space="preserve"> and </w:t>
      </w:r>
      <w:r w:rsidRPr="00F3750E">
        <w:rPr>
          <w:i/>
          <w:iCs/>
          <w:sz w:val="23"/>
          <w:szCs w:val="23"/>
        </w:rPr>
        <w:t>underscores</w:t>
      </w:r>
      <w:r w:rsidRPr="00F3750E">
        <w:rPr>
          <w:sz w:val="23"/>
          <w:szCs w:val="23"/>
        </w:rPr>
        <w:t xml:space="preserve"> in this regard the importance of the </w:t>
      </w:r>
      <w:r>
        <w:rPr>
          <w:sz w:val="23"/>
          <w:szCs w:val="23"/>
        </w:rPr>
        <w:t xml:space="preserve">ongoing efforts to advance the </w:t>
      </w:r>
      <w:r w:rsidRPr="00F3750E">
        <w:rPr>
          <w:sz w:val="23"/>
          <w:szCs w:val="23"/>
        </w:rPr>
        <w:t>Arab Peace Initiative</w:t>
      </w:r>
      <w:r>
        <w:rPr>
          <w:sz w:val="23"/>
          <w:szCs w:val="23"/>
        </w:rPr>
        <w:t>, the initiative of France for the convening of an international peace conference, the recent efforts of the Quartet, as well as the efforts of Egypt and the Russian Federation</w:t>
      </w:r>
      <w:r w:rsidRPr="00F3750E">
        <w:rPr>
          <w:sz w:val="23"/>
          <w:szCs w:val="23"/>
        </w:rPr>
        <w:t>;</w:t>
      </w:r>
    </w:p>
    <w:p w:rsidR="00001133" w:rsidRPr="00F3750E" w:rsidRDefault="00001133" w:rsidP="00001133">
      <w:pPr>
        <w:pStyle w:val="ListParagraph"/>
        <w:rPr>
          <w:szCs w:val="23"/>
          <w:lang w:val="en-GB"/>
        </w:rPr>
      </w:pPr>
    </w:p>
    <w:p w:rsidR="00001133" w:rsidRDefault="00001133" w:rsidP="00001133">
      <w:pPr>
        <w:pStyle w:val="SingleTxt"/>
        <w:numPr>
          <w:ilvl w:val="0"/>
          <w:numId w:val="1"/>
        </w:numPr>
        <w:tabs>
          <w:tab w:val="left" w:pos="9360"/>
        </w:tabs>
        <w:spacing w:after="0" w:line="240" w:lineRule="auto"/>
        <w:ind w:right="0"/>
        <w:rPr>
          <w:sz w:val="23"/>
          <w:szCs w:val="23"/>
        </w:rPr>
      </w:pPr>
      <w:r w:rsidRPr="00075EFF">
        <w:rPr>
          <w:i/>
          <w:iCs/>
          <w:sz w:val="23"/>
          <w:szCs w:val="23"/>
        </w:rPr>
        <w:t>Confirms its determination</w:t>
      </w:r>
      <w:r>
        <w:rPr>
          <w:sz w:val="23"/>
          <w:szCs w:val="23"/>
        </w:rPr>
        <w:t xml:space="preserve"> to support the parties throughout the negotiations and in the implementation of an agreement;</w:t>
      </w:r>
    </w:p>
    <w:p w:rsidR="00001133" w:rsidRPr="005B4408" w:rsidRDefault="00001133" w:rsidP="00001133">
      <w:pPr>
        <w:pStyle w:val="ListParagraph"/>
        <w:rPr>
          <w:szCs w:val="23"/>
          <w:lang w:val="en-GB"/>
        </w:rPr>
      </w:pPr>
    </w:p>
    <w:p w:rsidR="00001133" w:rsidRDefault="00001133" w:rsidP="00001133">
      <w:pPr>
        <w:pStyle w:val="SingleTxt"/>
        <w:numPr>
          <w:ilvl w:val="0"/>
          <w:numId w:val="1"/>
        </w:numPr>
        <w:tabs>
          <w:tab w:val="left" w:pos="9360"/>
        </w:tabs>
        <w:spacing w:after="0" w:line="240" w:lineRule="auto"/>
        <w:ind w:right="0"/>
        <w:rPr>
          <w:sz w:val="23"/>
          <w:szCs w:val="23"/>
        </w:rPr>
      </w:pPr>
      <w:r w:rsidRPr="009E05F0">
        <w:rPr>
          <w:i/>
          <w:iCs/>
          <w:sz w:val="23"/>
          <w:szCs w:val="23"/>
        </w:rPr>
        <w:t>Reaffirms</w:t>
      </w:r>
      <w:r>
        <w:rPr>
          <w:sz w:val="23"/>
          <w:szCs w:val="23"/>
        </w:rPr>
        <w:t xml:space="preserve"> its determination to examine practical ways and means to secure the full implementation of its relevant resolutions;</w:t>
      </w:r>
    </w:p>
    <w:p w:rsidR="00001133" w:rsidRDefault="00001133" w:rsidP="00001133">
      <w:pPr>
        <w:pStyle w:val="ListParagraph"/>
        <w:rPr>
          <w:szCs w:val="23"/>
        </w:rPr>
      </w:pPr>
    </w:p>
    <w:p w:rsidR="00001133" w:rsidRDefault="00001133" w:rsidP="00001133">
      <w:pPr>
        <w:pStyle w:val="SingleTxt"/>
        <w:numPr>
          <w:ilvl w:val="0"/>
          <w:numId w:val="1"/>
        </w:numPr>
        <w:tabs>
          <w:tab w:val="left" w:pos="9360"/>
        </w:tabs>
        <w:spacing w:after="0" w:line="240" w:lineRule="auto"/>
        <w:ind w:right="0"/>
        <w:rPr>
          <w:sz w:val="23"/>
          <w:szCs w:val="23"/>
        </w:rPr>
      </w:pPr>
      <w:r w:rsidRPr="009E05F0">
        <w:rPr>
          <w:i/>
          <w:iCs/>
          <w:sz w:val="23"/>
          <w:szCs w:val="23"/>
          <w:lang w:val="en-US"/>
        </w:rPr>
        <w:t>Requests</w:t>
      </w:r>
      <w:r>
        <w:rPr>
          <w:sz w:val="23"/>
          <w:szCs w:val="23"/>
          <w:lang w:val="en-US"/>
        </w:rPr>
        <w:t xml:space="preserve"> the Secretary-General to report to the Council every three months on the implementation of the provisions of the present resolution;</w:t>
      </w:r>
    </w:p>
    <w:p w:rsidR="00001133" w:rsidRPr="00F8259C" w:rsidRDefault="00001133" w:rsidP="00001133">
      <w:pPr>
        <w:pStyle w:val="SingleTxt"/>
        <w:tabs>
          <w:tab w:val="left" w:pos="9360"/>
        </w:tabs>
        <w:spacing w:after="0" w:line="240" w:lineRule="auto"/>
        <w:ind w:left="0" w:right="0"/>
        <w:rPr>
          <w:sz w:val="23"/>
          <w:szCs w:val="23"/>
        </w:rPr>
      </w:pPr>
    </w:p>
    <w:p w:rsidR="00001133" w:rsidRPr="004B3F92" w:rsidRDefault="00001133" w:rsidP="00001133">
      <w:pPr>
        <w:pStyle w:val="ListParagraph"/>
        <w:numPr>
          <w:ilvl w:val="0"/>
          <w:numId w:val="1"/>
        </w:numPr>
        <w:tabs>
          <w:tab w:val="left" w:pos="9360"/>
        </w:tabs>
        <w:rPr>
          <w:szCs w:val="23"/>
        </w:rPr>
      </w:pPr>
      <w:r w:rsidRPr="004B3F92">
        <w:rPr>
          <w:i/>
          <w:szCs w:val="23"/>
        </w:rPr>
        <w:t>Decides</w:t>
      </w:r>
      <w:r w:rsidRPr="004B3F92">
        <w:rPr>
          <w:szCs w:val="23"/>
        </w:rPr>
        <w:t xml:space="preserve"> to remain seized of the matter.</w:t>
      </w:r>
    </w:p>
    <w:p w:rsidR="00001133" w:rsidRDefault="00001133" w:rsidP="00001133"/>
    <w:p w:rsidR="00001133" w:rsidRDefault="00001133" w:rsidP="00001133"/>
    <w:p w:rsidR="00477CA9" w:rsidRDefault="00477CA9"/>
    <w:sectPr w:rsidR="00477CA9" w:rsidSect="00F825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6D" w:rsidRDefault="0012266D">
      <w:r>
        <w:separator/>
      </w:r>
    </w:p>
  </w:endnote>
  <w:endnote w:type="continuationSeparator" w:id="0">
    <w:p w:rsidR="0012266D" w:rsidRDefault="0012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30009"/>
      <w:docPartObj>
        <w:docPartGallery w:val="Page Numbers (Bottom of Page)"/>
        <w:docPartUnique/>
      </w:docPartObj>
    </w:sdtPr>
    <w:sdtEndPr/>
    <w:sdtContent>
      <w:p w:rsidR="0063279F" w:rsidRDefault="00001133">
        <w:pPr>
          <w:pStyle w:val="Footer"/>
          <w:jc w:val="right"/>
        </w:pPr>
        <w:r>
          <w:fldChar w:fldCharType="begin"/>
        </w:r>
        <w:r>
          <w:instrText xml:space="preserve"> PAGE   \* MERGEFORMAT </w:instrText>
        </w:r>
        <w:r>
          <w:fldChar w:fldCharType="separate"/>
        </w:r>
        <w:r w:rsidR="00BE06D5">
          <w:rPr>
            <w:noProof/>
          </w:rPr>
          <w:t>1</w:t>
        </w:r>
        <w:r>
          <w:rPr>
            <w:noProof/>
          </w:rPr>
          <w:fldChar w:fldCharType="end"/>
        </w:r>
      </w:p>
    </w:sdtContent>
  </w:sdt>
  <w:p w:rsidR="0063279F" w:rsidRDefault="00122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6D" w:rsidRDefault="0012266D">
      <w:r>
        <w:separator/>
      </w:r>
    </w:p>
  </w:footnote>
  <w:footnote w:type="continuationSeparator" w:id="0">
    <w:p w:rsidR="0012266D" w:rsidRDefault="00122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618B9"/>
    <w:multiLevelType w:val="hybridMultilevel"/>
    <w:tmpl w:val="E3E434A4"/>
    <w:lvl w:ilvl="0" w:tplc="C1E85E9C">
      <w:start w:val="1"/>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33"/>
    <w:rsid w:val="00001133"/>
    <w:rsid w:val="0012266D"/>
    <w:rsid w:val="002175A6"/>
    <w:rsid w:val="00477CA9"/>
    <w:rsid w:val="005314EC"/>
    <w:rsid w:val="006D4CA9"/>
    <w:rsid w:val="008D2B07"/>
    <w:rsid w:val="009D4015"/>
    <w:rsid w:val="00B168D7"/>
    <w:rsid w:val="00BA06E8"/>
    <w:rsid w:val="00BE06D5"/>
    <w:rsid w:val="00F62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D17B1-8B66-461B-9814-AFA48D22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33"/>
    <w:pPr>
      <w:spacing w:after="0" w:line="240" w:lineRule="auto"/>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00113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MS Mincho" w:cs="Times New Roman"/>
      <w:spacing w:val="4"/>
      <w:w w:val="103"/>
      <w:kern w:val="14"/>
      <w:sz w:val="20"/>
      <w:szCs w:val="20"/>
      <w:lang w:val="en-GB" w:eastAsia="ja-JP"/>
    </w:rPr>
  </w:style>
  <w:style w:type="paragraph" w:styleId="ListParagraph">
    <w:name w:val="List Paragraph"/>
    <w:basedOn w:val="Normal"/>
    <w:uiPriority w:val="34"/>
    <w:qFormat/>
    <w:rsid w:val="00001133"/>
    <w:pPr>
      <w:ind w:left="720"/>
      <w:contextualSpacing/>
    </w:pPr>
  </w:style>
  <w:style w:type="paragraph" w:styleId="Footer">
    <w:name w:val="footer"/>
    <w:basedOn w:val="Normal"/>
    <w:link w:val="FooterChar"/>
    <w:uiPriority w:val="99"/>
    <w:unhideWhenUsed/>
    <w:rsid w:val="00001133"/>
    <w:pPr>
      <w:tabs>
        <w:tab w:val="center" w:pos="4680"/>
        <w:tab w:val="right" w:pos="9360"/>
      </w:tabs>
    </w:pPr>
  </w:style>
  <w:style w:type="character" w:customStyle="1" w:styleId="FooterChar">
    <w:name w:val="Footer Char"/>
    <w:basedOn w:val="DefaultParagraphFont"/>
    <w:link w:val="Footer"/>
    <w:uiPriority w:val="99"/>
    <w:rsid w:val="00001133"/>
    <w:rPr>
      <w:rFonts w:ascii="Times New Roman" w:hAnsi="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2016-12-21T19:19:00Z</cp:lastPrinted>
  <dcterms:created xsi:type="dcterms:W3CDTF">2016-12-21T22:53:00Z</dcterms:created>
  <dcterms:modified xsi:type="dcterms:W3CDTF">2016-12-21T22:53:00Z</dcterms:modified>
</cp:coreProperties>
</file>