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4B741" w14:textId="7F0454E0" w:rsidR="00FF185E" w:rsidRPr="00E34BB9" w:rsidRDefault="43DB2334" w:rsidP="43DB2334">
      <w:pPr>
        <w:spacing w:line="360" w:lineRule="auto"/>
        <w:jc w:val="center"/>
        <w:rPr>
          <w:rFonts w:cs="David"/>
          <w:b/>
          <w:bCs/>
          <w:sz w:val="28"/>
          <w:szCs w:val="28"/>
          <w:u w:val="single"/>
          <w:rtl/>
        </w:rPr>
      </w:pPr>
      <w:r w:rsidRPr="43DB2334">
        <w:rPr>
          <w:rFonts w:cs="David"/>
          <w:b/>
          <w:bCs/>
          <w:sz w:val="28"/>
          <w:szCs w:val="28"/>
          <w:u w:val="single"/>
          <w:rtl/>
        </w:rPr>
        <w:t>טופס הצעת מחקר לתזה – פורמאט מב"ל</w:t>
      </w:r>
    </w:p>
    <w:p w14:paraId="34A4B742" w14:textId="77777777" w:rsidR="00E34BB9" w:rsidRDefault="43DB2334" w:rsidP="43DB2334">
      <w:pPr>
        <w:spacing w:line="360" w:lineRule="auto"/>
        <w:rPr>
          <w:rFonts w:cs="David"/>
          <w:sz w:val="28"/>
          <w:szCs w:val="28"/>
          <w:rtl/>
        </w:rPr>
      </w:pPr>
      <w:r w:rsidRPr="43DB2334">
        <w:rPr>
          <w:rFonts w:cs="David"/>
          <w:b/>
          <w:bCs/>
          <w:sz w:val="28"/>
          <w:szCs w:val="28"/>
          <w:rtl/>
        </w:rPr>
        <w:t>שם התלמיד:</w:t>
      </w:r>
      <w:r w:rsidRPr="43DB2334">
        <w:rPr>
          <w:rFonts w:cs="David"/>
          <w:sz w:val="28"/>
          <w:szCs w:val="28"/>
          <w:rtl/>
        </w:rPr>
        <w:t xml:space="preserve"> אל"ם שמואל בן עזרא</w:t>
      </w:r>
    </w:p>
    <w:p w14:paraId="34A4B743" w14:textId="77777777" w:rsidR="005F7B05" w:rsidRPr="005F7B05" w:rsidRDefault="43DB2334" w:rsidP="43DB2334">
      <w:pPr>
        <w:spacing w:line="360" w:lineRule="auto"/>
        <w:rPr>
          <w:rFonts w:cs="David"/>
          <w:b/>
          <w:bCs/>
          <w:sz w:val="28"/>
          <w:szCs w:val="28"/>
          <w:rtl/>
        </w:rPr>
      </w:pPr>
      <w:r w:rsidRPr="43DB2334">
        <w:rPr>
          <w:rFonts w:cs="David"/>
          <w:b/>
          <w:bCs/>
          <w:sz w:val="28"/>
          <w:szCs w:val="28"/>
          <w:rtl/>
        </w:rPr>
        <w:t>נושא העבודה</w:t>
      </w:r>
      <w:r w:rsidRPr="43DB2334">
        <w:rPr>
          <w:rFonts w:cs="David"/>
          <w:b/>
          <w:bCs/>
          <w:sz w:val="28"/>
          <w:szCs w:val="28"/>
        </w:rPr>
        <w:t xml:space="preserve">: </w:t>
      </w:r>
    </w:p>
    <w:p w14:paraId="53B1F041" w14:textId="261129CB" w:rsidR="00F216A6" w:rsidRDefault="43DB2334" w:rsidP="43DB2334">
      <w:pPr>
        <w:spacing w:line="360" w:lineRule="auto"/>
        <w:rPr>
          <w:rFonts w:cs="David"/>
          <w:sz w:val="28"/>
          <w:szCs w:val="28"/>
        </w:rPr>
      </w:pPr>
      <w:r w:rsidRPr="43DB2334">
        <w:rPr>
          <w:rFonts w:cs="David"/>
          <w:sz w:val="28"/>
          <w:szCs w:val="28"/>
          <w:rtl/>
        </w:rPr>
        <w:t>הרתעה במרחב הקיברנטי – שינוי תפיסה או התאמות מקומיות</w:t>
      </w:r>
      <w:r w:rsidR="008B5843">
        <w:rPr>
          <w:rFonts w:cs="David" w:hint="cs"/>
          <w:sz w:val="28"/>
          <w:szCs w:val="28"/>
          <w:rtl/>
        </w:rPr>
        <w:t>?</w:t>
      </w:r>
    </w:p>
    <w:p w14:paraId="34A4B745" w14:textId="77777777" w:rsidR="0087046E" w:rsidRPr="007A49C9" w:rsidRDefault="43DB2334" w:rsidP="43DB2334">
      <w:pPr>
        <w:spacing w:line="360" w:lineRule="auto"/>
        <w:rPr>
          <w:rFonts w:cs="David"/>
          <w:b/>
          <w:bCs/>
          <w:sz w:val="28"/>
          <w:szCs w:val="28"/>
          <w:rtl/>
        </w:rPr>
      </w:pPr>
      <w:r w:rsidRPr="43DB2334">
        <w:rPr>
          <w:rFonts w:cs="David"/>
          <w:b/>
          <w:bCs/>
          <w:sz w:val="28"/>
          <w:szCs w:val="28"/>
          <w:rtl/>
        </w:rPr>
        <w:t>רקע</w:t>
      </w:r>
      <w:r w:rsidRPr="43DB2334">
        <w:rPr>
          <w:rFonts w:cs="David"/>
          <w:b/>
          <w:bCs/>
          <w:sz w:val="28"/>
          <w:szCs w:val="28"/>
        </w:rPr>
        <w:t>:</w:t>
      </w:r>
    </w:p>
    <w:p w14:paraId="34A4B746" w14:textId="4E32863F" w:rsidR="0087046E" w:rsidRDefault="43DB2334" w:rsidP="43DB2334">
      <w:pPr>
        <w:spacing w:line="360" w:lineRule="auto"/>
        <w:jc w:val="both"/>
        <w:rPr>
          <w:rFonts w:cs="David"/>
          <w:sz w:val="28"/>
          <w:szCs w:val="28"/>
          <w:rtl/>
        </w:rPr>
      </w:pPr>
      <w:r w:rsidRPr="43DB2334">
        <w:rPr>
          <w:rFonts w:cs="David"/>
          <w:sz w:val="28"/>
          <w:szCs w:val="28"/>
          <w:rtl/>
        </w:rPr>
        <w:t>אסטרטגיית ההרתעה מהווה גורם משמעותי במרכיבי הביטחון של מדינות שונות בעולם. בישראל הוגדרה ההרתעה כאחת מארבע רגלי הביטחון: התרעה, הרתעה, הכרעה והגנה. בעבר שימשה אסטרטגיה זו בשדה הקרב הקונבנציונלי כחלק מכלל מרכיבי המלחמה. בתקופת המלחמה הקרה התחדד מקומה של אסטרטגיה זו כמרכיב מרכזי לייצוב הסכסוך הלא קונבנציונלי בין המעצמות. חומרת האיום הגרעיני ותוצאותיו הפטאליות הובילו ליצירת מאזן אימה בו כל צד מורתע מהשלכותיו של השימוש בנשק מסוג זה. לאחרונה, עם התרחבות מגוון האיומים הותאמה אסטרטגיית ההרתעה לשמש ככלי גם כנגד תת מדינות, ארגוני טרור ועוד</w:t>
      </w:r>
      <w:r w:rsidRPr="43DB2334">
        <w:rPr>
          <w:rFonts w:cs="David"/>
          <w:sz w:val="28"/>
          <w:szCs w:val="28"/>
        </w:rPr>
        <w:t xml:space="preserve">. </w:t>
      </w:r>
    </w:p>
    <w:p w14:paraId="34A4B747" w14:textId="098C286A" w:rsidR="005E4FBE" w:rsidRDefault="43DB2334" w:rsidP="43DB2334">
      <w:pPr>
        <w:spacing w:line="360" w:lineRule="auto"/>
        <w:jc w:val="both"/>
        <w:rPr>
          <w:rFonts w:cs="David"/>
          <w:sz w:val="28"/>
          <w:szCs w:val="28"/>
          <w:rtl/>
        </w:rPr>
      </w:pPr>
      <w:r w:rsidRPr="43DB2334">
        <w:rPr>
          <w:rFonts w:cs="David"/>
          <w:sz w:val="28"/>
          <w:szCs w:val="28"/>
          <w:rtl/>
        </w:rPr>
        <w:t xml:space="preserve">התפתחותו המואצת של המרחב הקיברנטי ותפוצתו הרחבה הפכו אותו למרכיב מרכזי בחייהם של יחידים, כמו גם של מערכות ציבוריות רבות. בד בבד עם היתרונות הרבים הגלומים בתחום זה הופיע מרחב חדש של איומים – איומי הסייבר. פוטנציאל הנזק באיום זה מכסה מנעד רחב של רמות - החל מהצקה ליחיד, דרך נזק כספי משמעותי (תוכנות כופר) ועד ליכולת השבתתן של מערכות אזרחיות מצילות חיים כמו גם מערכות צבאיות ממוחשבות. הצורך במתן מענה נגד איום זה הפך </w:t>
      </w:r>
      <w:bookmarkStart w:id="0" w:name="_GoBack"/>
      <w:r w:rsidRPr="43DB2334">
        <w:rPr>
          <w:rFonts w:cs="David"/>
          <w:sz w:val="28"/>
          <w:szCs w:val="28"/>
          <w:rtl/>
        </w:rPr>
        <w:t xml:space="preserve">לחיוני, והוביל את ממשלת ישראל בשנת 2012 להקמתו של מטה סייבר לאומי. מסמך האסטרטגיה </w:t>
      </w:r>
      <w:bookmarkEnd w:id="0"/>
      <w:r w:rsidRPr="43DB2334">
        <w:rPr>
          <w:rFonts w:cs="David"/>
          <w:sz w:val="28"/>
          <w:szCs w:val="28"/>
          <w:rtl/>
        </w:rPr>
        <w:t xml:space="preserve">הישראלית להגנת הסייבר מפרט שלוש שכבות עיקריות, העומדות בבסיס המענה לאיום במרחב הקיברנטי: 'עמידות משקית', 'חוסן חברתי' ו'הגנה לאומית'. אחד ממרכיבי שכבת 'ההגנה הלאומית' הוא </w:t>
      </w:r>
      <w:r w:rsidRPr="43DB2334">
        <w:rPr>
          <w:rFonts w:cs="David"/>
          <w:b/>
          <w:bCs/>
          <w:sz w:val="28"/>
          <w:szCs w:val="28"/>
          <w:rtl/>
        </w:rPr>
        <w:t>ההרתעה בסייבר</w:t>
      </w:r>
      <w:r w:rsidRPr="43DB2334">
        <w:rPr>
          <w:rFonts w:cs="David"/>
          <w:sz w:val="28"/>
          <w:szCs w:val="28"/>
          <w:rtl/>
        </w:rPr>
        <w:t>. יצוין כי ברמה של מדינת ישראל האתגר המרכזי הוא יכולת ההתמודדות עם איומי סייבר מקרב מדינות ומעצמות (כדוגמת אירן סין ורוסיה) ופחות לאלו המגיעים מקרב ארגונים תת מדינתיים (כדוגמת חמס וחיזבאללה) להם יכולות תקיפה פחותות באופן משמעותי</w:t>
      </w:r>
      <w:r w:rsidRPr="43DB2334">
        <w:rPr>
          <w:rFonts w:cs="David"/>
          <w:sz w:val="28"/>
          <w:szCs w:val="28"/>
        </w:rPr>
        <w:t xml:space="preserve">. </w:t>
      </w:r>
    </w:p>
    <w:p w14:paraId="34A4B748" w14:textId="26E7F3AA" w:rsidR="002A1811" w:rsidRDefault="43DB2334" w:rsidP="43DB2334">
      <w:pPr>
        <w:spacing w:line="360" w:lineRule="auto"/>
        <w:jc w:val="both"/>
        <w:rPr>
          <w:rFonts w:cs="David"/>
          <w:sz w:val="28"/>
          <w:szCs w:val="28"/>
          <w:rtl/>
        </w:rPr>
      </w:pPr>
      <w:r w:rsidRPr="43DB2334">
        <w:rPr>
          <w:rFonts w:cs="David"/>
          <w:sz w:val="28"/>
          <w:szCs w:val="28"/>
          <w:rtl/>
        </w:rPr>
        <w:t>השימוש הנרחב במושג 'ההרתעה' במרחב הקינטי עשוי ליצור את הרושם שהנושא מובן מאליו גם במרחב הקיברנטי. בעיון מעמיק יותר מתברר שלא כן המצב. מאפייניו הייחודים של המרחב הקיברנטי מאתגרים את ישימות אסטרטגיית ההרתעה ומטילים ספק ממשי בעצם היכולת להשתמש בו. לדוגמה, אחד ממרכיביה הבסיסיים של ההרתעה הוא העברת אותות מאיימים</w:t>
      </w:r>
      <w:r w:rsidRPr="43DB2334">
        <w:rPr>
          <w:rFonts w:cs="David"/>
          <w:sz w:val="28"/>
          <w:szCs w:val="28"/>
        </w:rPr>
        <w:t xml:space="preserve"> (Signals) </w:t>
      </w:r>
      <w:r w:rsidR="00F243B9">
        <w:rPr>
          <w:rFonts w:cs="David" w:hint="cs"/>
          <w:sz w:val="28"/>
          <w:szCs w:val="28"/>
          <w:rtl/>
        </w:rPr>
        <w:t xml:space="preserve"> </w:t>
      </w:r>
      <w:r w:rsidRPr="43DB2334">
        <w:rPr>
          <w:rFonts w:cs="David"/>
          <w:sz w:val="28"/>
          <w:szCs w:val="28"/>
          <w:rtl/>
        </w:rPr>
        <w:t xml:space="preserve">לגורם אותו מעוניינים להרתיע. במרחב הקיברנטי קיים קושי מהותי בנושא זה. כיצד </w:t>
      </w:r>
      <w:r w:rsidRPr="43DB2334">
        <w:rPr>
          <w:rFonts w:cs="David"/>
          <w:sz w:val="28"/>
          <w:szCs w:val="28"/>
          <w:rtl/>
        </w:rPr>
        <w:lastRenderedPageBreak/>
        <w:t>ניתן לשדר אותות הרתעה לתוקף במרחב בו זהותו איננה ברורה?. אתגרים אלו והאופן בו נכון להתמודד אתם עומדים במרכזה של עבודת המחקר</w:t>
      </w:r>
      <w:r w:rsidRPr="43DB2334">
        <w:rPr>
          <w:rFonts w:cs="David"/>
          <w:sz w:val="28"/>
          <w:szCs w:val="28"/>
        </w:rPr>
        <w:t>.</w:t>
      </w:r>
    </w:p>
    <w:p w14:paraId="34A4B74A" w14:textId="77777777" w:rsidR="0087046E" w:rsidRPr="00E225F2" w:rsidRDefault="43DB2334" w:rsidP="43DB2334">
      <w:pPr>
        <w:spacing w:line="360" w:lineRule="auto"/>
        <w:rPr>
          <w:rFonts w:cs="David"/>
          <w:b/>
          <w:bCs/>
          <w:sz w:val="28"/>
          <w:szCs w:val="28"/>
          <w:rtl/>
        </w:rPr>
      </w:pPr>
      <w:r w:rsidRPr="43DB2334">
        <w:rPr>
          <w:rFonts w:cs="David"/>
          <w:b/>
          <w:bCs/>
          <w:sz w:val="28"/>
          <w:szCs w:val="28"/>
          <w:rtl/>
        </w:rPr>
        <w:t>מטרות העבודה</w:t>
      </w:r>
      <w:r w:rsidRPr="43DB2334">
        <w:rPr>
          <w:rFonts w:cs="David"/>
          <w:b/>
          <w:bCs/>
          <w:sz w:val="28"/>
          <w:szCs w:val="28"/>
        </w:rPr>
        <w:t>:</w:t>
      </w:r>
    </w:p>
    <w:p w14:paraId="7C95E4CD" w14:textId="0B1FBD94" w:rsidR="43DB2334" w:rsidRPr="00790011" w:rsidRDefault="43DB2334" w:rsidP="43DB2334">
      <w:pPr>
        <w:pStyle w:val="a3"/>
        <w:numPr>
          <w:ilvl w:val="0"/>
          <w:numId w:val="1"/>
        </w:numPr>
        <w:spacing w:line="360" w:lineRule="auto"/>
        <w:jc w:val="both"/>
        <w:rPr>
          <w:rFonts w:cs="David"/>
          <w:sz w:val="28"/>
          <w:szCs w:val="28"/>
        </w:rPr>
      </w:pPr>
      <w:r w:rsidRPr="43DB2334">
        <w:rPr>
          <w:rFonts w:cs="David"/>
          <w:sz w:val="28"/>
          <w:szCs w:val="28"/>
          <w:rtl/>
        </w:rPr>
        <w:t>הצגת תשתית מושגית של המושגים 'הרתעה' (במובן המקובל במרחב הקינטי) ו-'מרחב קיברנטי</w:t>
      </w:r>
      <w:r w:rsidR="00790011">
        <w:rPr>
          <w:rFonts w:cs="David" w:hint="cs"/>
          <w:sz w:val="28"/>
          <w:szCs w:val="28"/>
          <w:rtl/>
        </w:rPr>
        <w:t>'.</w:t>
      </w:r>
    </w:p>
    <w:p w14:paraId="34A4B74B" w14:textId="66F38ADC" w:rsidR="00633539" w:rsidRDefault="43DB2334" w:rsidP="43DB2334">
      <w:pPr>
        <w:pStyle w:val="a3"/>
        <w:numPr>
          <w:ilvl w:val="0"/>
          <w:numId w:val="1"/>
        </w:numPr>
        <w:spacing w:line="360" w:lineRule="auto"/>
        <w:jc w:val="both"/>
        <w:rPr>
          <w:rFonts w:cs="David"/>
          <w:sz w:val="28"/>
          <w:szCs w:val="28"/>
        </w:rPr>
      </w:pPr>
      <w:r w:rsidRPr="43DB2334">
        <w:rPr>
          <w:rFonts w:cs="David"/>
          <w:sz w:val="28"/>
          <w:szCs w:val="28"/>
          <w:rtl/>
        </w:rPr>
        <w:t>ניתוח ההיבטים הנוגעים לאיום הקיברנטי בהשוואה לאיום הקונבנציונלי והעל קונבנציונלי (גרעין</w:t>
      </w:r>
      <w:r w:rsidR="00790011">
        <w:rPr>
          <w:rFonts w:cs="David" w:hint="cs"/>
          <w:sz w:val="28"/>
          <w:szCs w:val="28"/>
          <w:rtl/>
        </w:rPr>
        <w:t>).</w:t>
      </w:r>
    </w:p>
    <w:p w14:paraId="34A4B74C" w14:textId="36D62A05" w:rsidR="00B335FF" w:rsidRDefault="43DB2334" w:rsidP="43DB2334">
      <w:pPr>
        <w:pStyle w:val="a3"/>
        <w:numPr>
          <w:ilvl w:val="0"/>
          <w:numId w:val="1"/>
        </w:numPr>
        <w:spacing w:line="360" w:lineRule="auto"/>
        <w:jc w:val="both"/>
        <w:rPr>
          <w:rFonts w:cs="David"/>
          <w:sz w:val="28"/>
          <w:szCs w:val="28"/>
        </w:rPr>
      </w:pPr>
      <w:r w:rsidRPr="43DB2334">
        <w:rPr>
          <w:rFonts w:cs="David"/>
          <w:sz w:val="28"/>
          <w:szCs w:val="28"/>
          <w:rtl/>
        </w:rPr>
        <w:t>בחינת השפעת מאפייניו הייחודיים של האיום הקיברנטי על עקרונות אסטרטגיית ההרתעה המקובלים באיומים הקונבנציונליים והעל קונבנציונליים</w:t>
      </w:r>
      <w:r w:rsidRPr="43DB2334">
        <w:rPr>
          <w:rFonts w:cs="David"/>
          <w:sz w:val="28"/>
          <w:szCs w:val="28"/>
        </w:rPr>
        <w:t>.</w:t>
      </w:r>
    </w:p>
    <w:p w14:paraId="34A4B74D" w14:textId="73B39C2F" w:rsidR="00B335FF" w:rsidRDefault="43DB2334" w:rsidP="43DB2334">
      <w:pPr>
        <w:pStyle w:val="a3"/>
        <w:numPr>
          <w:ilvl w:val="0"/>
          <w:numId w:val="1"/>
        </w:numPr>
        <w:spacing w:line="360" w:lineRule="auto"/>
        <w:jc w:val="both"/>
        <w:rPr>
          <w:rFonts w:cs="David"/>
          <w:sz w:val="28"/>
          <w:szCs w:val="28"/>
        </w:rPr>
      </w:pPr>
      <w:r w:rsidRPr="43DB2334">
        <w:rPr>
          <w:rFonts w:cs="David"/>
          <w:sz w:val="28"/>
          <w:szCs w:val="28"/>
          <w:rtl/>
        </w:rPr>
        <w:t>גיבוש עקרונות ייחודיים להרתעה במרחב הקיברנטי המותאמים למאפייניו של האיום בתחום זה</w:t>
      </w:r>
      <w:r w:rsidRPr="43DB2334">
        <w:rPr>
          <w:rFonts w:cs="David"/>
          <w:sz w:val="28"/>
          <w:szCs w:val="28"/>
        </w:rPr>
        <w:t>.</w:t>
      </w:r>
    </w:p>
    <w:p w14:paraId="34A4B750" w14:textId="77777777" w:rsidR="0087046E" w:rsidRPr="00E225F2" w:rsidRDefault="43DB2334" w:rsidP="43DB2334">
      <w:pPr>
        <w:spacing w:line="360" w:lineRule="auto"/>
        <w:rPr>
          <w:rFonts w:cs="David"/>
          <w:b/>
          <w:bCs/>
          <w:sz w:val="28"/>
          <w:szCs w:val="28"/>
          <w:rtl/>
        </w:rPr>
      </w:pPr>
      <w:r w:rsidRPr="43DB2334">
        <w:rPr>
          <w:rFonts w:cs="David"/>
          <w:b/>
          <w:bCs/>
          <w:sz w:val="28"/>
          <w:szCs w:val="28"/>
          <w:rtl/>
        </w:rPr>
        <w:t>שאלות המחקר</w:t>
      </w:r>
      <w:r w:rsidRPr="43DB2334">
        <w:rPr>
          <w:rFonts w:cs="David"/>
          <w:b/>
          <w:bCs/>
          <w:sz w:val="28"/>
          <w:szCs w:val="28"/>
        </w:rPr>
        <w:t>:</w:t>
      </w:r>
    </w:p>
    <w:p w14:paraId="644A7F40" w14:textId="2C653A69" w:rsidR="00790011" w:rsidRPr="00790011" w:rsidRDefault="43DB2334" w:rsidP="00790011">
      <w:pPr>
        <w:pStyle w:val="a3"/>
        <w:numPr>
          <w:ilvl w:val="0"/>
          <w:numId w:val="2"/>
        </w:numPr>
        <w:spacing w:line="360" w:lineRule="auto"/>
        <w:jc w:val="both"/>
        <w:rPr>
          <w:rFonts w:cs="David"/>
          <w:sz w:val="28"/>
          <w:szCs w:val="28"/>
        </w:rPr>
      </w:pPr>
      <w:r w:rsidRPr="43DB2334">
        <w:rPr>
          <w:rFonts w:cs="David"/>
          <w:sz w:val="28"/>
          <w:szCs w:val="28"/>
          <w:rtl/>
        </w:rPr>
        <w:t>מהם מאפייני האיום הקיברנטי בהשוואה לזה הקונבציונאלי</w:t>
      </w:r>
      <w:r w:rsidR="00790011">
        <w:rPr>
          <w:rFonts w:cs="David" w:hint="cs"/>
          <w:sz w:val="28"/>
          <w:szCs w:val="28"/>
          <w:rtl/>
        </w:rPr>
        <w:t>?</w:t>
      </w:r>
    </w:p>
    <w:p w14:paraId="34A4B751" w14:textId="75A8CF45" w:rsidR="0087046E" w:rsidRDefault="43DB2334" w:rsidP="43DB2334">
      <w:pPr>
        <w:pStyle w:val="a3"/>
        <w:numPr>
          <w:ilvl w:val="0"/>
          <w:numId w:val="2"/>
        </w:numPr>
        <w:spacing w:line="360" w:lineRule="auto"/>
        <w:jc w:val="both"/>
        <w:rPr>
          <w:rFonts w:cs="David"/>
          <w:sz w:val="28"/>
          <w:szCs w:val="28"/>
        </w:rPr>
      </w:pPr>
      <w:r w:rsidRPr="43DB2334">
        <w:rPr>
          <w:rFonts w:cs="David"/>
          <w:sz w:val="28"/>
          <w:szCs w:val="28"/>
          <w:rtl/>
        </w:rPr>
        <w:t>באיזה מידה רלוונטית התפיסה של אסטרטגיית ההרתעה הרווחת כיום במרחב הקונבנציונלי והעל קונבנציונלי למרחב הקיברנטי</w:t>
      </w:r>
      <w:r w:rsidR="00790011">
        <w:rPr>
          <w:rFonts w:cs="David" w:hint="cs"/>
          <w:sz w:val="28"/>
          <w:szCs w:val="28"/>
          <w:rtl/>
        </w:rPr>
        <w:t>?</w:t>
      </w:r>
    </w:p>
    <w:p w14:paraId="34A4B752" w14:textId="013B96CC" w:rsidR="00642EFE" w:rsidRPr="0004319C" w:rsidRDefault="43DB2334" w:rsidP="43DB2334">
      <w:pPr>
        <w:pStyle w:val="a3"/>
        <w:numPr>
          <w:ilvl w:val="0"/>
          <w:numId w:val="2"/>
        </w:numPr>
        <w:spacing w:line="360" w:lineRule="auto"/>
        <w:jc w:val="both"/>
        <w:rPr>
          <w:rFonts w:cs="David"/>
          <w:sz w:val="28"/>
          <w:szCs w:val="28"/>
          <w:rtl/>
        </w:rPr>
      </w:pPr>
      <w:r w:rsidRPr="43DB2334">
        <w:rPr>
          <w:rFonts w:cs="David"/>
          <w:sz w:val="28"/>
          <w:szCs w:val="28"/>
          <w:rtl/>
        </w:rPr>
        <w:t>מהם השינויים הנדרשים בתפיסת הרתעה לאיום במרחב הקיברנטי ביחס לתפיסת ההרתעה הנוכחית</w:t>
      </w:r>
      <w:r w:rsidR="00790011">
        <w:rPr>
          <w:rFonts w:cs="David" w:hint="cs"/>
          <w:sz w:val="28"/>
          <w:szCs w:val="28"/>
          <w:rtl/>
        </w:rPr>
        <w:t>.</w:t>
      </w:r>
    </w:p>
    <w:p w14:paraId="34A4B754" w14:textId="77777777" w:rsidR="0087046E" w:rsidRPr="00566BC4" w:rsidRDefault="43DB2334" w:rsidP="43DB2334">
      <w:pPr>
        <w:spacing w:line="360" w:lineRule="auto"/>
        <w:rPr>
          <w:rFonts w:cs="David"/>
          <w:b/>
          <w:bCs/>
          <w:sz w:val="28"/>
          <w:szCs w:val="28"/>
          <w:rtl/>
        </w:rPr>
      </w:pPr>
      <w:r w:rsidRPr="43DB2334">
        <w:rPr>
          <w:rFonts w:cs="David"/>
          <w:b/>
          <w:bCs/>
          <w:sz w:val="28"/>
          <w:szCs w:val="28"/>
          <w:rtl/>
        </w:rPr>
        <w:t>תיחום המחקר</w:t>
      </w:r>
      <w:r w:rsidRPr="43DB2334">
        <w:rPr>
          <w:rFonts w:cs="David"/>
          <w:b/>
          <w:bCs/>
          <w:sz w:val="28"/>
          <w:szCs w:val="28"/>
        </w:rPr>
        <w:t>:</w:t>
      </w:r>
    </w:p>
    <w:p w14:paraId="5A1A06E9" w14:textId="389920D8" w:rsidR="00C9092E" w:rsidRDefault="43DB2334" w:rsidP="43DB2334">
      <w:pPr>
        <w:spacing w:line="360" w:lineRule="auto"/>
        <w:jc w:val="both"/>
        <w:rPr>
          <w:rFonts w:cs="David"/>
          <w:sz w:val="28"/>
          <w:szCs w:val="28"/>
          <w:rtl/>
        </w:rPr>
      </w:pPr>
      <w:r w:rsidRPr="43DB2334">
        <w:rPr>
          <w:rFonts w:cs="David"/>
          <w:sz w:val="28"/>
          <w:szCs w:val="28"/>
          <w:rtl/>
        </w:rPr>
        <w:t>האיום במרחב הקיברנטי מתאפיין בתפוצה רחבה של תוקפים מסוגים שונים. ניתן לאפיין תוקפים אלו בהסתמך על חתכים שונים. החתך הראשון : עוצמת התוקף - החל מתקיפה על ידי האקרים בודדים, דרך ארגונים תת מדינתיים, ועד למדינות אויב ומעצמות על. חתך נוסף הוא תכלית התקיפה. תקיפה פלילית של ארגוני פשע במטרה להשיג רווחים כספיים (גניבת מידע, חשבונות בנק וכד') אל מול תקיפה בעלת היבטים ביטחוניים צבאיים. חתך שלישי אפשרי הוא נשוא התקיפה. מתקיפתו של אזרח בודד דרך חברה פרטית אזרחית קטנה ועד לחברות פרטיות או ממשלתיות גדולות, כולל גופי הביטחון של מדינת ישראל</w:t>
      </w:r>
      <w:r w:rsidRPr="43DB2334">
        <w:rPr>
          <w:rFonts w:cs="David"/>
          <w:sz w:val="28"/>
          <w:szCs w:val="28"/>
        </w:rPr>
        <w:t xml:space="preserve">. </w:t>
      </w:r>
    </w:p>
    <w:p w14:paraId="34A4B756" w14:textId="5FB16F7C" w:rsidR="0087046E" w:rsidRDefault="43DB2334" w:rsidP="43DB2334">
      <w:pPr>
        <w:spacing w:line="360" w:lineRule="auto"/>
        <w:jc w:val="both"/>
        <w:rPr>
          <w:rFonts w:cs="David"/>
          <w:sz w:val="28"/>
          <w:szCs w:val="28"/>
          <w:rtl/>
        </w:rPr>
      </w:pPr>
      <w:r w:rsidRPr="43DB2334">
        <w:rPr>
          <w:rFonts w:cs="David"/>
          <w:sz w:val="28"/>
          <w:szCs w:val="28"/>
          <w:rtl/>
        </w:rPr>
        <w:t xml:space="preserve">במטרה להגביל את היקף המחקר הוא יצומצם לתקיפה </w:t>
      </w:r>
      <w:r w:rsidRPr="43DB2334">
        <w:rPr>
          <w:rFonts w:cs="David"/>
          <w:b/>
          <w:bCs/>
          <w:sz w:val="28"/>
          <w:szCs w:val="28"/>
          <w:rtl/>
        </w:rPr>
        <w:t>ביטחונית</w:t>
      </w:r>
      <w:r w:rsidRPr="43DB2334">
        <w:rPr>
          <w:rFonts w:cs="David"/>
          <w:sz w:val="28"/>
          <w:szCs w:val="28"/>
          <w:rtl/>
        </w:rPr>
        <w:t xml:space="preserve"> של תוקף </w:t>
      </w:r>
      <w:r w:rsidRPr="43DB2334">
        <w:rPr>
          <w:rFonts w:cs="David"/>
          <w:b/>
          <w:bCs/>
          <w:sz w:val="28"/>
          <w:szCs w:val="28"/>
          <w:rtl/>
        </w:rPr>
        <w:t>מדינתי</w:t>
      </w:r>
      <w:r w:rsidRPr="43DB2334">
        <w:rPr>
          <w:rFonts w:cs="David"/>
          <w:sz w:val="28"/>
          <w:szCs w:val="28"/>
          <w:rtl/>
        </w:rPr>
        <w:t xml:space="preserve"> כנגד גופים </w:t>
      </w:r>
      <w:r w:rsidRPr="43DB2334">
        <w:rPr>
          <w:rFonts w:cs="David"/>
          <w:b/>
          <w:bCs/>
          <w:sz w:val="28"/>
          <w:szCs w:val="28"/>
          <w:rtl/>
        </w:rPr>
        <w:t>מדינתיים</w:t>
      </w:r>
      <w:r w:rsidRPr="43DB2334">
        <w:rPr>
          <w:rFonts w:cs="David"/>
          <w:sz w:val="28"/>
          <w:szCs w:val="28"/>
          <w:rtl/>
        </w:rPr>
        <w:t xml:space="preserve"> שכאמור הינו האיום המרכזי על מדינת ישראל. תקיפות פרטיות או של ארגון טרור כנגד בודדים או חברות קטנות במסגרת פשיעה לטובת הונאה כספית לא תכללנה במחקר זה</w:t>
      </w:r>
      <w:r w:rsidRPr="43DB2334">
        <w:rPr>
          <w:rFonts w:cs="David"/>
          <w:sz w:val="28"/>
          <w:szCs w:val="28"/>
        </w:rPr>
        <w:t xml:space="preserve">.      </w:t>
      </w:r>
    </w:p>
    <w:p w14:paraId="34A4B758" w14:textId="24C733D5" w:rsidR="0087046E" w:rsidRPr="00566BC4" w:rsidRDefault="43DB2334" w:rsidP="43DB2334">
      <w:pPr>
        <w:spacing w:line="360" w:lineRule="auto"/>
        <w:rPr>
          <w:rFonts w:cs="David"/>
          <w:b/>
          <w:bCs/>
          <w:sz w:val="28"/>
          <w:szCs w:val="28"/>
          <w:rtl/>
        </w:rPr>
      </w:pPr>
      <w:r w:rsidRPr="43DB2334">
        <w:rPr>
          <w:rFonts w:cs="David"/>
          <w:b/>
          <w:bCs/>
          <w:sz w:val="28"/>
          <w:szCs w:val="28"/>
          <w:rtl/>
        </w:rPr>
        <w:lastRenderedPageBreak/>
        <w:t>דרך הצגת הרעיונות במחקר (ראשי פרקים</w:t>
      </w:r>
      <w:r w:rsidR="00790011">
        <w:rPr>
          <w:rFonts w:cs="David" w:hint="cs"/>
          <w:b/>
          <w:bCs/>
          <w:sz w:val="28"/>
          <w:szCs w:val="28"/>
          <w:rtl/>
        </w:rPr>
        <w:t>):</w:t>
      </w:r>
    </w:p>
    <w:p w14:paraId="34A4B759" w14:textId="03A1DC42" w:rsidR="0087046E" w:rsidRDefault="43DB2334" w:rsidP="43DB2334">
      <w:pPr>
        <w:pStyle w:val="a3"/>
        <w:numPr>
          <w:ilvl w:val="0"/>
          <w:numId w:val="4"/>
        </w:numPr>
        <w:spacing w:line="360" w:lineRule="auto"/>
        <w:rPr>
          <w:rFonts w:cs="David"/>
          <w:sz w:val="28"/>
          <w:szCs w:val="28"/>
        </w:rPr>
      </w:pPr>
      <w:r w:rsidRPr="43DB2334">
        <w:rPr>
          <w:rFonts w:cs="David"/>
          <w:sz w:val="28"/>
          <w:szCs w:val="28"/>
          <w:rtl/>
        </w:rPr>
        <w:t>מבוא - הצגת הנושא ורמות המחקר</w:t>
      </w:r>
    </w:p>
    <w:p w14:paraId="34A4B75A" w14:textId="77777777" w:rsidR="009710B8" w:rsidRDefault="43DB2334" w:rsidP="43DB2334">
      <w:pPr>
        <w:pStyle w:val="a3"/>
        <w:numPr>
          <w:ilvl w:val="0"/>
          <w:numId w:val="4"/>
        </w:numPr>
        <w:spacing w:line="360" w:lineRule="auto"/>
        <w:rPr>
          <w:rFonts w:cs="David"/>
          <w:sz w:val="28"/>
          <w:szCs w:val="28"/>
        </w:rPr>
      </w:pPr>
      <w:r w:rsidRPr="43DB2334">
        <w:rPr>
          <w:rFonts w:cs="David"/>
          <w:sz w:val="28"/>
          <w:szCs w:val="28"/>
          <w:rtl/>
        </w:rPr>
        <w:t>בעיית המחקר</w:t>
      </w:r>
    </w:p>
    <w:p w14:paraId="34A4B75B" w14:textId="77777777" w:rsidR="009710B8" w:rsidRDefault="43DB2334" w:rsidP="43DB2334">
      <w:pPr>
        <w:pStyle w:val="a3"/>
        <w:numPr>
          <w:ilvl w:val="0"/>
          <w:numId w:val="4"/>
        </w:numPr>
        <w:spacing w:line="360" w:lineRule="auto"/>
        <w:rPr>
          <w:rFonts w:cs="David"/>
          <w:sz w:val="28"/>
          <w:szCs w:val="28"/>
        </w:rPr>
      </w:pPr>
      <w:r w:rsidRPr="43DB2334">
        <w:rPr>
          <w:rFonts w:cs="David"/>
          <w:sz w:val="28"/>
          <w:szCs w:val="28"/>
          <w:rtl/>
        </w:rPr>
        <w:t>מאפייני איום הסייבר ואסטרטגיית ההרתעה בו – סקר ספרות</w:t>
      </w:r>
    </w:p>
    <w:p w14:paraId="34A4B75C" w14:textId="77777777" w:rsidR="009710B8" w:rsidRDefault="43DB2334" w:rsidP="43DB2334">
      <w:pPr>
        <w:pStyle w:val="a3"/>
        <w:numPr>
          <w:ilvl w:val="0"/>
          <w:numId w:val="4"/>
        </w:numPr>
        <w:spacing w:line="360" w:lineRule="auto"/>
        <w:rPr>
          <w:rFonts w:cs="David"/>
          <w:sz w:val="28"/>
          <w:szCs w:val="28"/>
        </w:rPr>
      </w:pPr>
      <w:r w:rsidRPr="43DB2334">
        <w:rPr>
          <w:rFonts w:cs="David"/>
          <w:sz w:val="28"/>
          <w:szCs w:val="28"/>
          <w:rtl/>
        </w:rPr>
        <w:t>אתגר ההרתעה במרחב הקיברנטי</w:t>
      </w:r>
    </w:p>
    <w:p w14:paraId="34A4B75E" w14:textId="41209C45" w:rsidR="003619B7" w:rsidRDefault="43DB2334" w:rsidP="43DB2334">
      <w:pPr>
        <w:pStyle w:val="a3"/>
        <w:numPr>
          <w:ilvl w:val="0"/>
          <w:numId w:val="4"/>
        </w:numPr>
        <w:spacing w:line="360" w:lineRule="auto"/>
        <w:rPr>
          <w:rFonts w:cs="David"/>
          <w:sz w:val="28"/>
          <w:szCs w:val="28"/>
        </w:rPr>
      </w:pPr>
      <w:r w:rsidRPr="43DB2334">
        <w:rPr>
          <w:rFonts w:cs="David"/>
          <w:sz w:val="28"/>
          <w:szCs w:val="28"/>
          <w:rtl/>
        </w:rPr>
        <w:t>ייחודיות אסטרטגיית ההרתעה במרחב הקיברנטי – עקרונות תפיסתיים</w:t>
      </w:r>
    </w:p>
    <w:p w14:paraId="34A4B75F" w14:textId="77777777" w:rsidR="006C58AC" w:rsidRDefault="43DB2334" w:rsidP="43DB2334">
      <w:pPr>
        <w:pStyle w:val="a3"/>
        <w:numPr>
          <w:ilvl w:val="0"/>
          <w:numId w:val="4"/>
        </w:numPr>
        <w:spacing w:line="360" w:lineRule="auto"/>
        <w:rPr>
          <w:rFonts w:cs="David"/>
          <w:sz w:val="28"/>
          <w:szCs w:val="28"/>
        </w:rPr>
      </w:pPr>
      <w:r w:rsidRPr="43DB2334">
        <w:rPr>
          <w:rFonts w:cs="David"/>
          <w:sz w:val="28"/>
          <w:szCs w:val="28"/>
          <w:rtl/>
        </w:rPr>
        <w:t>סיכום ומסקנות</w:t>
      </w:r>
    </w:p>
    <w:p w14:paraId="34A4B761" w14:textId="77777777" w:rsidR="00AF7CDE" w:rsidRDefault="00AF7CDE" w:rsidP="00E34BB9">
      <w:pPr>
        <w:spacing w:line="360" w:lineRule="auto"/>
        <w:rPr>
          <w:rFonts w:cs="David"/>
          <w:b/>
          <w:bCs/>
          <w:sz w:val="28"/>
          <w:szCs w:val="28"/>
          <w:rtl/>
        </w:rPr>
      </w:pPr>
    </w:p>
    <w:p w14:paraId="34A4B762" w14:textId="77777777" w:rsidR="0087046E" w:rsidRPr="00566BC4" w:rsidRDefault="43DB2334" w:rsidP="43DB2334">
      <w:pPr>
        <w:spacing w:line="360" w:lineRule="auto"/>
        <w:rPr>
          <w:rFonts w:cs="David"/>
          <w:b/>
          <w:bCs/>
          <w:sz w:val="28"/>
          <w:szCs w:val="28"/>
          <w:rtl/>
        </w:rPr>
      </w:pPr>
      <w:r w:rsidRPr="43DB2334">
        <w:rPr>
          <w:rFonts w:cs="David"/>
          <w:b/>
          <w:bCs/>
          <w:sz w:val="28"/>
          <w:szCs w:val="28"/>
          <w:rtl/>
        </w:rPr>
        <w:t>חשיבות העבודה</w:t>
      </w:r>
      <w:r w:rsidRPr="43DB2334">
        <w:rPr>
          <w:rFonts w:cs="David"/>
          <w:b/>
          <w:bCs/>
          <w:sz w:val="28"/>
          <w:szCs w:val="28"/>
        </w:rPr>
        <w:t>:</w:t>
      </w:r>
    </w:p>
    <w:p w14:paraId="34A4B763" w14:textId="7883367D" w:rsidR="0087046E" w:rsidRDefault="43DB2334" w:rsidP="43DB2334">
      <w:pPr>
        <w:spacing w:line="360" w:lineRule="auto"/>
        <w:jc w:val="both"/>
        <w:rPr>
          <w:rFonts w:cs="David"/>
          <w:sz w:val="28"/>
          <w:szCs w:val="28"/>
          <w:rtl/>
        </w:rPr>
      </w:pPr>
      <w:r w:rsidRPr="43DB2334">
        <w:rPr>
          <w:rFonts w:cs="David"/>
          <w:sz w:val="28"/>
          <w:szCs w:val="28"/>
          <w:rtl/>
        </w:rPr>
        <w:t xml:space="preserve">התחום הקיברנטי נמצא בהתפתחות מתמדת בעשורים האחרונים. פוטנציאל הנזק העצום במרחב זה מעמיד את המדינות בפני צורך מיידי בגיבוש מענה הולם לחומרת האיום. גופים שונים בארץ ובעולם הוקמו אד-הוק על מנת לגבש תוכניות נרחבות להתמודדות כוללת עם האיום. מרכיב ההרתעה במענה הכולל, כנגד האיום הקונבנציונלי והגרעיני הוכח כחיוני ובעל יעילות גבוהה, בייחוד בכך שהצלחתו בשדה הקרב חוסכת את הצורך בשימוש </w:t>
      </w:r>
      <w:r w:rsidRPr="43DB2334">
        <w:rPr>
          <w:rFonts w:cs="David"/>
          <w:b/>
          <w:bCs/>
          <w:sz w:val="28"/>
          <w:szCs w:val="28"/>
          <w:rtl/>
        </w:rPr>
        <w:t>בפועל</w:t>
      </w:r>
      <w:r w:rsidRPr="43DB2334">
        <w:rPr>
          <w:rFonts w:cs="David"/>
          <w:sz w:val="28"/>
          <w:szCs w:val="28"/>
          <w:rtl/>
        </w:rPr>
        <w:t xml:space="preserve"> במרכיב הכוח. הרצון לממש מרכיב זה במרחב הקיברנטי מעלה אתגרים חדשים הקשורים באופן ישיר למאפייניו הייחודיים של האיום. בירור סוגיה זו הינו קריטי לביטחון הלאומי, שכן כישלון במציאת מענה לאתגרים אלו עלול לפגוע באחת מארבע הרגליים של הביטחון</w:t>
      </w:r>
      <w:r w:rsidRPr="43DB2334">
        <w:rPr>
          <w:rFonts w:cs="David"/>
          <w:sz w:val="28"/>
          <w:szCs w:val="28"/>
        </w:rPr>
        <w:t xml:space="preserve">.  </w:t>
      </w:r>
    </w:p>
    <w:p w14:paraId="34A4B764" w14:textId="77777777" w:rsidR="0087046E" w:rsidRDefault="43DB2334" w:rsidP="43DB2334">
      <w:pPr>
        <w:spacing w:line="360" w:lineRule="auto"/>
        <w:rPr>
          <w:rFonts w:cs="David"/>
          <w:sz w:val="28"/>
          <w:szCs w:val="28"/>
          <w:rtl/>
        </w:rPr>
      </w:pPr>
      <w:r w:rsidRPr="43DB2334">
        <w:rPr>
          <w:rFonts w:cs="David"/>
          <w:b/>
          <w:bCs/>
          <w:sz w:val="28"/>
          <w:szCs w:val="28"/>
          <w:rtl/>
        </w:rPr>
        <w:t>יוזם העבודה:</w:t>
      </w:r>
      <w:r w:rsidRPr="43DB2334">
        <w:rPr>
          <w:rFonts w:cs="David"/>
          <w:sz w:val="28"/>
          <w:szCs w:val="28"/>
          <w:rtl/>
        </w:rPr>
        <w:t xml:space="preserve"> הכותב</w:t>
      </w:r>
    </w:p>
    <w:p w14:paraId="34A4B765" w14:textId="77777777" w:rsidR="00B10C38" w:rsidRPr="00B10C38" w:rsidRDefault="43DB2334" w:rsidP="43DB2334">
      <w:pPr>
        <w:spacing w:line="360" w:lineRule="auto"/>
        <w:rPr>
          <w:rFonts w:cs="David"/>
          <w:b/>
          <w:bCs/>
          <w:sz w:val="28"/>
          <w:szCs w:val="28"/>
          <w:rtl/>
        </w:rPr>
      </w:pPr>
      <w:r w:rsidRPr="43DB2334">
        <w:rPr>
          <w:rFonts w:cs="David"/>
          <w:b/>
          <w:bCs/>
          <w:sz w:val="28"/>
          <w:szCs w:val="28"/>
          <w:rtl/>
        </w:rPr>
        <w:t>מנחי העבודה</w:t>
      </w:r>
      <w:r w:rsidRPr="43DB2334">
        <w:rPr>
          <w:rFonts w:cs="David"/>
          <w:b/>
          <w:bCs/>
          <w:sz w:val="28"/>
          <w:szCs w:val="28"/>
        </w:rPr>
        <w:t xml:space="preserve">: </w:t>
      </w:r>
    </w:p>
    <w:p w14:paraId="34A4B766" w14:textId="2F7E018C" w:rsidR="00B10C38" w:rsidRDefault="43DB2334" w:rsidP="43DB2334">
      <w:pPr>
        <w:spacing w:line="360" w:lineRule="auto"/>
        <w:ind w:left="720"/>
        <w:rPr>
          <w:rFonts w:cs="David"/>
          <w:sz w:val="28"/>
          <w:szCs w:val="28"/>
          <w:rtl/>
        </w:rPr>
      </w:pPr>
      <w:r w:rsidRPr="43DB2334">
        <w:rPr>
          <w:rFonts w:cs="David"/>
          <w:sz w:val="28"/>
          <w:szCs w:val="28"/>
          <w:rtl/>
        </w:rPr>
        <w:t>פרופ' יצחק בן ישראל (אוניברסיטת ת"א</w:t>
      </w:r>
      <w:r w:rsidR="00790011">
        <w:rPr>
          <w:rFonts w:cs="David" w:hint="cs"/>
          <w:sz w:val="28"/>
          <w:szCs w:val="28"/>
          <w:rtl/>
        </w:rPr>
        <w:t>)</w:t>
      </w:r>
    </w:p>
    <w:p w14:paraId="34A4B767" w14:textId="3356C3A2" w:rsidR="0087046E" w:rsidRDefault="43DB2334" w:rsidP="43DB2334">
      <w:pPr>
        <w:spacing w:line="360" w:lineRule="auto"/>
        <w:ind w:left="720"/>
        <w:rPr>
          <w:rFonts w:cs="David"/>
          <w:sz w:val="28"/>
          <w:szCs w:val="28"/>
          <w:rtl/>
        </w:rPr>
      </w:pPr>
      <w:r w:rsidRPr="43DB2334">
        <w:rPr>
          <w:rFonts w:cs="David"/>
          <w:sz w:val="28"/>
          <w:szCs w:val="28"/>
          <w:rtl/>
        </w:rPr>
        <w:t>פרופ' גבריאל בן דור (אוניברסיטת חיפה</w:t>
      </w:r>
      <w:r w:rsidR="00790011">
        <w:rPr>
          <w:rFonts w:cs="David" w:hint="cs"/>
          <w:sz w:val="28"/>
          <w:szCs w:val="28"/>
          <w:rtl/>
        </w:rPr>
        <w:t>)</w:t>
      </w:r>
    </w:p>
    <w:p w14:paraId="34A4B768" w14:textId="77777777" w:rsidR="0087046E" w:rsidRDefault="0087046E" w:rsidP="00E34BB9">
      <w:pPr>
        <w:spacing w:line="360" w:lineRule="auto"/>
        <w:rPr>
          <w:rFonts w:cs="David"/>
          <w:sz w:val="28"/>
          <w:szCs w:val="28"/>
          <w:rtl/>
        </w:rPr>
      </w:pPr>
    </w:p>
    <w:p w14:paraId="34A4B769" w14:textId="77777777" w:rsidR="0087046E" w:rsidRDefault="0087046E" w:rsidP="00E34BB9">
      <w:pPr>
        <w:spacing w:line="360" w:lineRule="auto"/>
        <w:rPr>
          <w:rFonts w:cs="David"/>
          <w:sz w:val="28"/>
          <w:szCs w:val="28"/>
          <w:rtl/>
        </w:rPr>
      </w:pPr>
    </w:p>
    <w:p w14:paraId="34A4B76A" w14:textId="77777777" w:rsidR="00E34BB9" w:rsidRPr="00E34BB9" w:rsidRDefault="00E34BB9" w:rsidP="00E34BB9">
      <w:pPr>
        <w:spacing w:line="360" w:lineRule="auto"/>
        <w:rPr>
          <w:rFonts w:cs="David"/>
          <w:sz w:val="28"/>
          <w:szCs w:val="28"/>
        </w:rPr>
      </w:pPr>
    </w:p>
    <w:sectPr w:rsidR="00E34BB9" w:rsidRPr="00E34BB9" w:rsidSect="00E34BB9">
      <w:headerReference w:type="default" r:id="rId7"/>
      <w:foot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A561A" w14:textId="77777777" w:rsidR="00177FE0" w:rsidRDefault="00177FE0" w:rsidP="00630E47">
      <w:pPr>
        <w:spacing w:after="0" w:line="240" w:lineRule="auto"/>
      </w:pPr>
      <w:r>
        <w:separator/>
      </w:r>
    </w:p>
  </w:endnote>
  <w:endnote w:type="continuationSeparator" w:id="0">
    <w:p w14:paraId="39E61C3F" w14:textId="77777777" w:rsidR="00177FE0" w:rsidRDefault="00177FE0" w:rsidP="0063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4B771" w14:textId="77777777" w:rsidR="00630E47" w:rsidRDefault="00630E47">
    <w:pPr>
      <w:pStyle w:val="a6"/>
      <w:rPr>
        <w:rFonts w:cs="David"/>
        <w:b/>
        <w:bCs/>
        <w:sz w:val="24"/>
        <w:szCs w:val="24"/>
        <w:rtl/>
      </w:rPr>
    </w:pPr>
    <w:r>
      <w:rPr>
        <w:rFonts w:cs="David" w:hint="cs"/>
        <w:b/>
        <w:bCs/>
        <w:sz w:val="24"/>
        <w:szCs w:val="24"/>
        <w:rtl/>
      </w:rPr>
      <w:t>________________________________________________________________________________</w:t>
    </w:r>
  </w:p>
  <w:p w14:paraId="34A4B772" w14:textId="77777777" w:rsidR="00630E47" w:rsidRDefault="00630E47">
    <w:pPr>
      <w:pStyle w:val="a6"/>
      <w:rPr>
        <w:rFonts w:cs="David"/>
        <w:b/>
        <w:bCs/>
        <w:sz w:val="24"/>
        <w:szCs w:val="24"/>
        <w:rtl/>
      </w:rPr>
    </w:pPr>
  </w:p>
  <w:p w14:paraId="34A4B773" w14:textId="77777777" w:rsidR="00630E47" w:rsidRPr="00630E47" w:rsidRDefault="00630E47">
    <w:pPr>
      <w:pStyle w:val="a6"/>
      <w:rPr>
        <w:rFonts w:cs="David"/>
        <w:sz w:val="24"/>
        <w:szCs w:val="24"/>
      </w:rPr>
    </w:pPr>
    <w:r w:rsidRPr="00630E47">
      <w:rPr>
        <w:rFonts w:cs="David" w:hint="cs"/>
        <w:sz w:val="24"/>
        <w:szCs w:val="24"/>
        <w:rtl/>
      </w:rPr>
      <w:t xml:space="preserve">מב"ל מחזור מ"ה </w:t>
    </w:r>
    <w:r w:rsidRPr="00630E47">
      <w:rPr>
        <w:rFonts w:cs="David"/>
        <w:sz w:val="24"/>
        <w:szCs w:val="24"/>
        <w:rtl/>
      </w:rPr>
      <w:t>–</w:t>
    </w:r>
    <w:r w:rsidRPr="00630E47">
      <w:rPr>
        <w:rFonts w:cs="David" w:hint="cs"/>
        <w:sz w:val="24"/>
        <w:szCs w:val="24"/>
        <w:rtl/>
      </w:rPr>
      <w:t xml:space="preserve"> הצעת מחקר לעבודה שנתית </w:t>
    </w:r>
    <w:r w:rsidRPr="00630E47">
      <w:rPr>
        <w:rFonts w:cs="David"/>
        <w:sz w:val="24"/>
        <w:szCs w:val="24"/>
        <w:rtl/>
      </w:rPr>
      <w:t>–</w:t>
    </w:r>
    <w:r w:rsidRPr="00630E47">
      <w:rPr>
        <w:rFonts w:cs="David" w:hint="cs"/>
        <w:sz w:val="24"/>
        <w:szCs w:val="24"/>
        <w:rtl/>
      </w:rPr>
      <w:t xml:space="preserve"> אל"ם שמואל בן עזרא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452CF" w14:textId="77777777" w:rsidR="00177FE0" w:rsidRDefault="00177FE0" w:rsidP="00630E47">
      <w:pPr>
        <w:spacing w:after="0" w:line="240" w:lineRule="auto"/>
      </w:pPr>
      <w:r>
        <w:separator/>
      </w:r>
    </w:p>
  </w:footnote>
  <w:footnote w:type="continuationSeparator" w:id="0">
    <w:p w14:paraId="7BC7E0B8" w14:textId="77777777" w:rsidR="00177FE0" w:rsidRDefault="00177FE0" w:rsidP="00630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4B76F" w14:textId="4B98ACED" w:rsidR="00630E47" w:rsidRPr="00630E47" w:rsidRDefault="00630E47">
    <w:pPr>
      <w:pStyle w:val="a4"/>
      <w:jc w:val="right"/>
      <w:rPr>
        <w:rFonts w:cs="David"/>
        <w:b/>
        <w:bCs/>
        <w:rtl/>
        <w:cs/>
      </w:rPr>
    </w:pPr>
    <w:r w:rsidRPr="00630E47">
      <w:rPr>
        <w:rFonts w:cs="David" w:hint="cs"/>
        <w:b/>
        <w:bCs/>
        <w:rtl/>
      </w:rPr>
      <w:t xml:space="preserve">עמוד </w:t>
    </w:r>
    <w:sdt>
      <w:sdtPr>
        <w:rPr>
          <w:rFonts w:cs="David"/>
          <w:b/>
          <w:bCs/>
          <w:rtl/>
        </w:rPr>
        <w:id w:val="1425139032"/>
        <w:docPartObj>
          <w:docPartGallery w:val="Page Numbers (Top of Page)"/>
          <w:docPartUnique/>
        </w:docPartObj>
      </w:sdtPr>
      <w:sdtEndPr/>
      <w:sdtContent>
        <w:r w:rsidRPr="00630E47">
          <w:rPr>
            <w:rFonts w:cs="David"/>
            <w:b/>
            <w:bCs/>
          </w:rPr>
          <w:fldChar w:fldCharType="begin"/>
        </w:r>
        <w:r w:rsidRPr="00630E47">
          <w:rPr>
            <w:rFonts w:cs="David"/>
            <w:b/>
            <w:bCs/>
            <w:rtl/>
            <w:cs/>
          </w:rPr>
          <w:instrText>PAGE   \* MERGEFORMAT</w:instrText>
        </w:r>
        <w:r w:rsidRPr="00630E47">
          <w:rPr>
            <w:rFonts w:cs="David"/>
            <w:b/>
            <w:bCs/>
          </w:rPr>
          <w:fldChar w:fldCharType="separate"/>
        </w:r>
        <w:r w:rsidR="000661EC" w:rsidRPr="000661EC">
          <w:rPr>
            <w:rFonts w:cs="David"/>
            <w:b/>
            <w:bCs/>
            <w:noProof/>
            <w:rtl/>
            <w:lang w:val="he-IL"/>
          </w:rPr>
          <w:t>2</w:t>
        </w:r>
        <w:r w:rsidRPr="00630E47">
          <w:rPr>
            <w:rFonts w:cs="David"/>
            <w:b/>
            <w:bCs/>
          </w:rPr>
          <w:fldChar w:fldCharType="end"/>
        </w:r>
      </w:sdtContent>
    </w:sdt>
  </w:p>
  <w:p w14:paraId="34A4B770" w14:textId="77777777" w:rsidR="00630E47" w:rsidRDefault="00630E47" w:rsidP="00630E4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E69"/>
    <w:multiLevelType w:val="hybridMultilevel"/>
    <w:tmpl w:val="1A3A6970"/>
    <w:lvl w:ilvl="0" w:tplc="FFFFFFFF">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D5C16"/>
    <w:multiLevelType w:val="hybridMultilevel"/>
    <w:tmpl w:val="1A3A6970"/>
    <w:lvl w:ilvl="0" w:tplc="FFFFFFFF">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D3551"/>
    <w:multiLevelType w:val="hybridMultilevel"/>
    <w:tmpl w:val="A3A224A4"/>
    <w:lvl w:ilvl="0" w:tplc="62246A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C47A6"/>
    <w:multiLevelType w:val="hybridMultilevel"/>
    <w:tmpl w:val="015801CA"/>
    <w:lvl w:ilvl="0" w:tplc="0DA48C64">
      <w:start w:val="1"/>
      <w:numFmt w:val="decimal"/>
      <w:lvlText w:val="%1."/>
      <w:lvlJc w:val="left"/>
      <w:pPr>
        <w:ind w:left="720" w:hanging="360"/>
      </w:pPr>
    </w:lvl>
    <w:lvl w:ilvl="1" w:tplc="793A1750">
      <w:start w:val="1"/>
      <w:numFmt w:val="lowerLetter"/>
      <w:lvlText w:val="%2."/>
      <w:lvlJc w:val="left"/>
      <w:pPr>
        <w:ind w:left="1440" w:hanging="360"/>
      </w:pPr>
    </w:lvl>
    <w:lvl w:ilvl="2" w:tplc="95B49632">
      <w:start w:val="1"/>
      <w:numFmt w:val="lowerRoman"/>
      <w:lvlText w:val="%3."/>
      <w:lvlJc w:val="right"/>
      <w:pPr>
        <w:ind w:left="2160" w:hanging="180"/>
      </w:pPr>
    </w:lvl>
    <w:lvl w:ilvl="3" w:tplc="98A0B366">
      <w:start w:val="1"/>
      <w:numFmt w:val="decimal"/>
      <w:lvlText w:val="%4."/>
      <w:lvlJc w:val="left"/>
      <w:pPr>
        <w:ind w:left="2880" w:hanging="360"/>
      </w:pPr>
    </w:lvl>
    <w:lvl w:ilvl="4" w:tplc="FD88D8C2">
      <w:start w:val="1"/>
      <w:numFmt w:val="lowerLetter"/>
      <w:lvlText w:val="%5."/>
      <w:lvlJc w:val="left"/>
      <w:pPr>
        <w:ind w:left="3600" w:hanging="360"/>
      </w:pPr>
    </w:lvl>
    <w:lvl w:ilvl="5" w:tplc="4A3689C6">
      <w:start w:val="1"/>
      <w:numFmt w:val="lowerRoman"/>
      <w:lvlText w:val="%6."/>
      <w:lvlJc w:val="right"/>
      <w:pPr>
        <w:ind w:left="4320" w:hanging="180"/>
      </w:pPr>
    </w:lvl>
    <w:lvl w:ilvl="6" w:tplc="DEDC3870">
      <w:start w:val="1"/>
      <w:numFmt w:val="decimal"/>
      <w:lvlText w:val="%7."/>
      <w:lvlJc w:val="left"/>
      <w:pPr>
        <w:ind w:left="5040" w:hanging="360"/>
      </w:pPr>
    </w:lvl>
    <w:lvl w:ilvl="7" w:tplc="7E68CBBA">
      <w:start w:val="1"/>
      <w:numFmt w:val="lowerLetter"/>
      <w:lvlText w:val="%8."/>
      <w:lvlJc w:val="left"/>
      <w:pPr>
        <w:ind w:left="5760" w:hanging="360"/>
      </w:pPr>
    </w:lvl>
    <w:lvl w:ilvl="8" w:tplc="4AC27C0E">
      <w:start w:val="1"/>
      <w:numFmt w:val="lowerRoman"/>
      <w:lvlText w:val="%9."/>
      <w:lvlJc w:val="right"/>
      <w:pPr>
        <w:ind w:left="6480" w:hanging="180"/>
      </w:pPr>
    </w:lvl>
  </w:abstractNum>
  <w:abstractNum w:abstractNumId="4" w15:restartNumberingAfterBreak="0">
    <w:nsid w:val="5FAE5AFD"/>
    <w:multiLevelType w:val="hybridMultilevel"/>
    <w:tmpl w:val="75328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BB9"/>
    <w:rsid w:val="00005B7B"/>
    <w:rsid w:val="0002169D"/>
    <w:rsid w:val="00037958"/>
    <w:rsid w:val="0004319C"/>
    <w:rsid w:val="00050065"/>
    <w:rsid w:val="000661EC"/>
    <w:rsid w:val="00086945"/>
    <w:rsid w:val="00093F09"/>
    <w:rsid w:val="000B0583"/>
    <w:rsid w:val="000D7198"/>
    <w:rsid w:val="000E7C72"/>
    <w:rsid w:val="00104118"/>
    <w:rsid w:val="001338E7"/>
    <w:rsid w:val="0015483B"/>
    <w:rsid w:val="00177FE0"/>
    <w:rsid w:val="001D4CF8"/>
    <w:rsid w:val="001F373E"/>
    <w:rsid w:val="001F3A85"/>
    <w:rsid w:val="00211B2A"/>
    <w:rsid w:val="00214CAC"/>
    <w:rsid w:val="0022072A"/>
    <w:rsid w:val="0027410D"/>
    <w:rsid w:val="0027475B"/>
    <w:rsid w:val="00291626"/>
    <w:rsid w:val="002A1811"/>
    <w:rsid w:val="002D38F7"/>
    <w:rsid w:val="002D6B77"/>
    <w:rsid w:val="002F1CE4"/>
    <w:rsid w:val="003619B7"/>
    <w:rsid w:val="003720C3"/>
    <w:rsid w:val="003909B7"/>
    <w:rsid w:val="00396378"/>
    <w:rsid w:val="003A0848"/>
    <w:rsid w:val="003C2235"/>
    <w:rsid w:val="003D2F24"/>
    <w:rsid w:val="003D38E1"/>
    <w:rsid w:val="00402283"/>
    <w:rsid w:val="004310A0"/>
    <w:rsid w:val="00447669"/>
    <w:rsid w:val="004530DC"/>
    <w:rsid w:val="00470789"/>
    <w:rsid w:val="004C04D0"/>
    <w:rsid w:val="00517AD2"/>
    <w:rsid w:val="00530B01"/>
    <w:rsid w:val="00534B43"/>
    <w:rsid w:val="00561E2C"/>
    <w:rsid w:val="00566BC4"/>
    <w:rsid w:val="005773D5"/>
    <w:rsid w:val="005C7FB4"/>
    <w:rsid w:val="005E4FBE"/>
    <w:rsid w:val="005F22BB"/>
    <w:rsid w:val="005F7B05"/>
    <w:rsid w:val="00613C27"/>
    <w:rsid w:val="00630E47"/>
    <w:rsid w:val="00633539"/>
    <w:rsid w:val="00642EFE"/>
    <w:rsid w:val="0065109C"/>
    <w:rsid w:val="00663C17"/>
    <w:rsid w:val="00676915"/>
    <w:rsid w:val="006C58AC"/>
    <w:rsid w:val="006C67A5"/>
    <w:rsid w:val="006C7197"/>
    <w:rsid w:val="00705EF6"/>
    <w:rsid w:val="00746E37"/>
    <w:rsid w:val="00790011"/>
    <w:rsid w:val="0079138E"/>
    <w:rsid w:val="007A49C9"/>
    <w:rsid w:val="007B7A83"/>
    <w:rsid w:val="007C77FE"/>
    <w:rsid w:val="007E71F9"/>
    <w:rsid w:val="007F28B2"/>
    <w:rsid w:val="0087046E"/>
    <w:rsid w:val="00885E0D"/>
    <w:rsid w:val="008B5843"/>
    <w:rsid w:val="00914F7B"/>
    <w:rsid w:val="00922BAB"/>
    <w:rsid w:val="00950E54"/>
    <w:rsid w:val="009535C6"/>
    <w:rsid w:val="0096169A"/>
    <w:rsid w:val="009710B8"/>
    <w:rsid w:val="009E3D83"/>
    <w:rsid w:val="009E6BCC"/>
    <w:rsid w:val="00A312CB"/>
    <w:rsid w:val="00A34D4B"/>
    <w:rsid w:val="00A66878"/>
    <w:rsid w:val="00AB1E6A"/>
    <w:rsid w:val="00AD7BEF"/>
    <w:rsid w:val="00AE4AB4"/>
    <w:rsid w:val="00AF7CDE"/>
    <w:rsid w:val="00B10C38"/>
    <w:rsid w:val="00B16D28"/>
    <w:rsid w:val="00B21183"/>
    <w:rsid w:val="00B3293F"/>
    <w:rsid w:val="00B335FF"/>
    <w:rsid w:val="00B427F7"/>
    <w:rsid w:val="00B52711"/>
    <w:rsid w:val="00B669EF"/>
    <w:rsid w:val="00B951A8"/>
    <w:rsid w:val="00BB5C1C"/>
    <w:rsid w:val="00BB740A"/>
    <w:rsid w:val="00BD15A9"/>
    <w:rsid w:val="00C130E5"/>
    <w:rsid w:val="00C16CE8"/>
    <w:rsid w:val="00C3736E"/>
    <w:rsid w:val="00C37396"/>
    <w:rsid w:val="00C66B0A"/>
    <w:rsid w:val="00C66D2E"/>
    <w:rsid w:val="00C9092E"/>
    <w:rsid w:val="00CA5C83"/>
    <w:rsid w:val="00CC288B"/>
    <w:rsid w:val="00CF0D10"/>
    <w:rsid w:val="00D12C7A"/>
    <w:rsid w:val="00D23721"/>
    <w:rsid w:val="00D26781"/>
    <w:rsid w:val="00D43105"/>
    <w:rsid w:val="00D54AD2"/>
    <w:rsid w:val="00D846F9"/>
    <w:rsid w:val="00D85589"/>
    <w:rsid w:val="00D95679"/>
    <w:rsid w:val="00DA32D9"/>
    <w:rsid w:val="00DC17CF"/>
    <w:rsid w:val="00DD17FB"/>
    <w:rsid w:val="00DD203B"/>
    <w:rsid w:val="00DE151E"/>
    <w:rsid w:val="00DF02FF"/>
    <w:rsid w:val="00E225F2"/>
    <w:rsid w:val="00E34BB9"/>
    <w:rsid w:val="00E56A42"/>
    <w:rsid w:val="00E94FB7"/>
    <w:rsid w:val="00EB39C3"/>
    <w:rsid w:val="00F017D9"/>
    <w:rsid w:val="00F0267C"/>
    <w:rsid w:val="00F128A3"/>
    <w:rsid w:val="00F216A6"/>
    <w:rsid w:val="00F243B9"/>
    <w:rsid w:val="00F37782"/>
    <w:rsid w:val="00F62328"/>
    <w:rsid w:val="00F826F9"/>
    <w:rsid w:val="00F85535"/>
    <w:rsid w:val="00FA3D9B"/>
    <w:rsid w:val="00FC235C"/>
    <w:rsid w:val="00FF185E"/>
    <w:rsid w:val="43DB23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B741"/>
  <w15:chartTrackingRefBased/>
  <w15:docId w15:val="{BE47D4B6-BA4A-45FA-9D50-7393D8E9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19C"/>
    <w:pPr>
      <w:ind w:left="720"/>
      <w:contextualSpacing/>
    </w:pPr>
  </w:style>
  <w:style w:type="paragraph" w:styleId="a4">
    <w:name w:val="header"/>
    <w:basedOn w:val="a"/>
    <w:link w:val="a5"/>
    <w:uiPriority w:val="99"/>
    <w:unhideWhenUsed/>
    <w:rsid w:val="00630E47"/>
    <w:pPr>
      <w:tabs>
        <w:tab w:val="center" w:pos="4153"/>
        <w:tab w:val="right" w:pos="8306"/>
      </w:tabs>
      <w:spacing w:after="0" w:line="240" w:lineRule="auto"/>
    </w:pPr>
  </w:style>
  <w:style w:type="character" w:customStyle="1" w:styleId="a5">
    <w:name w:val="כותרת עליונה תו"/>
    <w:basedOn w:val="a0"/>
    <w:link w:val="a4"/>
    <w:uiPriority w:val="99"/>
    <w:rsid w:val="00630E47"/>
  </w:style>
  <w:style w:type="paragraph" w:styleId="a6">
    <w:name w:val="footer"/>
    <w:basedOn w:val="a"/>
    <w:link w:val="a7"/>
    <w:uiPriority w:val="99"/>
    <w:unhideWhenUsed/>
    <w:rsid w:val="00630E47"/>
    <w:pPr>
      <w:tabs>
        <w:tab w:val="center" w:pos="4153"/>
        <w:tab w:val="right" w:pos="8306"/>
      </w:tabs>
      <w:spacing w:after="0" w:line="240" w:lineRule="auto"/>
    </w:pPr>
  </w:style>
  <w:style w:type="character" w:customStyle="1" w:styleId="a7">
    <w:name w:val="כותרת תחתונה תו"/>
    <w:basedOn w:val="a0"/>
    <w:link w:val="a6"/>
    <w:uiPriority w:val="99"/>
    <w:rsid w:val="00630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3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756</Words>
  <Characters>3782</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שמואל בן-עזרא</dc:creator>
  <cp:keywords/>
  <dc:description/>
  <cp:lastModifiedBy>שמואל בן-עזרא</cp:lastModifiedBy>
  <cp:revision>28</cp:revision>
  <dcterms:created xsi:type="dcterms:W3CDTF">2017-12-26T12:21:00Z</dcterms:created>
  <dcterms:modified xsi:type="dcterms:W3CDTF">2017-12-26T19:01:00Z</dcterms:modified>
</cp:coreProperties>
</file>