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35" w:lineRule="auto"/>
        <w:rPr>
          <w:rFonts w:ascii="Arial" w:cs="Arial" w:eastAsia="Arial" w:hAnsi="Arial"/>
          <w:b w:val="1"/>
          <w:color w:val="000000"/>
          <w:sz w:val="45"/>
          <w:szCs w:val="4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המתנחלים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טועים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ולמה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ציונים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טועים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5"/>
          <w:szCs w:val="45"/>
          <w:rtl w:val="1"/>
        </w:rPr>
        <w:t xml:space="preserve">הם</w:t>
      </w:r>
    </w:p>
    <w:p w:rsidR="00000000" w:rsidDel="00000000" w:rsidP="00000000" w:rsidRDefault="00000000" w:rsidRPr="00000000" w14:paraId="00000002">
      <w:pPr>
        <w:bidi w:val="1"/>
        <w:spacing w:after="0" w:before="21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המתנחלת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מקדמת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רוע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שעלולה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לסופה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בחסות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השאון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האופנתי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והמוטעה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שמקימים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אקדמאים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ציונים</w:t>
      </w:r>
    </w:p>
    <w:p w:rsidR="00000000" w:rsidDel="00000000" w:rsidP="00000000" w:rsidRDefault="00000000" w:rsidRPr="00000000" w14:paraId="00000003">
      <w:pPr>
        <w:bidi w:val="1"/>
        <w:spacing w:after="0" w:before="21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left="15" w:right="-15"/>
        <w:rPr>
          <w:rFonts w:ascii="Arial" w:cs="Arial" w:eastAsia="Arial" w:hAnsi="Arial"/>
          <w:color w:val="000000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000000"/>
            <w:sz w:val="21"/>
            <w:szCs w:val="21"/>
            <w:u w:val="single"/>
            <w:rtl w:val="1"/>
          </w:rPr>
          <w:t xml:space="preserve">חיים</w:t>
        </w:r>
      </w:hyperlink>
      <w:hyperlink r:id="rId7">
        <w:r w:rsidDel="00000000" w:rsidR="00000000" w:rsidRPr="00000000">
          <w:rPr>
            <w:rFonts w:ascii="Arial" w:cs="Arial" w:eastAsia="Arial" w:hAnsi="Arial"/>
            <w:b w:val="1"/>
            <w:color w:val="000000"/>
            <w:sz w:val="21"/>
            <w:szCs w:val="21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1"/>
            <w:color w:val="000000"/>
            <w:sz w:val="21"/>
            <w:szCs w:val="21"/>
            <w:u w:val="single"/>
            <w:rtl w:val="1"/>
          </w:rPr>
          <w:t xml:space="preserve">גנז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left="15" w:right="-15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left="15" w:right="-15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באיזו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מתווכחים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ארצם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בצדק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בקלות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נוצרה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קטל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ילידיים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ודרומה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זילנד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וקנדה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?...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עיראק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ירדן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ברזיל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הציטוט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מחוות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אנונימית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ספרי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תיאוריה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שקיבלתי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הוצאתו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באנגלית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במדור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הצטרף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דרור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אטקס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שקבע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דיונים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אקדמיים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ופובליציסטיים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צאצאי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מהגרים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הרעיון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פטריוטיזם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ילידי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דומות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שוויונית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שמפרסם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החוג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למדע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אוניברסיטת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ובמדור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ההשתלחויות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שהחזיק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דרור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ימיני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מעריב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07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מוכרח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להודות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בקואליציה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רחבה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אקדמיות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עיתונאיות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יוקרתיות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ויוקרתיות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שמאלניות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ימניות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שחברו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לבטא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מבוססת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עובדה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הבחנה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לטעות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בעובדה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אוסטרליה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עסוקה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עשרות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ברצח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שנלווה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אירופית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וצפון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בכללותה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ויכוחים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עיראק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וירדן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שקמו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משרירות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אדמיניסטרטיבית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תככים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קולוניאליים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חריג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הוויכוחים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המתנהלים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ומחוצה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ויכוחים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התקיימו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בעיראק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סדאם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חוסיין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בירדן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מדכאים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חופש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והוויכוח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הטעות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העובדתית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שחושב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מחווירה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כשבאים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טעויות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ההבחנה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טעויות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גורל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ופוליטית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גורל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מוסרית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הטעות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קשורה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גודל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האוכלוסיות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החדשות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שנוצרו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כאוסטרליה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ברזיל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מכינונן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המודרני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גודל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האוכלוסיות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המקוריות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המקביל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האוכלוסיות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וסביבתה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רוקי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והקריק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והאינואיט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לדחוק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בקלות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המדיניים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והמעשיים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הקיימות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בטלים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לאוכלוסיות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ממוצא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אירופי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ואחר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שהגיעו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הפשעים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שחיסלו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האומות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המקוריות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וסביבתה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לדחוק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המדיניים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קטלני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ההדהוד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למחריש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אוזניים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לתדרי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השמיעה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הנחוצים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לוויכוחים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באוסטרליה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לאבוריג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בקלישאת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שבחדר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שישתמש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לזבובי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הילידיים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שנותרו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באמריקות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ובאוסטרליה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לזבוב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שמבקשת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והמעגלים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הקונצנטריים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זאב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אלקין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ויריב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והמתנחלים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ואנשי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והרב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ליאור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וברוך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גולדשטיין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ויגאל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עמיר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החשובה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והשחתתה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המושחתת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מנחה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מעשיה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הפוליטיים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47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המכתיב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חיי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שחי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והופך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מתוקים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המתנחלים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וחלקם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הפלסטינים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המושחתת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מצליחה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שראשיה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לינוק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לגיטימיות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הצודקת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שביססה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הבדל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ההבחנה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המקרים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אוסטרליה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גורל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המוסרית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מבצעת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יומיומי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הצודק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המשחיתה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ההווה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הארצות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ביצעו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עברו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מכינון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נפשע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לרהביליטציה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ההווה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עתיד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ובקשת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כשמתווכחים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באוסטרליה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לאבוריג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הוויכוח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טיבם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הנפשע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לכפר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הוויכוח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טיבם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הנפשע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האוסטרלי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הלייבור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קווין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שעליו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להתנצל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השמרני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שקדם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הווארד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סירב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ניהל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שהמשיכה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הפשעים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מצויה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בקוטב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ההפוך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–70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חדלה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אוסטרליה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פשעים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האבוריג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הוויכוח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התחיל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–70,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כשהציונות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לאבד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צלמה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הצודק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שאיפשר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ללאומנות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המתנחלת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הרודה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למבקריה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לטשטש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ההבדל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העבריינות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ההולכת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ונמשכת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–70.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לעריצות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המתנחלת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נתניהו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ואורי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אריאל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להלבין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נפשעות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מדיניותם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הלגיטימיות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העשורים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והגורמים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לצודק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ולגיטימי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זנד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יהודה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שנהב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ואורי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נפשעות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המדיניות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נתניהו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ואריאל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להשחיר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שיכולה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משלימים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בהכתמת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מוסרי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היסטורי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שקשה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להסירו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ובהחרבתה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להשוות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עוצמת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מטילים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שהתפשטותו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מואצת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ולחורבן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צפויים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חורבן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שסכנתו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גוברת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להשוות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עוצמת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זניחה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כוחה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המתנחלת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והקניינית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מצען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האידיאולוגי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40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קובעים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הווייתה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והמדינית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באורח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יומיומי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החוקרים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האקדמאים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הנמנים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הזרם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מעוררים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השאון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מעוררים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אלמלא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השאון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וההפחדה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המיוצרת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באמצעותו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משרתים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האינטרס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יומיומי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ורב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עוצמה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מדיניותם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האסון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הסיכויים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להתחוללות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מקדמים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סופה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קלושים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שהטעויות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עשויות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להניע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שבסופו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תסתיים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הדומיננטיות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המתנחלת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והקניינית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במצעה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–40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העשויה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להניע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תהליכים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שבסופם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יתרחש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ההתנחלותית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קניינית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הרסנית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שביסוסיה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להתקבל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דעתם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שהשלכותיה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להתקבל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דעתם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הביסוסים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ההתנחלותית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כידוע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להבנת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ההיסטורי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כקשר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קנייני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נפתלי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סוחב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מטבעות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עתיקים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בכיס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בתוכניות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טלוויזיה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ישכנע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רוסו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ביטא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בבהירות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הסיבות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בדבריו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מנהגי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תפיסת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בטריטוריות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לכבוש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ולמנוע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האנושי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ליהנות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גזילה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לעונש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גוזלים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משאר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יישוב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ומזונות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שהטבע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העניק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רוסו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שראשונות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בטריטוריה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דמיינו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לעצמכם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טיעון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הראשונות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בטריטוריה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מושמע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בדיעבד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לטריטוריה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שנזנחה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מחזיקיה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ונתפסה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שלממשיכיהם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לעוולות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שביצעו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אבותיהם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הקטבים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לבעלות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ראשונות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טריטוריות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בהיסטוריה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ובזהות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ראשונותן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בהיסטוריה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הטריטוריה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לקביעת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הגיאוגרפי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להתממש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זכותן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השווה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נהנים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מכזאת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שהוקמה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ראשונות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לקביעת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לקביעת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היקפה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הטריטוריאלי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בתקופה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מנהיגים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והוגים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ופעילים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שחשבו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נתניהו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ובנט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במסמכיה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הרשמיים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דיברה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ליהודי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בפלשתינה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דיברה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פלשתינה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ובוודאי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בתוכנית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הקונגרס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בהצהרת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בלפור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ובתוכניות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והחלטות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החלוקה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המנהיגות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ניסחה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הסכימה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למסמכים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טקטיקה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העמדת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כידוע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טקטיקה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והעמדת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מבטאות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מעמידים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ואולם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ההתנחלותית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ביסוסה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וכאפס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השלכות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הביסוס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בגנותו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ההיגיון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הפנימי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לפגיעה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שיטתית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ויומיומית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פירושה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ההתנחלותי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מוכרחים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כקולקטיב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היסטורי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להיתפס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שגזלו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ארצם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מבטו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שיוענקו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קולקטיביות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הענקתן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כהענקת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לגזלן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במושא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גזילתו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שגזלו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כפרטים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ההתנחלותית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מתנדנדת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בסוגיה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הקוטב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הקיצוני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ימני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הקוטב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הכהניסטי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לסלק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הקוטב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שמאלני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הקוטב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ארנס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העלמת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כקולקטיב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מעמדם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האזרחי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כפרטים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מטוטלת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קטבים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מצויה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המתנחלת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מגרשת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בטפטוף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פוגעת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בשיטפונות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הפרטי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הפוליטיות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עוולות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רבתי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שחלקן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מבוצעות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וחלקן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לבקרים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מפלגות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פוליטיות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המבט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הקנייני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והמתנחל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נחשבות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עוולות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בפעולות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שבהתאם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צודקות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נדונה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תוסיף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האידיאולוגיה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מדיניותה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כשם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שדרום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אפריקה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האפריקנרים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נדונה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להתאנות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לשחורים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כשהגזענות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והאפרטהייד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מדיניותה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המתנחלת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גזענות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ואפרטהייד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שקולה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השלכותיה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לגזענות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ולאפרטהייד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באידיאולוגיה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שהפליית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השפלתו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ופגיעה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טבועה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מהחטאים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הגדולים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בנקודה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הלאומיות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האתנית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הדומיננטית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תרבותית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מנהלית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חוקתית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בלאומיות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טריטוריאלית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להפריד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שהשייכות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הקהילתית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התרבותית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נדבך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חוקתי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תישאר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וולונטרי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האזרחית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)".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לשלמה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זנד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דומות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וזנד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טוענים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סבורים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שוויונית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השוויוניות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וצריך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הענקת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קולקטיביות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נחוץ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העיקריות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כינון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וחסרות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הצדקה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שוללות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לגמרי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ומעניקות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ראויים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מסיחות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שבאמת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חמור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שמדינת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מגשימה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בעשורים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מגשימה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כאידיאולוגיה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המבקשת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כאידיאולוגיה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המבקשת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יהודית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שכתנועה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היסטורית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ביצעה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בשנותיה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המכוננות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פשעים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לבצעם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היסודית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שמעצם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הגדרתה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למימוש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שוויוני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פלסטינית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בפלסטין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הקניינית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התנחלותית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גוררת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מעצם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הגדרתה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שיטתית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מתמדת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עקרונית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וחמורה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להתקיים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הפגיעות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עבריינית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לפילוסוף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האמריקאי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רולס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הפילוסוף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–20,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Law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Peoples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הבחנה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רמתם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המוסרית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הסולם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ניצבים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ליברליים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המקיימים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דמוקרטיה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ושוויון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חבריהם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אחריהם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מכנה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מהוגנים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decent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דמוקרטיה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ושוויון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ושבמקומם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אצלם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היררכיות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מעמדיות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לסוגים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וקהיליות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מאורגנים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כביטויו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רולס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ומקפידים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שמצויים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בשליטתם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הקטגוריה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השלישית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רולס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החשובה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לענייננו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עברייניות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המאיימות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בנסותן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תחומי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השפעתן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ובפוגען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בסיסיות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שמצויים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בטריטוריות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הקנייני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התנחלותי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לסווג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שלמרות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יומרתה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ליברלית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ושוויונית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מהוגנת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התיאוריה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המכוננת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הפוליטיקה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הישראלית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הקניינית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ובגלל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ההתנחלויות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לפרש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התיאוריה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שביסוד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הפוליטיקה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הקטגוריה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השלישית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רולס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עבריינית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מתאימה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לאפיונה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הקטגוריה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שוויונית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היררכית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מהוגנת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להסתפק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בטענה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מסתפקים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יהדותה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לדמוקרטיות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ההופך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שוויונית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לבקרה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ביקורת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חיווריינית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המחמיצה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העיקר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מעמידים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ובעונה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מחמירות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תובעים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מחמיר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בשנותיה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המכוננות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נמנעים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להבליט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פשעה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המרכזי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שפירושה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שיטתית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מתמדת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ועקרונית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חטאם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העובדה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מעמידים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להגדרה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מייצרת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הבולטת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המטשטש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שבאמת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נחוץ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לזעוק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לגביו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הדומיננטית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הקניינית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קופצת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כמוצאת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ומבליטה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פרסומי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דובריה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הזניחות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הפוליטית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והחולשה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העיונית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טיעוניהם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בחסות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האנטגוניזם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שמעוררות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תביעותיה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צודקות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השאר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ממשיכה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הקניינית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חזונה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הנפשע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והראוי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יבוא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מעשיה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טיעוניהם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החלשים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אקדמיה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התחלתי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הרשימה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המוטחת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לעתים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קרובות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בעבודתי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באיזו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מתווכחים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ארצם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בצדק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ובטענות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מיותרותה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צדקת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נתתי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הרשימה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החשובה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שידוע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מערבית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הממשות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הטריטוריאלית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הדמוגרפית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ההיסטורית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והאידיאולוגית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שהביאה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לכינונה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ממשיכה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להתקיים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ולהזין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היומיומיים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חיי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במדיניות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החוץ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והביטחון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בהסדרים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החוקתיים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והמשפטיים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בכלכלה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בהסדרי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המקרקעין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וההגירה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המרחבים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הציבוריים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והסמליים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מעצבת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התחומים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ביסוסיה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והצדקותיה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ולהתווכח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תמשיך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לאורה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פשטנית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גסה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עיוורת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מרושעת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אסון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40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הניסיונות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המבטלות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לגמרי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שמנסה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הפוסט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ניסיונות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שהתחילו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–30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הכנענות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ואופנתיות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אינטלקטואליים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לתבל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הוויכוח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משמעותה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וצידוקיה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הוויכוח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בנפשנו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8"/>
        <w:szCs w:val="28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haaretz.co.il/misc/writers/WRITER-1.2294377" TargetMode="External"/><Relationship Id="rId7" Type="http://schemas.openxmlformats.org/officeDocument/2006/relationships/hyperlink" Target="https://www.haaretz.co.il/misc/writers/WRITER-1.2294377" TargetMode="External"/><Relationship Id="rId8" Type="http://schemas.openxmlformats.org/officeDocument/2006/relationships/hyperlink" Target="https://www.haaretz.co.il/misc/writers/WRITER-1.229437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