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3C" w:rsidRDefault="00CE589B" w:rsidP="00CE589B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הרצאת טומי שטיינר - יחסי ישראל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233A1E">
        <w:rPr>
          <w:rFonts w:cs="David" w:hint="cs"/>
          <w:b/>
          <w:bCs/>
          <w:sz w:val="28"/>
          <w:szCs w:val="28"/>
          <w:u w:val="single"/>
          <w:rtl/>
        </w:rPr>
        <w:t>נאט</w:t>
      </w:r>
      <w:r w:rsidR="00233A1E">
        <w:rPr>
          <w:rFonts w:cs="David"/>
          <w:b/>
          <w:bCs/>
          <w:sz w:val="28"/>
          <w:szCs w:val="28"/>
          <w:u w:val="single"/>
          <w:rtl/>
        </w:rPr>
        <w:t>"</w:t>
      </w:r>
      <w:r w:rsidR="00233A1E">
        <w:rPr>
          <w:rFonts w:cs="David" w:hint="cs"/>
          <w:b/>
          <w:bCs/>
          <w:sz w:val="28"/>
          <w:szCs w:val="28"/>
          <w:u w:val="single"/>
          <w:rtl/>
        </w:rPr>
        <w:t>ו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26/2/2019</w:t>
      </w:r>
    </w:p>
    <w:p w:rsidR="00CE589B" w:rsidRDefault="00CE589B">
      <w:pPr>
        <w:rPr>
          <w:rFonts w:cs="David"/>
          <w:b/>
          <w:bCs/>
          <w:sz w:val="28"/>
          <w:szCs w:val="28"/>
          <w:u w:val="single"/>
          <w:rtl/>
        </w:rPr>
      </w:pPr>
    </w:p>
    <w:p w:rsidR="00CE589B" w:rsidRDefault="00233A1E" w:rsidP="00CE589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ו</w:t>
      </w:r>
      <w:r w:rsidR="00CE589B">
        <w:rPr>
          <w:rFonts w:cs="David" w:hint="cs"/>
          <w:sz w:val="28"/>
          <w:szCs w:val="28"/>
          <w:rtl/>
        </w:rPr>
        <w:t xml:space="preserve"> נחשבת לברית הצבאית המוצלחת ביותר בהיסטוריה של העולם. </w:t>
      </w:r>
      <w:r>
        <w:rPr>
          <w:rFonts w:cs="David" w:hint="cs"/>
          <w:sz w:val="28"/>
          <w:szCs w:val="28"/>
          <w:rtl/>
        </w:rPr>
        <w:t>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ו</w:t>
      </w:r>
      <w:r w:rsidR="00CE589B">
        <w:rPr>
          <w:rFonts w:cs="David" w:hint="cs"/>
          <w:sz w:val="28"/>
          <w:szCs w:val="28"/>
          <w:rtl/>
        </w:rPr>
        <w:t xml:space="preserve"> יציין באפריל 2019 70 שנה </w:t>
      </w:r>
      <w:r w:rsidR="00CE589B">
        <w:rPr>
          <w:rFonts w:cs="David"/>
          <w:sz w:val="28"/>
          <w:szCs w:val="28"/>
          <w:rtl/>
        </w:rPr>
        <w:t>–</w:t>
      </w:r>
      <w:r w:rsidR="00CE589B">
        <w:rPr>
          <w:rFonts w:cs="David" w:hint="cs"/>
          <w:sz w:val="28"/>
          <w:szCs w:val="28"/>
          <w:rtl/>
        </w:rPr>
        <w:t xml:space="preserve"> וגם לכך יש משמעות. </w:t>
      </w:r>
    </w:p>
    <w:p w:rsidR="00CE589B" w:rsidRDefault="00CE589B" w:rsidP="00CE589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מבחינה היסטורית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נוסדה במטרה "</w:t>
      </w:r>
      <w:r>
        <w:rPr>
          <w:rFonts w:cs="David"/>
          <w:sz w:val="28"/>
          <w:szCs w:val="28"/>
        </w:rPr>
        <w:t xml:space="preserve">to keep the </w:t>
      </w:r>
      <w:proofErr w:type="spellStart"/>
      <w:r>
        <w:rPr>
          <w:rFonts w:cs="David"/>
          <w:sz w:val="28"/>
          <w:szCs w:val="28"/>
        </w:rPr>
        <w:t>americans</w:t>
      </w:r>
      <w:proofErr w:type="spellEnd"/>
      <w:r>
        <w:rPr>
          <w:rFonts w:cs="David"/>
          <w:sz w:val="28"/>
          <w:szCs w:val="28"/>
        </w:rPr>
        <w:t xml:space="preserve"> in, the Russians out, and the </w:t>
      </w:r>
      <w:proofErr w:type="spellStart"/>
      <w:r>
        <w:rPr>
          <w:rFonts w:cs="David"/>
          <w:sz w:val="28"/>
          <w:szCs w:val="28"/>
        </w:rPr>
        <w:t>germans</w:t>
      </w:r>
      <w:proofErr w:type="spellEnd"/>
      <w:r>
        <w:rPr>
          <w:rFonts w:cs="David"/>
          <w:sz w:val="28"/>
          <w:szCs w:val="28"/>
        </w:rPr>
        <w:t xml:space="preserve"> down</w:t>
      </w:r>
      <w:r>
        <w:rPr>
          <w:rFonts w:cs="David" w:hint="cs"/>
          <w:sz w:val="28"/>
          <w:szCs w:val="28"/>
          <w:rtl/>
        </w:rPr>
        <w:t xml:space="preserve">"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אמירת המזכיר הראשון של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. </w:t>
      </w:r>
    </w:p>
    <w:p w:rsidR="00CE589B" w:rsidRDefault="00233A1E" w:rsidP="00CE589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ו</w:t>
      </w:r>
      <w:r w:rsidR="00CE589B">
        <w:rPr>
          <w:rFonts w:cs="David" w:hint="cs"/>
          <w:sz w:val="28"/>
          <w:szCs w:val="28"/>
          <w:rtl/>
        </w:rPr>
        <w:t xml:space="preserve"> היא ברית צבאית, אך היא גם ארגון פוליטי ומדיני. ביום יום היא מנוהלת על ידי נציגי משרדי חוץ. המועצה הצפון אטלנטית שמקבלת את ההחלטות ב</w:t>
      </w:r>
      <w:r>
        <w:rPr>
          <w:rFonts w:cs="David" w:hint="cs"/>
          <w:sz w:val="28"/>
          <w:szCs w:val="28"/>
          <w:rtl/>
        </w:rPr>
        <w:t>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ו</w:t>
      </w:r>
      <w:r w:rsidR="00CE589B">
        <w:rPr>
          <w:rFonts w:cs="David" w:hint="cs"/>
          <w:sz w:val="28"/>
          <w:szCs w:val="28"/>
          <w:rtl/>
        </w:rPr>
        <w:t xml:space="preserve"> מורכבת מדיפלומטים </w:t>
      </w:r>
      <w:r w:rsidR="00CE589B">
        <w:rPr>
          <w:rFonts w:cs="David"/>
          <w:sz w:val="28"/>
          <w:szCs w:val="28"/>
          <w:rtl/>
        </w:rPr>
        <w:t>–</w:t>
      </w:r>
      <w:r w:rsidR="00CE589B">
        <w:rPr>
          <w:rFonts w:cs="David" w:hint="cs"/>
          <w:sz w:val="28"/>
          <w:szCs w:val="28"/>
          <w:rtl/>
        </w:rPr>
        <w:t xml:space="preserve"> שגרירים שמייצגים את מדינותיהם. </w:t>
      </w:r>
    </w:p>
    <w:p w:rsidR="00CE589B" w:rsidRDefault="00CE589B" w:rsidP="00CE589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סעיף 5 לאמנה שמכוחה הוקמה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קובע שהתקפה על אחת המדינות שמרכיבות את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תחשב להתקפה על כולן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אך כל מדינה תנקוט בתגובה כפי שהיא רואה לנכון. </w:t>
      </w:r>
    </w:p>
    <w:p w:rsidR="00CE589B" w:rsidRDefault="00CE589B" w:rsidP="00CE589B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בתקופת המלחמה הקרה התחולל משבר חמור בין ארה"ב לבריטניה וצרפת, וזה גם הוביל לכך ש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עבר</w:t>
      </w:r>
      <w:r w:rsidR="00770A8E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 לפריז. </w:t>
      </w:r>
      <w:r w:rsidR="00770A8E">
        <w:rPr>
          <w:rFonts w:cs="David" w:hint="cs"/>
          <w:sz w:val="28"/>
          <w:szCs w:val="28"/>
          <w:rtl/>
        </w:rPr>
        <w:t xml:space="preserve">סיום המלחמה הקרה היה אירוע מכונן מבחינת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 w:rsidR="00770A8E">
        <w:rPr>
          <w:rFonts w:cs="David" w:hint="cs"/>
          <w:sz w:val="28"/>
          <w:szCs w:val="28"/>
          <w:rtl/>
        </w:rPr>
        <w:t xml:space="preserve">. </w:t>
      </w:r>
    </w:p>
    <w:p w:rsidR="00770A8E" w:rsidRDefault="00770A8E" w:rsidP="00770A8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בשנות ה-90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המלחמה הראשונה המשמעותית של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בשנת 1995 ולאחר מכן בשנת 1999 כאשר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כפתה על סרביה להסכים לעצמאות בקוסובו. </w:t>
      </w:r>
    </w:p>
    <w:p w:rsidR="00770A8E" w:rsidRDefault="00233A1E" w:rsidP="00770A8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ו</w:t>
      </w:r>
      <w:r w:rsidR="00770A8E">
        <w:rPr>
          <w:rFonts w:cs="David" w:hint="cs"/>
          <w:sz w:val="28"/>
          <w:szCs w:val="28"/>
          <w:rtl/>
        </w:rPr>
        <w:t xml:space="preserve"> הוקמה כברית המבוססת על הגנה קולקטיבית למדינות החברות לה </w:t>
      </w:r>
      <w:r w:rsidR="00770A8E">
        <w:rPr>
          <w:rFonts w:cs="David"/>
          <w:sz w:val="28"/>
          <w:szCs w:val="28"/>
          <w:rtl/>
        </w:rPr>
        <w:t>–</w:t>
      </w:r>
      <w:r w:rsidR="00770A8E">
        <w:rPr>
          <w:rFonts w:cs="David" w:hint="cs"/>
          <w:sz w:val="28"/>
          <w:szCs w:val="28"/>
          <w:rtl/>
        </w:rPr>
        <w:t xml:space="preserve"> ובמלחמות הבלקן היא פעלה בפעם הראשונה </w:t>
      </w:r>
      <w:proofErr w:type="spellStart"/>
      <w:r w:rsidR="00770A8E">
        <w:rPr>
          <w:rFonts w:cs="David" w:hint="cs"/>
          <w:sz w:val="28"/>
          <w:szCs w:val="28"/>
          <w:rtl/>
        </w:rPr>
        <w:t>כמשכינת</w:t>
      </w:r>
      <w:proofErr w:type="spellEnd"/>
      <w:r w:rsidR="00770A8E">
        <w:rPr>
          <w:rFonts w:cs="David" w:hint="cs"/>
          <w:sz w:val="28"/>
          <w:szCs w:val="28"/>
          <w:rtl/>
        </w:rPr>
        <w:t xml:space="preserve"> שלום, ומתוך האזור שלה. </w:t>
      </w:r>
    </w:p>
    <w:p w:rsidR="00770A8E" w:rsidRDefault="00770A8E" w:rsidP="00770A8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אירוע מכונן נוסף מבחינת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היה בפיגועי 11/9. בפעם הראשונה והאחרונה על הפעלת סעיף 5 לאמנה. </w:t>
      </w:r>
    </w:p>
    <w:p w:rsidR="00770A8E" w:rsidRDefault="00770A8E" w:rsidP="00770A8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בהמשך לכך התמקדה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בפעילות במזרח התיכון במובנו הרחב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אפגניסטן, הים התיכון, הים האדום, משימות של אימון גם בעיראק וגם במדינות ים תיכון אחרות. גולת הכותרת היתה המלחמה באפגניסטן. </w:t>
      </w:r>
    </w:p>
    <w:p w:rsidR="00770A8E" w:rsidRDefault="00770A8E" w:rsidP="00770A8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כשארה"ב יצאה למלחמה באפגניסטן לצד מספר שותפות בסוף 2001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לא היתה מעורבת בלחימה. זה מבצע במנדט של מועצת הביטחון של האו"ם, אך הוא הובל על ידי ארה"ב ולא על ידי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, וזו פעולה שהוגדרה כפעולה ללחימה בטרור. המטרה שלה לא היתה לכונן דמוקרטיה באפגניסטן, אלא לתפוס את בן לאדן ולסלק את שלטון </w:t>
      </w:r>
      <w:proofErr w:type="spellStart"/>
      <w:r>
        <w:rPr>
          <w:rFonts w:cs="David" w:hint="cs"/>
          <w:sz w:val="28"/>
          <w:szCs w:val="28"/>
          <w:rtl/>
        </w:rPr>
        <w:t>הטליבאן</w:t>
      </w:r>
      <w:proofErr w:type="spellEnd"/>
      <w:r>
        <w:rPr>
          <w:rFonts w:cs="David" w:hint="cs"/>
          <w:sz w:val="28"/>
          <w:szCs w:val="28"/>
          <w:rtl/>
        </w:rPr>
        <w:t xml:space="preserve"> בקאבול. למבצע בתחילת דרכו לא היו יומרות מעבר לכך. ב-2002 מועצת הביטחון של האו"ם החליטה לייסד משימה נוספת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כוח </w:t>
      </w:r>
      <w:proofErr w:type="spellStart"/>
      <w:r>
        <w:rPr>
          <w:rFonts w:cs="David" w:hint="cs"/>
          <w:sz w:val="28"/>
          <w:szCs w:val="28"/>
          <w:rtl/>
        </w:rPr>
        <w:t>אייסה</w:t>
      </w:r>
      <w:proofErr w:type="spellEnd"/>
      <w:r>
        <w:rPr>
          <w:rFonts w:cs="David" w:hint="cs"/>
          <w:sz w:val="28"/>
          <w:szCs w:val="28"/>
          <w:rtl/>
        </w:rPr>
        <w:t xml:space="preserve"> שהוא כוח סיוע שנועד לשמר ביטחון וסדר ולסייע לממשלה האפגנית. הכוח הוקם בקאבול ונשאר שם עד 2006.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קיבלה האחריות על </w:t>
      </w:r>
      <w:proofErr w:type="spellStart"/>
      <w:r>
        <w:rPr>
          <w:rFonts w:cs="David" w:hint="cs"/>
          <w:sz w:val="28"/>
          <w:szCs w:val="28"/>
          <w:rtl/>
        </w:rPr>
        <w:t>אייסה</w:t>
      </w:r>
      <w:proofErr w:type="spellEnd"/>
      <w:r>
        <w:rPr>
          <w:rFonts w:cs="David" w:hint="cs"/>
          <w:sz w:val="28"/>
          <w:szCs w:val="28"/>
          <w:rtl/>
        </w:rPr>
        <w:t xml:space="preserve"> החל משנת 2004 ומאז החלה </w:t>
      </w:r>
      <w:r>
        <w:rPr>
          <w:rFonts w:cs="David" w:hint="cs"/>
          <w:sz w:val="28"/>
          <w:szCs w:val="28"/>
          <w:rtl/>
        </w:rPr>
        <w:lastRenderedPageBreak/>
        <w:t xml:space="preserve">לפרוס כוחות באפגניסטן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זו משימה שונה מזו האמריקאית, גם עם פיקוד שונה. עם זאת ניכר חוסר הבנה מוחלט של המציאות אליה נכנסו כוחות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באפגניסטן. </w:t>
      </w:r>
    </w:p>
    <w:p w:rsidR="00770A8E" w:rsidRDefault="00770A8E" w:rsidP="00770A8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כשברק אובמה נבחר הוא החליט לשנות את המאזן בין עיראק לאפגניסטן, וב-2010 יצאו האמריקנים במידה רבה מעיראק והגדילו כוחות באפגניסטן. ב-2012 היו באפגניסטן 130,000 חיילים. היום הכוח שנשאר באפגניסטן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של אמריקאים ביחד אירופים עם אחרים מגיעים לכ-17,000 חיילים והאמריקנים מתכוונים לצמצם עוד את נוכחותם. </w:t>
      </w:r>
    </w:p>
    <w:p w:rsidR="00770A8E" w:rsidRDefault="00BA0F03" w:rsidP="00770A8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מוקד הפעילות של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עד ל-2014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סיום הנסיגה מאפגניסטן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לא נוגע למרחב האירופי. ההגנה הקולקטיבית היא פחות מרכזית, ובאותה תקופה הם גם מגלים את הים התיכון והמזרח התיכון. </w:t>
      </w:r>
    </w:p>
    <w:p w:rsidR="00BA0F03" w:rsidRDefault="00BA0F03" w:rsidP="00BA0F0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ב-1994 הקימה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את "הדיאלוג הים התיכוני". עד שנות ה-2000 הוא היה פורום טכני בדרג נמוך, אולם לאחר אירועי הטרור בספטמבר 2001 זה השתנה, ו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חתרה לגבש הסכמי שותפות עם מדינות בים התיכון, כשישראל היא הראשונה שהגיעה לשיתוף פעולה עם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ב-2006. במקביל הוקמה מסגרת למדינות המפרץ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</w:rPr>
        <w:t>ICI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בה משתתפות כוויית, קטאר ואיחוד האמירויות. </w:t>
      </w:r>
    </w:p>
    <w:p w:rsidR="00BA0F03" w:rsidRDefault="00BA0F03" w:rsidP="00BA0F0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באופן כללי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נוטה ללא מעט הססנות, כך למשל בעקבות מלחמת לבנון </w:t>
      </w:r>
      <w:proofErr w:type="spellStart"/>
      <w:r>
        <w:rPr>
          <w:rFonts w:cs="David" w:hint="cs"/>
          <w:sz w:val="28"/>
          <w:szCs w:val="28"/>
          <w:rtl/>
        </w:rPr>
        <w:t>השניה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שר הביטחון הציע להחליף את כוח יוניפיל בכוח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. ההצעה הזו נפלה מיד וחלק ממנהיגי מדינות אירופה הביעו הסתייגויות. שיראק, נשיא צרפת, טען ש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תיתפס ככוח צלבני במזרח התיכון. התגובות העידו על כך שהאירופים מאוד הססנים לגבי מה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יכולה לעשות במזרח התיכון. </w:t>
      </w:r>
    </w:p>
    <w:p w:rsidR="00BA0F03" w:rsidRDefault="00BA0F03" w:rsidP="00BA0F0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2014 היא שנה שבה דברים רבים משתנים ועולים מחדש שני איומים מרכזיים על סדר היום של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: האתגר/האיום הרוסי ועליית </w:t>
      </w:r>
      <w:proofErr w:type="spellStart"/>
      <w:r>
        <w:rPr>
          <w:rFonts w:cs="David" w:hint="cs"/>
          <w:sz w:val="28"/>
          <w:szCs w:val="28"/>
          <w:rtl/>
        </w:rPr>
        <w:t>דאעש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</w:p>
    <w:p w:rsidR="00BA0F03" w:rsidRDefault="00BA0F03" w:rsidP="00BA0F0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מאז סיום המלחמה הקרה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ניסו כל מיני מהלכים מול רוסיה. היו גם דיבורים על צירוף רוסיה ל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מה שבסוף לא צלח, וסימני שאלה בנוגע למה רוסיה רוצה ביחס ל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. </w:t>
      </w:r>
    </w:p>
    <w:p w:rsidR="00BA0F03" w:rsidRDefault="00BA0F03" w:rsidP="00BA0F0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למעשה ברוסיה יש טינה עמוקה כלפי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, בשל תחושתם שהאמריקאים ובעלות בריתם הפרו התחייבות לממשלת </w:t>
      </w:r>
      <w:proofErr w:type="spellStart"/>
      <w:r>
        <w:rPr>
          <w:rFonts w:cs="David" w:hint="cs"/>
          <w:sz w:val="28"/>
          <w:szCs w:val="28"/>
          <w:rtl/>
        </w:rPr>
        <w:t>ילצין</w:t>
      </w:r>
      <w:proofErr w:type="spellEnd"/>
      <w:r>
        <w:rPr>
          <w:rFonts w:cs="David" w:hint="cs"/>
          <w:sz w:val="28"/>
          <w:szCs w:val="28"/>
          <w:rtl/>
        </w:rPr>
        <w:t xml:space="preserve"> ש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לא תתרחב ולא תיכנס לגבולות מרכז ומזרח אירופה. בפועל האמריקנים מעולם לא נתנו הבטחה כזו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אך הם נתנו לנציגי ממשלת </w:t>
      </w:r>
      <w:proofErr w:type="spellStart"/>
      <w:r>
        <w:rPr>
          <w:rFonts w:cs="David" w:hint="cs"/>
          <w:sz w:val="28"/>
          <w:szCs w:val="28"/>
          <w:rtl/>
        </w:rPr>
        <w:t>ילצין</w:t>
      </w:r>
      <w:proofErr w:type="spellEnd"/>
      <w:r>
        <w:rPr>
          <w:rFonts w:cs="David" w:hint="cs"/>
          <w:sz w:val="28"/>
          <w:szCs w:val="28"/>
          <w:rtl/>
        </w:rPr>
        <w:t xml:space="preserve"> להבין כך. </w:t>
      </w:r>
    </w:p>
    <w:p w:rsidR="00BA0F03" w:rsidRDefault="00BA0F03" w:rsidP="00C02217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רוסיה רואה ב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כאיום על אזור ההשפעה של רוסיה במדינות הבלטיות, אוקראינה וגאורגיה. ההתערבות הרוסית באוקראינה באה כתגובה לניסיון להביא לכך שאוקראינה תחתום על הסכם התאגדות עם האיחוד האירופי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זה היה הטריגר שהביא לכיבוש חצי האי קרים, כיבוש שמבחינת רוסיה היווה הפרה של הסכם שהיא </w:t>
      </w:r>
      <w:r>
        <w:rPr>
          <w:rFonts w:cs="David" w:hint="cs"/>
          <w:sz w:val="28"/>
          <w:szCs w:val="28"/>
          <w:rtl/>
        </w:rPr>
        <w:lastRenderedPageBreak/>
        <w:t xml:space="preserve">חתמה עליו ביחס לאוקראינה ("מזכר בודפשט" שנחתם ב-1995 בו הוסכם על כך שאוקראינה תתפרק מנשקה הגרעיני ורוסיה, </w:t>
      </w:r>
      <w:r w:rsidR="00C02217">
        <w:rPr>
          <w:rFonts w:cs="David" w:hint="cs"/>
          <w:sz w:val="28"/>
          <w:szCs w:val="28"/>
          <w:rtl/>
        </w:rPr>
        <w:t>ארה"ב ו</w:t>
      </w:r>
      <w:r>
        <w:rPr>
          <w:rFonts w:cs="David" w:hint="cs"/>
          <w:sz w:val="28"/>
          <w:szCs w:val="28"/>
          <w:rtl/>
        </w:rPr>
        <w:t xml:space="preserve">בריטניה יהיו ערבות לשלמותה הטריטוריאלית). </w:t>
      </w:r>
    </w:p>
    <w:p w:rsidR="00C02217" w:rsidRDefault="00C02217" w:rsidP="00C02217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מאז שנת 2006 נקבע הרף שבו בנות הברית אמורות להקציב 2% </w:t>
      </w:r>
      <w:proofErr w:type="spellStart"/>
      <w:r>
        <w:rPr>
          <w:rFonts w:cs="David" w:hint="cs"/>
          <w:sz w:val="28"/>
          <w:szCs w:val="28"/>
          <w:rtl/>
        </w:rPr>
        <w:t>מהתמ"ג</w:t>
      </w:r>
      <w:proofErr w:type="spellEnd"/>
      <w:r>
        <w:rPr>
          <w:rFonts w:cs="David" w:hint="cs"/>
          <w:sz w:val="28"/>
          <w:szCs w:val="28"/>
          <w:rtl/>
        </w:rPr>
        <w:t xml:space="preserve"> שלהן להוצאות ביטחון, אך בפועל רוב מדינות אירופה לא באמת עומדות בכך, לרבות גרמניה וצרפת. ארה"ב מתהדרת בכך שהיא מקצה למעלה מ-4% </w:t>
      </w:r>
      <w:proofErr w:type="spellStart"/>
      <w:r>
        <w:rPr>
          <w:rFonts w:cs="David" w:hint="cs"/>
          <w:sz w:val="28"/>
          <w:szCs w:val="28"/>
          <w:rtl/>
        </w:rPr>
        <w:t>מהתמ"ג</w:t>
      </w:r>
      <w:proofErr w:type="spellEnd"/>
      <w:r>
        <w:rPr>
          <w:rFonts w:cs="David" w:hint="cs"/>
          <w:sz w:val="28"/>
          <w:szCs w:val="28"/>
          <w:rtl/>
        </w:rPr>
        <w:t xml:space="preserve"> שלה למטרות ביטחון, אך חלק גדול מתקציב הביטחון של ארה"ב הולך לזירה </w:t>
      </w:r>
      <w:proofErr w:type="spellStart"/>
      <w:r>
        <w:rPr>
          <w:rFonts w:cs="David" w:hint="cs"/>
          <w:sz w:val="28"/>
          <w:szCs w:val="28"/>
          <w:rtl/>
        </w:rPr>
        <w:t>הפסיפית</w:t>
      </w:r>
      <w:proofErr w:type="spellEnd"/>
      <w:r>
        <w:rPr>
          <w:rFonts w:cs="David" w:hint="cs"/>
          <w:sz w:val="28"/>
          <w:szCs w:val="28"/>
          <w:rtl/>
        </w:rPr>
        <w:t xml:space="preserve"> ולא לזירה האירופית, לכן גם לא נכון להגיד שארה"ב אחראית לרוב המוחלט של תקציב הביטחון של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. </w:t>
      </w:r>
    </w:p>
    <w:p w:rsidR="00C02217" w:rsidRDefault="00C02217" w:rsidP="00C02217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זירה נוספת ש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מתמודדת </w:t>
      </w:r>
      <w:proofErr w:type="spellStart"/>
      <w:r>
        <w:rPr>
          <w:rFonts w:cs="David" w:hint="cs"/>
          <w:sz w:val="28"/>
          <w:szCs w:val="28"/>
          <w:rtl/>
        </w:rPr>
        <w:t>איתה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איום </w:t>
      </w:r>
      <w:proofErr w:type="spellStart"/>
      <w:r>
        <w:rPr>
          <w:rFonts w:cs="David" w:hint="cs"/>
          <w:sz w:val="28"/>
          <w:szCs w:val="28"/>
          <w:rtl/>
        </w:rPr>
        <w:t>דאעש</w:t>
      </w:r>
      <w:proofErr w:type="spellEnd"/>
      <w:r>
        <w:rPr>
          <w:rFonts w:cs="David" w:hint="cs"/>
          <w:sz w:val="28"/>
          <w:szCs w:val="28"/>
          <w:rtl/>
        </w:rPr>
        <w:t xml:space="preserve">. האיטלקים היו מודאגים מפעילות </w:t>
      </w:r>
      <w:proofErr w:type="spellStart"/>
      <w:r>
        <w:rPr>
          <w:rFonts w:cs="David" w:hint="cs"/>
          <w:sz w:val="28"/>
          <w:szCs w:val="28"/>
          <w:rtl/>
        </w:rPr>
        <w:t>דאעש</w:t>
      </w:r>
      <w:proofErr w:type="spellEnd"/>
      <w:r>
        <w:rPr>
          <w:rFonts w:cs="David" w:hint="cs"/>
          <w:sz w:val="28"/>
          <w:szCs w:val="28"/>
          <w:rtl/>
        </w:rPr>
        <w:t xml:space="preserve"> בלוב ובצפון אפריקה. אך ההתמקדות היום היא בעיקר באימונים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/>
          <w:sz w:val="28"/>
          <w:szCs w:val="28"/>
        </w:rPr>
        <w:t>dbc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/>
          <w:sz w:val="28"/>
          <w:szCs w:val="28"/>
        </w:rPr>
        <w:t>defence</w:t>
      </w:r>
      <w:proofErr w:type="spellEnd"/>
      <w:r>
        <w:rPr>
          <w:rFonts w:cs="David"/>
          <w:sz w:val="28"/>
          <w:szCs w:val="28"/>
        </w:rPr>
        <w:t xml:space="preserve"> building capacity</w:t>
      </w:r>
      <w:r>
        <w:rPr>
          <w:rFonts w:cs="David" w:hint="cs"/>
          <w:sz w:val="28"/>
          <w:szCs w:val="28"/>
          <w:rtl/>
        </w:rPr>
        <w:t xml:space="preserve">. </w:t>
      </w:r>
    </w:p>
    <w:p w:rsidR="00C02217" w:rsidRDefault="00C02217" w:rsidP="00A1239A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השאלה הגדולה ש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מתמודדת </w:t>
      </w:r>
      <w:proofErr w:type="spellStart"/>
      <w:r>
        <w:rPr>
          <w:rFonts w:cs="David" w:hint="cs"/>
          <w:sz w:val="28"/>
          <w:szCs w:val="28"/>
          <w:rtl/>
        </w:rPr>
        <w:t>איתה</w:t>
      </w:r>
      <w:proofErr w:type="spellEnd"/>
      <w:r>
        <w:rPr>
          <w:rFonts w:cs="David" w:hint="cs"/>
          <w:sz w:val="28"/>
          <w:szCs w:val="28"/>
          <w:rtl/>
        </w:rPr>
        <w:t xml:space="preserve"> היום היא ההתמודדות באירופה עצמה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עליית הימין הקיצוני, </w:t>
      </w:r>
      <w:proofErr w:type="spellStart"/>
      <w:r>
        <w:rPr>
          <w:rFonts w:cs="David" w:hint="cs"/>
          <w:sz w:val="28"/>
          <w:szCs w:val="28"/>
          <w:rtl/>
        </w:rPr>
        <w:t>ברקסיט</w:t>
      </w:r>
      <w:proofErr w:type="spellEnd"/>
      <w:r>
        <w:rPr>
          <w:rFonts w:cs="David" w:hint="cs"/>
          <w:sz w:val="28"/>
          <w:szCs w:val="28"/>
          <w:rtl/>
        </w:rPr>
        <w:t xml:space="preserve"> וכו'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כל זה מהווה אתגר לעתידה של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. </w:t>
      </w:r>
      <w:r w:rsidR="00A1239A">
        <w:rPr>
          <w:rFonts w:cs="David" w:hint="cs"/>
          <w:sz w:val="28"/>
          <w:szCs w:val="28"/>
          <w:rtl/>
        </w:rPr>
        <w:t xml:space="preserve">עם זאת עדיין </w:t>
      </w:r>
      <w:r>
        <w:rPr>
          <w:rFonts w:cs="David" w:hint="cs"/>
          <w:sz w:val="28"/>
          <w:szCs w:val="28"/>
          <w:rtl/>
        </w:rPr>
        <w:t xml:space="preserve">מבחינת ממסדי החוץ </w:t>
      </w:r>
      <w:r w:rsidR="00233A1E">
        <w:rPr>
          <w:rFonts w:cs="David" w:hint="cs"/>
          <w:sz w:val="28"/>
          <w:szCs w:val="28"/>
          <w:rtl/>
        </w:rPr>
        <w:t>נאט</w:t>
      </w:r>
      <w:r w:rsidR="00233A1E">
        <w:rPr>
          <w:rFonts w:cs="David"/>
          <w:sz w:val="28"/>
          <w:szCs w:val="28"/>
          <w:rtl/>
        </w:rPr>
        <w:t>"</w:t>
      </w:r>
      <w:r w:rsidR="00233A1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 משמשת פונקציה משמעותית כמועדון משותף, וגם ברמה הצבאית יש לה ערך בלתי מבוטל. היא הפלטפורמה הצבאית הרב לאומית היחידה שיש לה מודוס אופרנדי של איך לפעול ואיך להתפרס. </w:t>
      </w:r>
    </w:p>
    <w:p w:rsidR="00BA0F03" w:rsidRDefault="00233A1E" w:rsidP="00BA0F0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יחסי 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 xml:space="preserve">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טורקיה: ב-2004 היתה פסגה של 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 xml:space="preserve">ו באיסטנבול, שמסמלת את כניסתה למזרח התיכון. באותה עת שיבח הנשיא בוש את טורקיה כמדינה שהיא מופת לשלטון חוק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וזאת לפני השינוי שקרה בטורקיה. בשנים האחרונות טורקיה הופכת להיות "קוץ בישבן" של ברית 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 xml:space="preserve">ו, אך היא מאוד חשובה לה, בעיקר בשל בסיסי חיל האוויר שמצויים במיקום אסטרטגי מאוד מבחינת ארה"ב. בטורקיה יש תהליכי </w:t>
      </w:r>
      <w:proofErr w:type="spellStart"/>
      <w:r>
        <w:rPr>
          <w:rFonts w:cs="David" w:hint="cs"/>
          <w:sz w:val="28"/>
          <w:szCs w:val="28"/>
          <w:rtl/>
        </w:rPr>
        <w:t>איסלאמיזציה</w:t>
      </w:r>
      <w:proofErr w:type="spellEnd"/>
      <w:r>
        <w:rPr>
          <w:rFonts w:cs="David" w:hint="cs"/>
          <w:sz w:val="28"/>
          <w:szCs w:val="28"/>
          <w:rtl/>
        </w:rPr>
        <w:t xml:space="preserve"> גוברים ונאט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ו מאוד מתקשה להתמודד עם זה. אין תקדים לכך שמדינה עזבה את הברית, ובאמנת וושינגטון שהביאה להקמת נאט</w:t>
      </w:r>
      <w:r>
        <w:rPr>
          <w:rFonts w:cs="David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 xml:space="preserve">ו אין סעיף שמסדיר יציאה מהברית. </w:t>
      </w:r>
    </w:p>
    <w:p w:rsidR="00233A1E" w:rsidRPr="00CE589B" w:rsidRDefault="00233A1E" w:rsidP="00BA0F03">
      <w:pPr>
        <w:spacing w:after="0" w:line="360" w:lineRule="auto"/>
        <w:jc w:val="both"/>
        <w:rPr>
          <w:rFonts w:cs="David"/>
          <w:sz w:val="28"/>
          <w:szCs w:val="28"/>
        </w:rPr>
      </w:pPr>
      <w:bookmarkStart w:id="0" w:name="_GoBack"/>
      <w:bookmarkEnd w:id="0"/>
    </w:p>
    <w:sectPr w:rsidR="00233A1E" w:rsidRPr="00CE589B" w:rsidSect="00E57F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19"/>
    <w:rsid w:val="00233A1E"/>
    <w:rsid w:val="00485D3C"/>
    <w:rsid w:val="00770A8E"/>
    <w:rsid w:val="00825319"/>
    <w:rsid w:val="00A1239A"/>
    <w:rsid w:val="00BA0F03"/>
    <w:rsid w:val="00C02217"/>
    <w:rsid w:val="00CE589B"/>
    <w:rsid w:val="00E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6713"/>
  <w15:chartTrackingRefBased/>
  <w15:docId w15:val="{7A265865-2847-4488-8211-F522305A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913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u26615</dc:creator>
  <cp:keywords/>
  <dc:description/>
  <cp:lastModifiedBy>u26615</cp:lastModifiedBy>
  <cp:revision>3</cp:revision>
  <dcterms:created xsi:type="dcterms:W3CDTF">2019-02-27T12:46:00Z</dcterms:created>
  <dcterms:modified xsi:type="dcterms:W3CDTF">2019-02-27T13:39:00Z</dcterms:modified>
</cp:coreProperties>
</file>