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ff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-571496</wp:posOffset>
                </wp:positionH>
                <wp:positionV relativeFrom="margin">
                  <wp:posOffset>-114295</wp:posOffset>
                </wp:positionV>
                <wp:extent cx="6976745" cy="326390"/>
                <wp:effectExtent b="17145" l="14605" r="19050" t="18415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SpPr>
                          <a:spLocks/>
                        </wps:cNvSpPr>
                        <wps:cNvPr id="1" name="Freeform: Shape 1"/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fmla="*/ 0 w 20000" name="T0"/>
                              <a:gd fmla="*/ 19956 h 20000" name="T1"/>
                              <a:gd fmla="*/ 1014 w 20000" name="T2"/>
                              <a:gd fmla="*/ 0 h 20000" name="T3"/>
                              <a:gd fmla="*/ 19997 w 20000" name="T4"/>
                              <a:gd fmla="*/ 0 h 20000" name="T5"/>
                              <a:gd fmla="*/ 18838 w 20000" name="T6"/>
                              <a:gd fmla="*/ 19956 h 20000" name="T7"/>
                              <a:gd fmla="*/ 158 w 20000" name="T8"/>
                              <a:gd fmla="*/ 19956 h 20000" name="T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b="b" l="0" r="r" t="0"/>
                            <a:pathLst>
                              <a:path h="20000" w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  <a:effectLst/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" name="Freeform: Shape 3"/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fmla="*/ 0 w 20000" name="T0"/>
                              <a:gd fmla="*/ 19961 h 20000" name="T1"/>
                              <a:gd fmla="*/ 4519 w 20000" name="T2"/>
                              <a:gd fmla="*/ 0 h 20000" name="T3"/>
                              <a:gd fmla="*/ 19989 w 20000" name="T4"/>
                              <a:gd fmla="*/ 0 h 20000" name="T5"/>
                              <a:gd fmla="*/ 19989 w 20000" name="T6"/>
                              <a:gd fmla="*/ 19961 h 20000" name="T7"/>
                              <a:gd fmla="*/ 646 w 20000" name="T8"/>
                              <a:gd fmla="*/ 19961 h 20000" name="T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b="b" l="0" r="r" t="0"/>
                            <a:pathLst>
                              <a:path h="20000" w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  <a:effectLst/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-571496</wp:posOffset>
                </wp:positionH>
                <wp:positionV relativeFrom="margin">
                  <wp:posOffset>-114295</wp:posOffset>
                </wp:positionV>
                <wp:extent cx="7010400" cy="3619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4215130</wp:posOffset>
            </wp:positionH>
            <wp:positionV relativeFrom="paragraph">
              <wp:posOffset>-457194</wp:posOffset>
            </wp:positionV>
            <wp:extent cx="719455" cy="90170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90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360" w:lineRule="auto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360" w:lineRule="auto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color w:val="0000ff"/>
          <w:sz w:val="44"/>
          <w:szCs w:val="44"/>
          <w:rtl w:val="1"/>
        </w:rPr>
        <w:t xml:space="preserve">המכללה</w:t>
      </w:r>
      <w:r w:rsidDel="00000000" w:rsidR="00000000" w:rsidRPr="00000000">
        <w:rPr>
          <w:rFonts w:ascii="David" w:cs="David" w:eastAsia="David" w:hAnsi="David"/>
          <w:color w:val="0000ff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ff"/>
          <w:sz w:val="44"/>
          <w:szCs w:val="44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color w:val="0000ff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ff"/>
          <w:sz w:val="44"/>
          <w:szCs w:val="44"/>
          <w:rtl w:val="1"/>
        </w:rPr>
        <w:t xml:space="preserve">לאומי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jc w:val="center"/>
        <w:rPr>
          <w:rFonts w:ascii="David" w:cs="David" w:eastAsia="David" w:hAnsi="David"/>
          <w:b w:val="1"/>
          <w:color w:val="0000ff"/>
          <w:sz w:val="44"/>
          <w:szCs w:val="44"/>
        </w:rPr>
      </w:pPr>
      <w:r w:rsidDel="00000000" w:rsidR="00000000" w:rsidRPr="00000000">
        <w:rPr>
          <w:rFonts w:ascii="David" w:cs="David" w:eastAsia="David" w:hAnsi="David"/>
          <w:b w:val="1"/>
          <w:color w:val="0000ff"/>
          <w:sz w:val="44"/>
          <w:szCs w:val="44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44"/>
          <w:szCs w:val="4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44"/>
          <w:szCs w:val="4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44"/>
          <w:szCs w:val="44"/>
          <w:rtl w:val="1"/>
        </w:rPr>
        <w:t xml:space="preserve">ח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jc w:val="center"/>
        <w:rPr>
          <w:rFonts w:ascii="David" w:cs="David" w:eastAsia="David" w:hAnsi="David"/>
          <w:b w:val="1"/>
          <w:color w:val="0000ff"/>
          <w:sz w:val="44"/>
          <w:szCs w:val="44"/>
        </w:rPr>
      </w:pPr>
      <w:r w:rsidDel="00000000" w:rsidR="00000000" w:rsidRPr="00000000">
        <w:rPr>
          <w:rFonts w:ascii="David" w:cs="David" w:eastAsia="David" w:hAnsi="David"/>
          <w:b w:val="1"/>
          <w:color w:val="0000ff"/>
          <w:sz w:val="44"/>
          <w:szCs w:val="44"/>
          <w:rtl w:val="0"/>
        </w:rPr>
        <w:t xml:space="preserve">2020-2021</w:t>
      </w:r>
    </w:p>
    <w:p w:rsidR="00000000" w:rsidDel="00000000" w:rsidP="00000000" w:rsidRDefault="00000000" w:rsidRPr="00000000" w14:paraId="00000007">
      <w:pPr>
        <w:bidi w:val="1"/>
        <w:spacing w:line="360" w:lineRule="auto"/>
        <w:jc w:val="center"/>
        <w:rPr>
          <w:rFonts w:ascii="David" w:cs="David" w:eastAsia="David" w:hAnsi="David"/>
          <w:color w:val="0070c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360" w:lineRule="auto"/>
        <w:rPr>
          <w:rFonts w:ascii="David" w:cs="David" w:eastAsia="David" w:hAnsi="David"/>
          <w:color w:val="0000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rPr>
          <w:rFonts w:ascii="David" w:cs="David" w:eastAsia="David" w:hAnsi="David"/>
          <w:color w:val="0000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jc w:val="center"/>
        <w:rPr>
          <w:rFonts w:ascii="David" w:cs="David" w:eastAsia="David" w:hAnsi="David"/>
          <w:b w:val="1"/>
          <w:color w:val="0000ff"/>
          <w:sz w:val="72"/>
          <w:szCs w:val="72"/>
        </w:rPr>
      </w:pP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סיכונים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והזדמנויות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72"/>
          <w:szCs w:val="72"/>
          <w:rtl w:val="1"/>
        </w:rPr>
        <w:t xml:space="preserve">לאומיות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rPr>
          <w:rFonts w:ascii="David" w:cs="David" w:eastAsia="David" w:hAnsi="David"/>
          <w:b w:val="1"/>
          <w:color w:val="0000ff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rPr>
          <w:rFonts w:ascii="David" w:cs="David" w:eastAsia="David" w:hAnsi="David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rPr>
          <w:rFonts w:ascii="David" w:cs="David" w:eastAsia="David" w:hAnsi="David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rPr>
          <w:rFonts w:ascii="David" w:cs="David" w:eastAsia="David" w:hAnsi="David"/>
          <w:b w:val="1"/>
          <w:color w:val="0000ff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פרויקט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גמר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rPr>
          <w:rFonts w:ascii="David" w:cs="David" w:eastAsia="David" w:hAnsi="David"/>
          <w:b w:val="1"/>
          <w:color w:val="0000ff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מוגש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וועדת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הפג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מ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rPr>
          <w:rFonts w:ascii="David" w:cs="David" w:eastAsia="David" w:hAnsi="David"/>
          <w:b w:val="1"/>
          <w:color w:val="0000ff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מגישים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דורון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אברהמי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יניב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אביטן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יוסי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כראדי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rPr>
          <w:rFonts w:ascii="David" w:cs="David" w:eastAsia="David" w:hAnsi="David"/>
          <w:b w:val="1"/>
          <w:color w:val="0000ff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: 7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עמודים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ind w:right="-426"/>
        <w:rPr>
          <w:rFonts w:ascii="David" w:cs="David" w:eastAsia="David" w:hAnsi="David"/>
          <w:b w:val="1"/>
          <w:color w:val="0000ff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56"/>
          <w:szCs w:val="56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-828670</wp:posOffset>
                </wp:positionH>
                <wp:positionV relativeFrom="margin">
                  <wp:posOffset>8934450</wp:posOffset>
                </wp:positionV>
                <wp:extent cx="6986270" cy="496570"/>
                <wp:effectExtent b="46990" l="52705" r="19050" t="4699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496570"/>
                          <a:chOff x="0" y="0"/>
                          <a:chExt cx="20000" cy="20000"/>
                        </a:xfrm>
                      </wpg:grpSpPr>
                      <wps:wsp>
                        <wps:cNvSpPr>
                          <a:spLocks/>
                        </wps:cNvSpPr>
                        <wps:cNvPr id="6" name="Freeform: Shape 6"/>
                        <wps:spPr bwMode="auto">
                          <a:xfrm>
                            <a:off x="4870" y="5831"/>
                            <a:ext cx="15130" cy="10230"/>
                          </a:xfrm>
                          <a:custGeom>
                            <a:avLst/>
                            <a:gdLst>
                              <a:gd fmla="*/ 1091 w 20000" name="T0"/>
                              <a:gd fmla="*/ 0 h 20000" name="T1"/>
                              <a:gd fmla="*/ 0 w 20000" name="T2"/>
                              <a:gd fmla="*/ 19950 h 20000" name="T3"/>
                              <a:gd fmla="*/ 19998 w 20000" name="T4"/>
                              <a:gd fmla="*/ 19950 h 20000" name="T5"/>
                              <a:gd fmla="*/ 19998 w 20000" name="T6"/>
                              <a:gd fmla="*/ 0 h 20000" name="T7"/>
                              <a:gd fmla="*/ 1091 w 20000" name="T8"/>
                              <a:gd fmla="*/ 0 h 20000" name="T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b="b" l="0" r="r" t="0"/>
                            <a:pathLst>
                              <a:path h="20000" w="20000">
                                <a:moveTo>
                                  <a:pt x="1091" y="0"/>
                                </a:moveTo>
                                <a:lnTo>
                                  <a:pt x="0" y="19950"/>
                                </a:lnTo>
                                <a:lnTo>
                                  <a:pt x="19998" y="19950"/>
                                </a:lnTo>
                                <a:lnTo>
                                  <a:pt x="19998" y="0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  <a:effectLst/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7" name="Freeform: Shape 7"/>
                        <wps:spPr bwMode="auto">
                          <a:xfrm>
                            <a:off x="0" y="5831"/>
                            <a:ext cx="3110" cy="10230"/>
                          </a:xfrm>
                          <a:custGeom>
                            <a:avLst/>
                            <a:gdLst>
                              <a:gd fmla="*/ 19988 w 20000" name="T0"/>
                              <a:gd fmla="*/ 0 h 20000" name="T1"/>
                              <a:gd fmla="*/ 15324 w 20000" name="T2"/>
                              <a:gd fmla="*/ 19950 h 20000" name="T3"/>
                              <a:gd fmla="*/ 0 w 20000" name="T4"/>
                              <a:gd fmla="*/ 19950 h 20000" name="T5"/>
                              <a:gd fmla="*/ 4664 w 20000" name="T6"/>
                              <a:gd fmla="*/ 0 h 20000" name="T7"/>
                              <a:gd fmla="*/ 19988 w 20000" name="T8"/>
                              <a:gd fmla="*/ 0 h 20000" name="T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b="b" l="0" r="r" t="0"/>
                            <a:pathLst>
                              <a:path h="20000" w="20000">
                                <a:moveTo>
                                  <a:pt x="19988" y="0"/>
                                </a:moveTo>
                                <a:lnTo>
                                  <a:pt x="15324" y="19950"/>
                                </a:lnTo>
                                <a:lnTo>
                                  <a:pt x="0" y="19950"/>
                                </a:lnTo>
                                <a:lnTo>
                                  <a:pt x="4664" y="0"/>
                                </a:lnTo>
                                <a:lnTo>
                                  <a:pt x="19988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cap="flat"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  <a:effectLst/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g:grpSp>
                        <wpg:cNvGrpSpPr>
                          <a:grpSpLocks/>
                        </wpg:cNvGrpSpPr>
                        <wpg:cNvPr id="8" name="Group 8"/>
                        <wpg:grpSpPr bwMode="auto">
                          <a:xfrm>
                            <a:off x="3105" y="0"/>
                            <a:ext cx="1729" cy="20000"/>
                            <a:chOff x="0" y="0"/>
                            <a:chExt cx="20000" cy="20000"/>
                          </a:xfrm>
                        </wpg:grpSpPr>
                        <wps:wsp>
                          <wps:cNvSpPr>
                            <a:spLocks/>
                          </wps:cNvSpPr>
                          <wps:cNvPr id="9" name="Freeform: Shape 9"/>
                          <wps:spPr bwMode="auto">
                            <a:xfrm>
                              <a:off x="0" y="0"/>
                              <a:ext cx="16356" cy="15729"/>
                            </a:xfrm>
                            <a:custGeom>
                              <a:avLst/>
                              <a:gdLst>
                                <a:gd fmla="*/ 0 w 20000" name="T0"/>
                                <a:gd fmla="*/ 19967 h 20000" name="T1"/>
                                <a:gd fmla="*/ 19974 w 20000" name="T2"/>
                                <a:gd fmla="*/ 0 h 20000" name="T3"/>
                                <a:gd fmla="*/ 17763 w 20000" name="T4"/>
                                <a:gd fmla="*/ 19967 h 20000" name="T5"/>
                                <a:gd fmla="*/ 0 w 20000" name="T6"/>
                                <a:gd fmla="*/ 19967 h 20000" name="T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b="b" l="0" r="r" t="0"/>
                              <a:pathLst>
                                <a:path h="20000" w="20000">
                                  <a:moveTo>
                                    <a:pt x="0" y="19967"/>
                                  </a:moveTo>
                                  <a:lnTo>
                                    <a:pt x="19974" y="0"/>
                                  </a:lnTo>
                                  <a:lnTo>
                                    <a:pt x="17763" y="19967"/>
                                  </a:lnTo>
                                  <a:lnTo>
                                    <a:pt x="0" y="19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cap="flat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  <a:effectLst/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  <wps:wsp>
                          <wps:cNvSpPr>
                            <a:spLocks/>
                          </wps:cNvSpPr>
                          <wps:cNvPr id="10" name="Freeform: Shape 10"/>
                          <wps:spPr bwMode="auto">
                            <a:xfrm>
                              <a:off x="3632" y="5831"/>
                              <a:ext cx="16368" cy="14169"/>
                            </a:xfrm>
                            <a:custGeom>
                              <a:avLst/>
                              <a:gdLst>
                                <a:gd fmla="*/ 19974 w 20000" name="T0"/>
                                <a:gd fmla="*/ 0 h 20000" name="T1"/>
                                <a:gd fmla="*/ 0 w 20000" name="T2"/>
                                <a:gd fmla="*/ 19964 h 20000" name="T3"/>
                                <a:gd fmla="*/ 2211 w 20000" name="T4"/>
                                <a:gd fmla="*/ 0 h 20000" name="T5"/>
                                <a:gd fmla="*/ 19974 w 20000" name="T6"/>
                                <a:gd fmla="*/ 0 h 20000" name="T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b="b" l="0" r="r" t="0"/>
                              <a:pathLst>
                                <a:path h="20000" w="20000">
                                  <a:moveTo>
                                    <a:pt x="19974" y="0"/>
                                  </a:moveTo>
                                  <a:lnTo>
                                    <a:pt x="0" y="19964"/>
                                  </a:lnTo>
                                  <a:lnTo>
                                    <a:pt x="2211" y="0"/>
                                  </a:lnTo>
                                  <a:lnTo>
                                    <a:pt x="19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cap="flat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  <a:effectLst/>
                          </wps:spPr>
                          <wps:bodyPr anchorCtr="0" anchor="t" bIns="45720" lIns="91440" rIns="91440" rot="0" upright="1" vert="horz" wrap="square" tIns="4572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-828670</wp:posOffset>
                </wp:positionH>
                <wp:positionV relativeFrom="margin">
                  <wp:posOffset>8934450</wp:posOffset>
                </wp:positionV>
                <wp:extent cx="7058025" cy="5905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8025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31 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בדצמבר</w:t>
      </w:r>
      <w:r w:rsidDel="00000000" w:rsidR="00000000" w:rsidRPr="00000000">
        <w:rPr>
          <w:rFonts w:ascii="David" w:cs="David" w:eastAsia="David" w:hAnsi="David"/>
          <w:b w:val="1"/>
          <w:color w:val="0000ff"/>
          <w:sz w:val="36"/>
          <w:szCs w:val="36"/>
          <w:rtl w:val="1"/>
        </w:rPr>
        <w:t xml:space="preserve"> 2020</w:t>
      </w:r>
    </w:p>
    <w:p w:rsidR="00000000" w:rsidDel="00000000" w:rsidP="00000000" w:rsidRDefault="00000000" w:rsidRPr="00000000" w14:paraId="00000013">
      <w:pPr>
        <w:bidi w:val="1"/>
        <w:spacing w:line="360" w:lineRule="auto"/>
        <w:rPr>
          <w:rFonts w:ascii="David" w:cs="David" w:eastAsia="David" w:hAnsi="David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360" w:lineRule="auto"/>
        <w:jc w:val="center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סיכונים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והזדמנויות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לאומיות</w:t>
      </w:r>
    </w:p>
    <w:p w:rsidR="00000000" w:rsidDel="00000000" w:rsidP="00000000" w:rsidRDefault="00000000" w:rsidRPr="00000000" w14:paraId="00000015">
      <w:pPr>
        <w:bidi w:val="1"/>
        <w:spacing w:line="360" w:lineRule="auto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תוכן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המשגה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</w:p>
    <w:p w:rsidR="00000000" w:rsidDel="00000000" w:rsidP="00000000" w:rsidRDefault="00000000" w:rsidRPr="00000000" w14:paraId="0000001E">
      <w:pPr>
        <w:bidi w:val="1"/>
        <w:spacing w:line="360" w:lineRule="auto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20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המוצע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לנתח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ההשפעה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הקיימת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הלאומיות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תבחן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משפיעות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ומהן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הדרכים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לאסדרת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הנושא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ברמה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הלאומית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בסיכונים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ובהזדמנויות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הקשורים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ההגדרות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העדכניות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רגולציות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והשפעתן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ותרומתו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הלאומי</w:t>
      </w:r>
    </w:p>
    <w:p w:rsidR="00000000" w:rsidDel="00000000" w:rsidP="00000000" w:rsidRDefault="00000000" w:rsidRPr="00000000" w14:paraId="00000023">
      <w:pPr>
        <w:bidi w:val="1"/>
        <w:spacing w:after="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עידן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הגלובאלית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מתאפיין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המכונה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'.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בעלות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כלכלות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חזקות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מרחיבות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השפעתן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הכלכלית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מפותחות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מתפתחות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מממנות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ולעיתים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מבצעות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בעצמן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הקמה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יוצרות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כלכלית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ומדינית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המדינות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מיוחסת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פוטנציאלית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ביטחונה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להשקעה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הזרה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סוגיית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ההשקעות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הזרות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פוטנציאלית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משמעותית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נושאים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העומדים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בליבת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ונוגע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כזו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במרכיבי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הלאומית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היחסים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הבינ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הטכנולוגיה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והחברה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מערביות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מתייחסות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לנושא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כסוגיית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אמורים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להשקעות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בתשתיותיה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הלאומיות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אסדרה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נכונה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התחום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נחוצה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מיצוי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ההזדמנויות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וההתמודדות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הכרוכים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היתרונות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כרוכים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סיכונים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לחיוב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ולשלילה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ויחסים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מערביות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ומקיימות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תהליכי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ומנגנונים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לפיקוח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וסינון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לפגוע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בביטחונן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ומנגנונים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המרכזית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בנכסים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אסטרטגיים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ולאזן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השיקולים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כמתואר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7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326390</wp:posOffset>
                </wp:positionV>
                <wp:extent cx="4464050" cy="2480945"/>
                <wp:effectExtent b="14605" l="0" r="1270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4050" cy="2480945"/>
                          <a:chOff x="0" y="197532"/>
                          <a:chExt cx="6323017" cy="3216228"/>
                        </a:xfrm>
                      </wpg:grpSpPr>
                      <wps:wsp>
                        <wps:cNvSpPr/>
                        <wps:cNvPr id="18" name="Isosceles Triangle 12"/>
                        <wps:spPr>
                          <a:xfrm>
                            <a:off x="1397000" y="690880"/>
                            <a:ext cx="3627120" cy="2468880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 rtlCol="1"/>
                      </wps:wsp>
                      <wps:wsp>
                        <wps:cNvSpPr/>
                        <wps:cNvPr id="19" name="Oval 13"/>
                        <wps:spPr>
                          <a:xfrm>
                            <a:off x="2235201" y="197532"/>
                            <a:ext cx="1837586" cy="72441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03FB" w:rsidDel="00000000" w:rsidP="006403FB" w:rsidRDefault="006403FB" w:rsidRPr="00AA54CB" w14:paraId="42134970" w14:textId="77777777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Del="00000000" w:rsidR="00000000" w:rsidRPr="00AA54CB">
                                <w:rPr>
                                  <w:rFonts w:hAnsi="Arial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rtl w:val="1"/>
                                </w:rPr>
                                <w:t>השיקול</w:t>
                              </w:r>
                              <w:r w:rsidDel="00000000" w:rsidR="00000000" w:rsidRPr="00000000">
                                <w:rPr>
                                  <w:rFonts w:hAnsi="Arial" w:hint="cs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rtl w:val="1"/>
                                </w:rPr>
                                <w:t xml:space="preserve"> </w:t>
                              </w:r>
                              <w:r w:rsidDel="00000000" w:rsidR="00000000" w:rsidRPr="00AA54CB">
                                <w:rPr>
                                  <w:rFonts w:hAnsi="Arial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rtl w:val="1"/>
                                </w:rPr>
                                <w:t>הכלכלי</w:t>
                              </w:r>
                              <w:r w:rsidDel="00000000" w:rsidR="00000000" w:rsidRPr="00000000">
                                <w:rPr>
                                  <w:rFonts w:hAnsi="Arial" w:hint="cs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rtl w:val="1"/>
                                </w:rPr>
                                <w:t>-</w:t>
                              </w:r>
                              <w:r w:rsidDel="00000000" w:rsidR="00000000" w:rsidRPr="00AA54CB">
                                <w:rPr>
                                  <w:rFonts w:hAnsi="Arial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  <w:rtl w:val="1"/>
                                </w:rPr>
                                <w:t xml:space="preserve"> עידוד השקעות</w:t>
                              </w:r>
                            </w:p>
                          </w:txbxContent>
                        </wps:txbx>
                        <wps:bodyPr anchor="ctr" rtlCol="1"/>
                      </wps:wsp>
                      <wps:wsp>
                        <wps:cNvSpPr/>
                        <wps:cNvPr id="20" name="Oval 14"/>
                        <wps:spPr>
                          <a:xfrm>
                            <a:off x="0" y="2722880"/>
                            <a:ext cx="1732280" cy="69088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03FB" w:rsidDel="00000000" w:rsidP="006403FB" w:rsidRDefault="006403FB" w:rsidRPr="00AA54CB" w14:paraId="78F5366F" w14:textId="7777777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Del="00000000" w:rsidR="00000000" w:rsidRPr="00AA54CB">
                                <w:rPr>
                                  <w:rFonts w:hAnsi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 w:val="1"/>
                                </w:rPr>
                                <w:t>יחסים בינ"ל</w:t>
                              </w:r>
                            </w:p>
                          </w:txbxContent>
                        </wps:txbx>
                        <wps:bodyPr anchor="ctr" rtlCol="1"/>
                      </wps:wsp>
                      <wps:wsp>
                        <wps:cNvSpPr/>
                        <wps:cNvPr id="21" name="Oval 15"/>
                        <wps:spPr>
                          <a:xfrm>
                            <a:off x="4470399" y="2706420"/>
                            <a:ext cx="1852618" cy="70103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03FB" w:rsidDel="00000000" w:rsidP="006403FB" w:rsidRDefault="006403FB" w:rsidRPr="00AA54CB" w14:paraId="72363DFA" w14:textId="77777777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Del="00000000" w:rsidR="00000000" w:rsidRPr="00AA54CB">
                                <w:rPr>
                                  <w:rFonts w:hAnsi="Arial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  <w:rtl w:val="1"/>
                                </w:rPr>
                                <w:t>סיכוני ביטחון לאומי</w:t>
                              </w:r>
                            </w:p>
                          </w:txbxContent>
                        </wps:txbx>
                        <wps:bodyPr anchor="ctr" rtlCol="1"/>
                      </wps:wsp>
                      <wps:wsp>
                        <wps:cNvSpPr/>
                        <wps:cNvPr id="22" name="Oval 16"/>
                        <wps:spPr>
                          <a:xfrm>
                            <a:off x="2235200" y="1635759"/>
                            <a:ext cx="1983739" cy="1409553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03FB" w:rsidDel="00000000" w:rsidP="006403FB" w:rsidRDefault="006403FB" w:rsidRPr="00AA54CB" w14:paraId="25F49130" w14:textId="7777777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Del="00000000" w:rsidR="00000000" w:rsidRPr="00AA54CB">
                                <w:rPr>
                                  <w:rFonts w:hAnsi="Arial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rtl w:val="1"/>
                                </w:rPr>
                                <w:t xml:space="preserve">מדיניות </w:t>
                              </w:r>
                              <w:r w:rsidDel="00000000" w:rsidR="00000000" w:rsidRPr="00AA54CB">
                                <w:rPr>
                                  <w:rFonts w:hAnsi="Arial" w:hint="cs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rtl w:val="1"/>
                                </w:rPr>
                                <w:t>השקעות זרות</w:t>
                              </w:r>
                              <w:r w:rsidDel="00000000" w:rsidR="00000000" w:rsidRPr="00AA54CB">
                                <w:rPr>
                                  <w:rFonts w:hAnsi="Arial"/>
                                  <w:color w:val="000000" w:themeColor="dark1"/>
                                  <w:kern w:val="24"/>
                                  <w:sz w:val="28"/>
                                  <w:szCs w:val="28"/>
                                  <w:rtl w:val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="ctr" rtlCol="1"/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552450</wp:posOffset>
                </wp:positionH>
                <wp:positionV relativeFrom="paragraph">
                  <wp:posOffset>326390</wp:posOffset>
                </wp:positionV>
                <wp:extent cx="4476750" cy="249555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0" cy="2495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2B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המטרות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שהוצגו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לעיל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שאלת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C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וההזדמנויות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בפתיחת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המשק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להשקעות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הלאומיות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לפעול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למזער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ולמקסם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התועלות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מהשקעות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D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bidi w:val="1"/>
        <w:spacing w:after="0" w:line="360" w:lineRule="auto"/>
        <w:ind w:left="793" w:hanging="567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קריטיות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מגדירים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אותן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bidi w:val="1"/>
        <w:spacing w:after="0" w:line="360" w:lineRule="auto"/>
        <w:ind w:left="793" w:hanging="567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הנובעים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מהשקעות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bidi w:val="1"/>
        <w:spacing w:after="0" w:line="360" w:lineRule="auto"/>
        <w:ind w:left="793" w:hanging="567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ההזדמנויות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נובעות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ומניעות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ההשקעות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הזרות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bidi w:val="1"/>
        <w:spacing w:after="0" w:line="360" w:lineRule="auto"/>
        <w:ind w:left="793" w:hanging="567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נוהגות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bidi w:val="1"/>
        <w:spacing w:after="0" w:line="360" w:lineRule="auto"/>
        <w:ind w:left="793" w:hanging="567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ומהן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הדרכים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לשלוט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בתופעה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? 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רגולטיביות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ואחרות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bidi w:val="1"/>
        <w:spacing w:after="0" w:line="360" w:lineRule="auto"/>
        <w:ind w:left="793" w:hanging="567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לבצע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מנת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להגן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4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החקירה</w:t>
      </w:r>
    </w:p>
    <w:p w:rsidR="00000000" w:rsidDel="00000000" w:rsidP="00000000" w:rsidRDefault="00000000" w:rsidRPr="00000000" w14:paraId="00000036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איכותי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המסתמך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איסוף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מאגרי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רלבנטיים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אקדמית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שנכתבה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וניתוחה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רלבנטיים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עומק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7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הפרויקט</w:t>
      </w:r>
    </w:p>
    <w:p w:rsidR="00000000" w:rsidDel="00000000" w:rsidP="00000000" w:rsidRDefault="00000000" w:rsidRPr="00000000" w14:paraId="0000003A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מבוא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סקירת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ספרות</w:t>
      </w:r>
    </w:p>
    <w:p w:rsidR="00000000" w:rsidDel="00000000" w:rsidP="00000000" w:rsidRDefault="00000000" w:rsidRPr="00000000" w14:paraId="00000041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בישראל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פיסיות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קריטיות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-21?</w:t>
      </w:r>
    </w:p>
    <w:p w:rsidR="00000000" w:rsidDel="00000000" w:rsidP="00000000" w:rsidRDefault="00000000" w:rsidRPr="00000000" w14:paraId="00000044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כלכלית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זרות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התועלת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זרות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זרות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בינלאומיות</w:t>
      </w:r>
    </w:p>
    <w:p w:rsidR="00000000" w:rsidDel="00000000" w:rsidP="00000000" w:rsidRDefault="00000000" w:rsidRPr="00000000" w14:paraId="00000048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השוואתי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סינגפור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גרמניה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הברית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רביעי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בממצאים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jc w:val="both"/>
        <w:rPr>
          <w:rFonts w:ascii="David" w:cs="David" w:eastAsia="David" w:hAnsi="David"/>
          <w:b w:val="1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סיכום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והמלצות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jc w:val="both"/>
        <w:rPr>
          <w:rFonts w:ascii="David" w:cs="David" w:eastAsia="David" w:hAnsi="David"/>
          <w:b w:val="1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מקורות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נספחים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הפרויקט</w:t>
      </w:r>
    </w:p>
    <w:p w:rsidR="00000000" w:rsidDel="00000000" w:rsidP="00000000" w:rsidRDefault="00000000" w:rsidRPr="00000000" w14:paraId="00000052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להקיף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הסוגייה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הנחקרת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בהשוואה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סינגפור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גרמניה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וארצות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3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ייבחן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הסוגייה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בהשקעה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מנקודת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בהקשרי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המוטיבציה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הפרקטיקה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וההשפעות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בהשפעת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בחברות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ובענפי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תעשיה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משתייכים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הפרויקט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ימליץ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והקריטיות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ישתמש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בהגדרות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מקובלות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72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המשגה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והגדרות</w:t>
      </w:r>
    </w:p>
    <w:p w:rsidR="00000000" w:rsidDel="00000000" w:rsidP="00000000" w:rsidRDefault="00000000" w:rsidRPr="00000000" w14:paraId="00000055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מושגים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שיתפתח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המושגים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החשובים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56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מתייחס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להשקעה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ונכסים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משקיע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שמעניק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למשקיע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בחברות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ובנכסים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שלזרים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תפקיד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בניהול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מההשקעה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למשקיע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האסטרטגיה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העסקית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הנרכשת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פיזיות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שמבצעת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פתיחת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מפעלים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רכישת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2019 ).</w:t>
      </w:r>
    </w:p>
    <w:p w:rsidR="00000000" w:rsidDel="00000000" w:rsidP="00000000" w:rsidRDefault="00000000" w:rsidRPr="00000000" w14:paraId="00000057">
      <w:pPr>
        <w:bidi w:val="1"/>
        <w:spacing w:after="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הבסיס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נבנית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מאפשר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להתקיים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ולהתפתח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כמדינה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עצמאית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עשויות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פיזיות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כבישים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אנרגיה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תרבותי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רוחני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לאומית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8">
      <w:pPr>
        <w:bidi w:val="1"/>
        <w:spacing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כוללות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בתוכן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מיתקני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שדה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תעופה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מעגן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מיתקן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להתפלת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מיתקני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וביוב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מאגרים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אתרי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סילוק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וטיפול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בפסולת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מיתקני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תחנת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מיתקן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אחסון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נפט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גז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ודלק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מיתקני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גז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ומיתקני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כהגדרתם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2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משק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הגז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הטבעי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אתרי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כרייה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וחציבה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חניון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לעידוד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בתחבורה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הציבורית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תיירות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סוהר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התכנון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והבניה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1965).</w:t>
      </w:r>
    </w:p>
    <w:p w:rsidR="00000000" w:rsidDel="00000000" w:rsidP="00000000" w:rsidRDefault="00000000" w:rsidRPr="00000000" w14:paraId="00000059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קריטיות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רשתות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ותהליכים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הנחוצים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לתפקוד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היומיום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פונקציות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וארגונים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לתחזוקת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שירותים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חיוניים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זקוקים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פיזיות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שכוללות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רכות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שכוללות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הסייבר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הבר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וז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רסקי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rtl w:val="1"/>
        </w:rPr>
        <w:t xml:space="preserve">. 2017).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אסדרה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רגולציה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להסדרה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צווים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לענייננו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הרגולציה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המארחת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המשקיע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בבואו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להשקיע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2014 )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ראשונית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ind w:left="360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ind w:left="360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(2014 )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לדמוקרטיה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הרגולטורי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ורגולציה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משותפת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ind w:left="360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וזרסקי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(2017).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חיוניות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הסייבר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ind w:left="360" w:firstLine="0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מנשרי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גיל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ברעם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(2015).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קריטיות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והשפעת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התלות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ביניהן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תקיפה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קיברנטית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המקרה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האמריקאי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360" w:lineRule="auto"/>
        <w:ind w:left="360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פיטוסי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ארקדי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שפרן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סמקאי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(2019).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1948-2018 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63">
      <w:pPr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Banga, Rashmi. (2003). "Impact of government policies and investment agreements on FDI inflows." Indian council for research on international economic relations (2003): 1-43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Bian, S., &amp; Emons, O. (2017). Chinese investments in Germany: increasing in line with Chinese industrial policy.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Chinese investment in Europe: corporate strategies and labour relations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, 157-177.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Borensztein, E., De Gregorio, J., &amp; Lee, J. W. (1998). How does foreign direct investment affect economic growth?.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Journal of international Economics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45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(1), 115-135.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Butler, N., &amp; Subedi, S. (2017). The Future of International Investment Regulation: Towards a World Investment Organisation?.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Netherlands International Law Review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64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(1), 43-72.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Carver, A. (2018). Open and secret regulations and their implication for foreign investment. In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Management Issues in China: Volume II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 (pp. 11-29). Routledge.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Contractor, F. J., Dangol, R., Nuruzzaman, N., &amp; Raghunath, S. (2020). How do country regulations and business environment impact foreign direct investment (FDI) inflows?.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International Business Review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29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(2), 101640.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Connell, P., &amp; Huang, T. (2014). An empirical analysis of CFIUS: examining foreign investment regulation in the United States.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Yale J. Int'l L.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39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, 131.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Dinh, T. T. H., Vo, D. H., &amp; Nguyen, T. C. (2019). Foreign direct investment and economic growth in the short run and long run: Empirical evidence from developing countries.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Journal of Risk and Financial Management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rFonts w:ascii="David" w:cs="David" w:eastAsia="David" w:hAnsi="David"/>
          <w:i w:val="1"/>
          <w:color w:val="222222"/>
          <w:sz w:val="24"/>
          <w:szCs w:val="24"/>
          <w:highlight w:val="white"/>
          <w:rtl w:val="0"/>
        </w:rPr>
        <w:t xml:space="preserve">12</w:t>
      </w: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(4), 176.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Arial" w:cs="Arial" w:eastAsia="Arial" w:hAnsi="Arial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Dmitrenko, V. (2020). IMPACT OF THE STATE REGULATION OVER INVESTMENT PROCESSES IN THE CONSTRUCTION SECTOR: FOREIGN EXPERIENCE AND POSIBILITY TO THE UKRAINE. Economics, Finance and Management Review, (2), 91-97.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Dunning, John H. (2003) . "Determinants of foreign direct investment: globalization-induced changes and the role of policies." Annual World Bank Conference on Development Economics, Europe,“Toward Pro-Poor Policies Aid, Institutions, and Globalization. Edited by Bertil Tungodden, Nicholas Stern, and Ivar Kolstad..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Ella, D. (2018) Decisions from China’s National People’s Congress: Significance for Israel.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Fujii, K., Yodogawa, N., &amp; Wako, M. (2020). Foreign Investment Screening in Japan.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0"/>
        </w:rPr>
        <w:t xml:space="preserve">Ridzuan, A. R., Ismail, N. A., &amp; Che Hamat, A. F. (2017). Does foreign direct investment successfully lead to sustainable development in Singapore?. </w:t>
      </w:r>
      <w:r w:rsidDel="00000000" w:rsidR="00000000" w:rsidRPr="00000000">
        <w:rPr>
          <w:rFonts w:ascii="David" w:cs="David" w:eastAsia="David" w:hAnsi="David"/>
          <w:i w:val="1"/>
          <w:color w:val="000000"/>
          <w:sz w:val="24"/>
          <w:szCs w:val="24"/>
          <w:rtl w:val="0"/>
        </w:rPr>
        <w:t xml:space="preserve">Economies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0"/>
        </w:rPr>
        <w:t xml:space="preserve">, </w:t>
      </w:r>
      <w:r w:rsidDel="00000000" w:rsidR="00000000" w:rsidRPr="00000000">
        <w:rPr>
          <w:rFonts w:ascii="David" w:cs="David" w:eastAsia="David" w:hAnsi="David"/>
          <w:i w:val="1"/>
          <w:color w:val="000000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0"/>
        </w:rPr>
        <w:t xml:space="preserve">(3), 29.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line="360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Rodolphe Desbordes, Vincent Vicard. (2007) Foreign direct investment and bilateral investment treaties, an international political perspective. Documents de travail du Centre d’Economie de la Sorbonne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Shields, J. (2018). Smart machines and smarter policy: Foreign investment regulation, national security, and technology transfer in the age of artificial intelligence. National Security, and Technology Transfer in the Age of Artificial Intelligence (March 22, 2018).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avid" w:cs="David" w:eastAsia="David" w:hAnsi="David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222222"/>
          <w:sz w:val="24"/>
          <w:szCs w:val="24"/>
          <w:highlight w:val="white"/>
          <w:rtl w:val="0"/>
        </w:rPr>
        <w:t xml:space="preserve">Zeng, Ka &amp; Li, Xiaojun. (2019). Geopolitics, Nationalism, and Foreign Direct Investment: Perceptions of the China Threat and American Public Attitudes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0"/>
        </w:rPr>
        <w:t xml:space="preserve"> toward Chinese FDI. The Chinese Journal of International Politics. 12. 10.1093/cjip/poz016.</w:t>
      </w:r>
    </w:p>
    <w:p w:rsidR="00000000" w:rsidDel="00000000" w:rsidP="00000000" w:rsidRDefault="00000000" w:rsidRPr="00000000" w14:paraId="0000007F">
      <w:pPr>
        <w:bidi w:val="1"/>
        <w:spacing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