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C73" w:rsidRDefault="009D2C73" w:rsidP="009C5D4A">
      <w:pPr>
        <w:tabs>
          <w:tab w:val="center" w:pos="4153"/>
        </w:tabs>
        <w:jc w:val="both"/>
        <w:rPr>
          <w:rFonts w:cs="David" w:hint="cs"/>
          <w:b/>
          <w:bCs/>
          <w:sz w:val="32"/>
          <w:szCs w:val="32"/>
          <w:rtl/>
        </w:rPr>
      </w:pPr>
      <w:r>
        <w:rPr>
          <w:rFonts w:cs="David" w:hint="cs"/>
          <w:b/>
          <w:bCs/>
          <w:sz w:val="32"/>
          <w:szCs w:val="32"/>
          <w:rtl/>
        </w:rPr>
        <w:t>הערכת העבודה:</w:t>
      </w:r>
    </w:p>
    <w:p w:rsidR="009D2C73" w:rsidRDefault="009D2C73" w:rsidP="009C5D4A">
      <w:pPr>
        <w:tabs>
          <w:tab w:val="center" w:pos="4153"/>
        </w:tabs>
        <w:jc w:val="right"/>
        <w:rPr>
          <w:rFonts w:cs="David"/>
          <w:b/>
          <w:bCs/>
          <w:sz w:val="32"/>
          <w:szCs w:val="32"/>
        </w:rPr>
      </w:pPr>
      <w:r>
        <w:rPr>
          <w:rFonts w:cs="David"/>
          <w:b/>
          <w:bCs/>
          <w:sz w:val="32"/>
          <w:szCs w:val="32"/>
        </w:rPr>
        <w:t>Canadian Immigration Policies and National Secutity: Precived Libearlism Hiding Pragmatism</w:t>
      </w:r>
    </w:p>
    <w:p w:rsidR="009D2C73" w:rsidRDefault="009D2C73" w:rsidP="009C5D4A">
      <w:pPr>
        <w:tabs>
          <w:tab w:val="center" w:pos="4153"/>
        </w:tabs>
        <w:jc w:val="both"/>
        <w:rPr>
          <w:rFonts w:cs="David" w:hint="cs"/>
          <w:b/>
          <w:bCs/>
          <w:sz w:val="32"/>
          <w:szCs w:val="32"/>
          <w:rtl/>
        </w:rPr>
      </w:pPr>
      <w:r>
        <w:rPr>
          <w:rFonts w:cs="David" w:hint="cs"/>
          <w:b/>
          <w:bCs/>
          <w:sz w:val="32"/>
          <w:szCs w:val="32"/>
          <w:rtl/>
        </w:rPr>
        <w:t>נכתבה על ידי:</w:t>
      </w:r>
    </w:p>
    <w:p w:rsidR="009D2C73" w:rsidRDefault="009D2C73" w:rsidP="009C5D4A">
      <w:pPr>
        <w:tabs>
          <w:tab w:val="center" w:pos="4153"/>
        </w:tabs>
        <w:jc w:val="right"/>
        <w:rPr>
          <w:rFonts w:cs="David"/>
          <w:b/>
          <w:bCs/>
          <w:sz w:val="32"/>
          <w:szCs w:val="32"/>
        </w:rPr>
      </w:pPr>
      <w:r>
        <w:rPr>
          <w:rFonts w:cs="David"/>
          <w:b/>
          <w:bCs/>
          <w:sz w:val="32"/>
          <w:szCs w:val="32"/>
        </w:rPr>
        <w:t>Colonel J.G.P Lemyre</w:t>
      </w:r>
    </w:p>
    <w:p w:rsidR="009C5D4A" w:rsidRDefault="009C5D4A" w:rsidP="009D2C73">
      <w:pPr>
        <w:tabs>
          <w:tab w:val="center" w:pos="4153"/>
        </w:tabs>
        <w:spacing w:line="360" w:lineRule="auto"/>
        <w:jc w:val="both"/>
        <w:rPr>
          <w:rFonts w:cs="David" w:hint="cs"/>
          <w:b/>
          <w:bCs/>
          <w:sz w:val="32"/>
          <w:szCs w:val="32"/>
          <w:rtl/>
        </w:rPr>
      </w:pPr>
    </w:p>
    <w:p w:rsidR="009D2C73" w:rsidRPr="003B5659" w:rsidRDefault="009D2C73" w:rsidP="009D2C73">
      <w:pPr>
        <w:tabs>
          <w:tab w:val="center" w:pos="4153"/>
        </w:tabs>
        <w:spacing w:line="360" w:lineRule="auto"/>
        <w:jc w:val="both"/>
        <w:rPr>
          <w:rFonts w:cs="David"/>
          <w:b/>
          <w:bCs/>
          <w:sz w:val="32"/>
          <w:szCs w:val="32"/>
          <w:rtl/>
        </w:rPr>
      </w:pPr>
      <w:r w:rsidRPr="003B5659">
        <w:rPr>
          <w:rFonts w:cs="David" w:hint="cs"/>
          <w:b/>
          <w:bCs/>
          <w:sz w:val="32"/>
          <w:szCs w:val="32"/>
          <w:rtl/>
        </w:rPr>
        <w:t xml:space="preserve">קריטריונים להערכת עבודה שנתית במכללה לביטחון לאומי </w:t>
      </w:r>
    </w:p>
    <w:tbl>
      <w:tblPr>
        <w:tblStyle w:val="TableGrid"/>
        <w:bidiVisual/>
        <w:tblW w:w="0" w:type="auto"/>
        <w:tblLook w:val="04A0" w:firstRow="1" w:lastRow="0" w:firstColumn="1" w:lastColumn="0" w:noHBand="0" w:noVBand="1"/>
      </w:tblPr>
      <w:tblGrid>
        <w:gridCol w:w="1492"/>
        <w:gridCol w:w="5670"/>
        <w:gridCol w:w="993"/>
      </w:tblGrid>
      <w:tr w:rsidR="009D2C73" w:rsidRPr="000F1134" w:rsidTr="00FF7F61">
        <w:tc>
          <w:tcPr>
            <w:tcW w:w="1492" w:type="dxa"/>
          </w:tcPr>
          <w:p w:rsidR="009D2C73" w:rsidRPr="000F1134" w:rsidRDefault="009D2C73" w:rsidP="00FF7F61">
            <w:pPr>
              <w:tabs>
                <w:tab w:val="center" w:pos="4153"/>
              </w:tabs>
              <w:spacing w:line="360" w:lineRule="auto"/>
              <w:jc w:val="both"/>
              <w:rPr>
                <w:rFonts w:cs="David"/>
                <w:b/>
                <w:bCs/>
                <w:sz w:val="24"/>
                <w:szCs w:val="24"/>
                <w:rtl/>
              </w:rPr>
            </w:pPr>
            <w:r w:rsidRPr="000F1134">
              <w:rPr>
                <w:rFonts w:cs="David" w:hint="cs"/>
                <w:b/>
                <w:bCs/>
                <w:sz w:val="24"/>
                <w:szCs w:val="24"/>
                <w:rtl/>
              </w:rPr>
              <w:t>קריטריון</w:t>
            </w:r>
          </w:p>
        </w:tc>
        <w:tc>
          <w:tcPr>
            <w:tcW w:w="5670" w:type="dxa"/>
          </w:tcPr>
          <w:p w:rsidR="009D2C73" w:rsidRPr="000F1134" w:rsidRDefault="009D2C73" w:rsidP="00FF7F61">
            <w:pPr>
              <w:tabs>
                <w:tab w:val="center" w:pos="4153"/>
              </w:tabs>
              <w:spacing w:line="360" w:lineRule="auto"/>
              <w:jc w:val="both"/>
              <w:rPr>
                <w:rFonts w:cs="David"/>
                <w:b/>
                <w:bCs/>
                <w:sz w:val="24"/>
                <w:szCs w:val="24"/>
                <w:rtl/>
              </w:rPr>
            </w:pPr>
            <w:r w:rsidRPr="000F1134">
              <w:rPr>
                <w:rFonts w:cs="David" w:hint="cs"/>
                <w:b/>
                <w:bCs/>
                <w:sz w:val="24"/>
                <w:szCs w:val="24"/>
                <w:rtl/>
              </w:rPr>
              <w:t>פירוט</w:t>
            </w:r>
          </w:p>
        </w:tc>
        <w:tc>
          <w:tcPr>
            <w:tcW w:w="993" w:type="dxa"/>
          </w:tcPr>
          <w:p w:rsidR="009D2C73" w:rsidRPr="000F1134" w:rsidRDefault="009D2C73" w:rsidP="00FF7F61">
            <w:pPr>
              <w:tabs>
                <w:tab w:val="center" w:pos="4153"/>
              </w:tabs>
              <w:spacing w:line="360" w:lineRule="auto"/>
              <w:jc w:val="both"/>
              <w:rPr>
                <w:rFonts w:cs="David"/>
                <w:b/>
                <w:bCs/>
                <w:sz w:val="24"/>
                <w:szCs w:val="24"/>
                <w:rtl/>
              </w:rPr>
            </w:pPr>
            <w:r w:rsidRPr="000F1134">
              <w:rPr>
                <w:rFonts w:cs="David" w:hint="cs"/>
                <w:b/>
                <w:bCs/>
                <w:sz w:val="24"/>
                <w:szCs w:val="24"/>
                <w:rtl/>
              </w:rPr>
              <w:t>ציון</w:t>
            </w:r>
          </w:p>
        </w:tc>
      </w:tr>
      <w:tr w:rsidR="009D2C73" w:rsidRPr="000F1134" w:rsidTr="00FF7F61">
        <w:tc>
          <w:tcPr>
            <w:tcW w:w="1492" w:type="dxa"/>
          </w:tcPr>
          <w:p w:rsidR="009D2C73" w:rsidRPr="000F1134" w:rsidRDefault="009D2C73" w:rsidP="00FF7F61">
            <w:pPr>
              <w:tabs>
                <w:tab w:val="center" w:pos="4153"/>
              </w:tabs>
              <w:spacing w:line="360" w:lineRule="auto"/>
              <w:jc w:val="both"/>
              <w:rPr>
                <w:rFonts w:cs="David"/>
                <w:b/>
                <w:bCs/>
                <w:i/>
                <w:iCs/>
                <w:sz w:val="24"/>
                <w:szCs w:val="24"/>
                <w:rtl/>
              </w:rPr>
            </w:pPr>
            <w:r w:rsidRPr="000F1134">
              <w:rPr>
                <w:rFonts w:cs="David" w:hint="cs"/>
                <w:b/>
                <w:bCs/>
                <w:i/>
                <w:iCs/>
                <w:sz w:val="24"/>
                <w:szCs w:val="24"/>
                <w:rtl/>
              </w:rPr>
              <w:t>היצג לוגי 40%</w:t>
            </w:r>
          </w:p>
        </w:tc>
        <w:tc>
          <w:tcPr>
            <w:tcW w:w="5670" w:type="dxa"/>
          </w:tcPr>
          <w:p w:rsidR="009D2C73" w:rsidRPr="000F1134" w:rsidRDefault="009D2C73" w:rsidP="009D2C73">
            <w:pPr>
              <w:pStyle w:val="ListParagraph"/>
              <w:numPr>
                <w:ilvl w:val="0"/>
                <w:numId w:val="1"/>
              </w:numPr>
              <w:tabs>
                <w:tab w:val="center" w:pos="4153"/>
              </w:tabs>
              <w:spacing w:line="360" w:lineRule="auto"/>
              <w:jc w:val="both"/>
              <w:rPr>
                <w:rFonts w:cs="David"/>
                <w:sz w:val="24"/>
                <w:szCs w:val="24"/>
                <w:rtl/>
              </w:rPr>
            </w:pPr>
            <w:r w:rsidRPr="000F1134">
              <w:rPr>
                <w:rFonts w:cs="David" w:hint="cs"/>
                <w:sz w:val="24"/>
                <w:szCs w:val="24"/>
                <w:rtl/>
              </w:rPr>
              <w:t xml:space="preserve">הצגת שאלת מחקר בנוגע לסוגיה הנדונה בצורה ברורה ומדויקת. </w:t>
            </w:r>
          </w:p>
          <w:p w:rsidR="009D2C73" w:rsidRPr="000F1134" w:rsidRDefault="009D2C73" w:rsidP="009D2C73">
            <w:pPr>
              <w:pStyle w:val="ListParagraph"/>
              <w:numPr>
                <w:ilvl w:val="0"/>
                <w:numId w:val="1"/>
              </w:numPr>
              <w:tabs>
                <w:tab w:val="center" w:pos="4153"/>
              </w:tabs>
              <w:spacing w:line="360" w:lineRule="auto"/>
              <w:jc w:val="both"/>
              <w:rPr>
                <w:rFonts w:cs="David"/>
                <w:b/>
                <w:bCs/>
                <w:sz w:val="24"/>
                <w:szCs w:val="24"/>
                <w:rtl/>
              </w:rPr>
            </w:pPr>
            <w:r w:rsidRPr="000F1134">
              <w:rPr>
                <w:rFonts w:cs="David" w:hint="cs"/>
                <w:sz w:val="24"/>
                <w:szCs w:val="24"/>
                <w:rtl/>
              </w:rPr>
              <w:t xml:space="preserve">קשר בין מטרת המחקר להנחות היסוד ותיאור התופעה. </w:t>
            </w:r>
          </w:p>
          <w:p w:rsidR="009D2C73" w:rsidRPr="000F1134" w:rsidRDefault="009D2C73" w:rsidP="009D2C73">
            <w:pPr>
              <w:pStyle w:val="ListParagraph"/>
              <w:numPr>
                <w:ilvl w:val="0"/>
                <w:numId w:val="1"/>
              </w:numPr>
              <w:tabs>
                <w:tab w:val="center" w:pos="4153"/>
              </w:tabs>
              <w:spacing w:line="360" w:lineRule="auto"/>
              <w:jc w:val="both"/>
              <w:rPr>
                <w:rFonts w:cs="David"/>
                <w:sz w:val="24"/>
                <w:szCs w:val="24"/>
                <w:rtl/>
              </w:rPr>
            </w:pPr>
            <w:r w:rsidRPr="000F1134">
              <w:rPr>
                <w:rFonts w:cs="David" w:hint="cs"/>
                <w:b/>
                <w:bCs/>
                <w:sz w:val="24"/>
                <w:szCs w:val="24"/>
                <w:rtl/>
              </w:rPr>
              <w:t>יכולת ניתוח.</w:t>
            </w:r>
            <w:r w:rsidRPr="000F1134">
              <w:rPr>
                <w:rFonts w:cs="David" w:hint="cs"/>
                <w:sz w:val="24"/>
                <w:szCs w:val="24"/>
                <w:rtl/>
              </w:rPr>
              <w:t xml:space="preserve"> </w:t>
            </w:r>
          </w:p>
          <w:p w:rsidR="009D2C73" w:rsidRDefault="009D2C73" w:rsidP="009D2C73">
            <w:pPr>
              <w:pStyle w:val="ListParagraph"/>
              <w:numPr>
                <w:ilvl w:val="0"/>
                <w:numId w:val="1"/>
              </w:numPr>
              <w:tabs>
                <w:tab w:val="center" w:pos="4153"/>
              </w:tabs>
              <w:spacing w:line="360" w:lineRule="auto"/>
              <w:jc w:val="both"/>
              <w:rPr>
                <w:rFonts w:cs="David"/>
                <w:sz w:val="24"/>
                <w:szCs w:val="24"/>
              </w:rPr>
            </w:pPr>
            <w:r w:rsidRPr="000F1134">
              <w:rPr>
                <w:rFonts w:cs="David" w:hint="cs"/>
                <w:sz w:val="24"/>
                <w:szCs w:val="24"/>
                <w:rtl/>
              </w:rPr>
              <w:t xml:space="preserve">מסקנות וסיכום העבודה לאור שאלת המחקר וגוף העבודה. </w:t>
            </w:r>
          </w:p>
          <w:p w:rsidR="009D2C73" w:rsidRPr="000F1134" w:rsidRDefault="009D2C73" w:rsidP="009D2C73">
            <w:pPr>
              <w:pStyle w:val="ListParagraph"/>
              <w:numPr>
                <w:ilvl w:val="0"/>
                <w:numId w:val="1"/>
              </w:numPr>
              <w:tabs>
                <w:tab w:val="center" w:pos="4153"/>
              </w:tabs>
              <w:spacing w:line="360" w:lineRule="auto"/>
              <w:jc w:val="both"/>
              <w:rPr>
                <w:rFonts w:cs="David"/>
                <w:sz w:val="24"/>
                <w:szCs w:val="24"/>
                <w:rtl/>
              </w:rPr>
            </w:pPr>
            <w:r w:rsidRPr="000F1134">
              <w:rPr>
                <w:rFonts w:cs="David" w:hint="cs"/>
                <w:sz w:val="24"/>
                <w:szCs w:val="24"/>
                <w:rtl/>
              </w:rPr>
              <w:t>רלבנטיות המסקנות וההמלצות.</w:t>
            </w:r>
          </w:p>
        </w:tc>
        <w:tc>
          <w:tcPr>
            <w:tcW w:w="993" w:type="dxa"/>
          </w:tcPr>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Pr="000F1134" w:rsidRDefault="00CC1B39" w:rsidP="00CC1B39">
            <w:pPr>
              <w:tabs>
                <w:tab w:val="center" w:pos="4153"/>
              </w:tabs>
              <w:spacing w:line="360" w:lineRule="auto"/>
              <w:jc w:val="both"/>
              <w:rPr>
                <w:rFonts w:cs="David"/>
                <w:sz w:val="24"/>
                <w:szCs w:val="24"/>
                <w:rtl/>
              </w:rPr>
            </w:pPr>
            <w:r>
              <w:rPr>
                <w:rFonts w:cs="David" w:hint="cs"/>
                <w:sz w:val="24"/>
                <w:szCs w:val="24"/>
                <w:rtl/>
              </w:rPr>
              <w:t>92</w:t>
            </w:r>
          </w:p>
        </w:tc>
      </w:tr>
      <w:tr w:rsidR="009D2C73" w:rsidRPr="000F1134" w:rsidTr="00FF7F61">
        <w:tc>
          <w:tcPr>
            <w:tcW w:w="1492" w:type="dxa"/>
          </w:tcPr>
          <w:p w:rsidR="009D2C73" w:rsidRPr="000F1134" w:rsidRDefault="009D2C73" w:rsidP="00FF7F61">
            <w:pPr>
              <w:tabs>
                <w:tab w:val="center" w:pos="4153"/>
              </w:tabs>
              <w:spacing w:line="360" w:lineRule="auto"/>
              <w:jc w:val="both"/>
              <w:rPr>
                <w:rFonts w:cs="David"/>
                <w:b/>
                <w:bCs/>
                <w:i/>
                <w:iCs/>
                <w:sz w:val="24"/>
                <w:szCs w:val="24"/>
                <w:rtl/>
              </w:rPr>
            </w:pPr>
            <w:r w:rsidRPr="000F1134">
              <w:rPr>
                <w:rFonts w:cs="David" w:hint="cs"/>
                <w:b/>
                <w:bCs/>
                <w:i/>
                <w:iCs/>
                <w:sz w:val="24"/>
                <w:szCs w:val="24"/>
                <w:rtl/>
              </w:rPr>
              <w:t>היבט תיאורטי</w:t>
            </w:r>
            <w:r>
              <w:rPr>
                <w:rFonts w:cs="David" w:hint="cs"/>
                <w:b/>
                <w:bCs/>
                <w:i/>
                <w:iCs/>
                <w:sz w:val="24"/>
                <w:szCs w:val="24"/>
                <w:rtl/>
              </w:rPr>
              <w:t xml:space="preserve"> 20%</w:t>
            </w:r>
          </w:p>
        </w:tc>
        <w:tc>
          <w:tcPr>
            <w:tcW w:w="5670" w:type="dxa"/>
          </w:tcPr>
          <w:p w:rsidR="009D2C73" w:rsidRPr="000F1134" w:rsidRDefault="009D2C73" w:rsidP="009D2C73">
            <w:pPr>
              <w:pStyle w:val="ListParagraph"/>
              <w:numPr>
                <w:ilvl w:val="0"/>
                <w:numId w:val="1"/>
              </w:numPr>
              <w:tabs>
                <w:tab w:val="center" w:pos="4153"/>
              </w:tabs>
              <w:spacing w:line="360" w:lineRule="auto"/>
              <w:jc w:val="both"/>
              <w:rPr>
                <w:rFonts w:cs="David"/>
                <w:sz w:val="24"/>
                <w:szCs w:val="24"/>
                <w:rtl/>
              </w:rPr>
            </w:pPr>
            <w:r w:rsidRPr="000F1134">
              <w:rPr>
                <w:rFonts w:cs="David" w:hint="cs"/>
                <w:sz w:val="24"/>
                <w:szCs w:val="24"/>
                <w:rtl/>
              </w:rPr>
              <w:t xml:space="preserve">שימוש עשיר ומגוון במקורות. </w:t>
            </w:r>
          </w:p>
          <w:p w:rsidR="009D2C73" w:rsidRPr="000F1134" w:rsidRDefault="009D2C73" w:rsidP="009D2C73">
            <w:pPr>
              <w:pStyle w:val="ListParagraph"/>
              <w:numPr>
                <w:ilvl w:val="0"/>
                <w:numId w:val="1"/>
              </w:numPr>
              <w:tabs>
                <w:tab w:val="center" w:pos="4153"/>
              </w:tabs>
              <w:spacing w:line="360" w:lineRule="auto"/>
              <w:jc w:val="both"/>
              <w:rPr>
                <w:rFonts w:cs="David"/>
                <w:sz w:val="24"/>
                <w:szCs w:val="24"/>
                <w:rtl/>
              </w:rPr>
            </w:pPr>
            <w:r w:rsidRPr="000F1134">
              <w:rPr>
                <w:rFonts w:cs="David" w:hint="cs"/>
                <w:sz w:val="24"/>
                <w:szCs w:val="24"/>
                <w:rtl/>
              </w:rPr>
              <w:t xml:space="preserve">בקיאות בחומר והיכרות עם מחקרים נוספים ומקבילים לנושא העבודה. </w:t>
            </w:r>
          </w:p>
          <w:p w:rsidR="009D2C73" w:rsidRPr="000F1134" w:rsidRDefault="009D2C73" w:rsidP="009D2C73">
            <w:pPr>
              <w:pStyle w:val="ListParagraph"/>
              <w:numPr>
                <w:ilvl w:val="0"/>
                <w:numId w:val="1"/>
              </w:numPr>
              <w:tabs>
                <w:tab w:val="center" w:pos="4153"/>
              </w:tabs>
              <w:spacing w:line="360" w:lineRule="auto"/>
              <w:jc w:val="both"/>
              <w:rPr>
                <w:rFonts w:cs="David"/>
                <w:sz w:val="24"/>
                <w:szCs w:val="24"/>
                <w:rtl/>
              </w:rPr>
            </w:pPr>
            <w:r w:rsidRPr="000F1134">
              <w:rPr>
                <w:rFonts w:cs="David" w:hint="cs"/>
                <w:sz w:val="24"/>
                <w:szCs w:val="24"/>
                <w:rtl/>
              </w:rPr>
              <w:t>אינטגרציה בין מקורות, שמירה על כללי הציטוט.</w:t>
            </w:r>
          </w:p>
        </w:tc>
        <w:tc>
          <w:tcPr>
            <w:tcW w:w="993" w:type="dxa"/>
          </w:tcPr>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Pr="000F1134" w:rsidRDefault="009D2C73" w:rsidP="00FF7F61">
            <w:pPr>
              <w:tabs>
                <w:tab w:val="center" w:pos="4153"/>
              </w:tabs>
              <w:spacing w:line="360" w:lineRule="auto"/>
              <w:jc w:val="both"/>
              <w:rPr>
                <w:rFonts w:cs="David"/>
                <w:sz w:val="24"/>
                <w:szCs w:val="24"/>
                <w:rtl/>
              </w:rPr>
            </w:pPr>
            <w:r>
              <w:rPr>
                <w:rFonts w:cs="David"/>
                <w:sz w:val="24"/>
                <w:szCs w:val="24"/>
              </w:rPr>
              <w:t>95</w:t>
            </w:r>
          </w:p>
        </w:tc>
      </w:tr>
      <w:tr w:rsidR="009D2C73" w:rsidRPr="000F1134" w:rsidTr="00FF7F61">
        <w:tc>
          <w:tcPr>
            <w:tcW w:w="1492" w:type="dxa"/>
          </w:tcPr>
          <w:p w:rsidR="009D2C73" w:rsidRPr="000F1134" w:rsidRDefault="009D2C73" w:rsidP="00FF7F61">
            <w:pPr>
              <w:tabs>
                <w:tab w:val="center" w:pos="4153"/>
              </w:tabs>
              <w:spacing w:line="360" w:lineRule="auto"/>
              <w:jc w:val="both"/>
              <w:rPr>
                <w:rFonts w:cs="David"/>
                <w:b/>
                <w:bCs/>
                <w:i/>
                <w:iCs/>
                <w:sz w:val="24"/>
                <w:szCs w:val="24"/>
                <w:rtl/>
              </w:rPr>
            </w:pPr>
            <w:r w:rsidRPr="000F1134">
              <w:rPr>
                <w:rFonts w:cs="David" w:hint="cs"/>
                <w:b/>
                <w:bCs/>
                <w:i/>
                <w:iCs/>
                <w:sz w:val="24"/>
                <w:szCs w:val="24"/>
                <w:rtl/>
              </w:rPr>
              <w:t>חידוש ותרומה</w:t>
            </w:r>
            <w:r>
              <w:rPr>
                <w:rFonts w:cs="David" w:hint="cs"/>
                <w:b/>
                <w:bCs/>
                <w:i/>
                <w:iCs/>
                <w:sz w:val="24"/>
                <w:szCs w:val="24"/>
                <w:rtl/>
              </w:rPr>
              <w:t xml:space="preserve"> 30%</w:t>
            </w:r>
          </w:p>
        </w:tc>
        <w:tc>
          <w:tcPr>
            <w:tcW w:w="5670" w:type="dxa"/>
          </w:tcPr>
          <w:p w:rsidR="009D2C73" w:rsidRPr="000F1134" w:rsidRDefault="009D2C73" w:rsidP="009D2C73">
            <w:pPr>
              <w:pStyle w:val="ListParagraph"/>
              <w:numPr>
                <w:ilvl w:val="0"/>
                <w:numId w:val="1"/>
              </w:numPr>
              <w:tabs>
                <w:tab w:val="center" w:pos="4153"/>
              </w:tabs>
              <w:spacing w:line="360" w:lineRule="auto"/>
              <w:jc w:val="both"/>
              <w:rPr>
                <w:rFonts w:cs="David"/>
                <w:sz w:val="24"/>
                <w:szCs w:val="24"/>
                <w:rtl/>
              </w:rPr>
            </w:pPr>
            <w:r w:rsidRPr="000F1134">
              <w:rPr>
                <w:rFonts w:cs="David" w:hint="cs"/>
                <w:sz w:val="24"/>
                <w:szCs w:val="24"/>
                <w:rtl/>
              </w:rPr>
              <w:t xml:space="preserve">חידוש ביצירת/קיבוץ ידע ותרומה הגותית ו/או מעשית לביטחון הלאומי. </w:t>
            </w:r>
          </w:p>
        </w:tc>
        <w:tc>
          <w:tcPr>
            <w:tcW w:w="993" w:type="dxa"/>
          </w:tcPr>
          <w:p w:rsidR="009D2C73" w:rsidRDefault="009D2C73" w:rsidP="00FF7F61">
            <w:pPr>
              <w:tabs>
                <w:tab w:val="center" w:pos="4153"/>
              </w:tabs>
              <w:spacing w:line="360" w:lineRule="auto"/>
              <w:jc w:val="both"/>
              <w:rPr>
                <w:rFonts w:cs="David"/>
                <w:sz w:val="24"/>
                <w:szCs w:val="24"/>
              </w:rPr>
            </w:pPr>
          </w:p>
          <w:p w:rsidR="009D2C73" w:rsidRPr="000F1134" w:rsidRDefault="009D2C73" w:rsidP="00FF7F61">
            <w:pPr>
              <w:tabs>
                <w:tab w:val="center" w:pos="4153"/>
              </w:tabs>
              <w:spacing w:line="360" w:lineRule="auto"/>
              <w:jc w:val="both"/>
              <w:rPr>
                <w:rFonts w:cs="David"/>
                <w:sz w:val="24"/>
                <w:szCs w:val="24"/>
                <w:rtl/>
              </w:rPr>
            </w:pPr>
            <w:r>
              <w:rPr>
                <w:rFonts w:cs="David"/>
                <w:sz w:val="24"/>
                <w:szCs w:val="24"/>
              </w:rPr>
              <w:t>90</w:t>
            </w:r>
          </w:p>
        </w:tc>
      </w:tr>
      <w:tr w:rsidR="009D2C73" w:rsidRPr="000F1134" w:rsidTr="00FF7F61">
        <w:tc>
          <w:tcPr>
            <w:tcW w:w="1492" w:type="dxa"/>
          </w:tcPr>
          <w:p w:rsidR="009D2C73" w:rsidRPr="000F1134" w:rsidRDefault="009D2C73" w:rsidP="00FF7F61">
            <w:pPr>
              <w:tabs>
                <w:tab w:val="center" w:pos="4153"/>
              </w:tabs>
              <w:spacing w:line="360" w:lineRule="auto"/>
              <w:jc w:val="both"/>
              <w:rPr>
                <w:rFonts w:cs="David"/>
                <w:b/>
                <w:bCs/>
                <w:i/>
                <w:iCs/>
                <w:sz w:val="24"/>
                <w:szCs w:val="24"/>
                <w:rtl/>
              </w:rPr>
            </w:pPr>
            <w:r w:rsidRPr="000F1134">
              <w:rPr>
                <w:rFonts w:cs="David" w:hint="cs"/>
                <w:b/>
                <w:bCs/>
                <w:i/>
                <w:iCs/>
                <w:sz w:val="24"/>
                <w:szCs w:val="24"/>
                <w:rtl/>
              </w:rPr>
              <w:t>תקינות לשונית</w:t>
            </w:r>
            <w:r>
              <w:rPr>
                <w:rFonts w:cs="David" w:hint="cs"/>
                <w:b/>
                <w:bCs/>
                <w:i/>
                <w:iCs/>
                <w:sz w:val="24"/>
                <w:szCs w:val="24"/>
                <w:rtl/>
              </w:rPr>
              <w:t xml:space="preserve"> 10%</w:t>
            </w:r>
          </w:p>
        </w:tc>
        <w:tc>
          <w:tcPr>
            <w:tcW w:w="5670" w:type="dxa"/>
          </w:tcPr>
          <w:p w:rsidR="009D2C73" w:rsidRDefault="009D2C73" w:rsidP="009D2C73">
            <w:pPr>
              <w:pStyle w:val="ListParagraph"/>
              <w:numPr>
                <w:ilvl w:val="0"/>
                <w:numId w:val="1"/>
              </w:numPr>
              <w:tabs>
                <w:tab w:val="center" w:pos="4153"/>
              </w:tabs>
              <w:spacing w:line="360" w:lineRule="auto"/>
              <w:jc w:val="both"/>
              <w:rPr>
                <w:rFonts w:cs="David"/>
                <w:sz w:val="24"/>
                <w:szCs w:val="24"/>
              </w:rPr>
            </w:pPr>
            <w:r w:rsidRPr="000F1134">
              <w:rPr>
                <w:rFonts w:cs="David" w:hint="cs"/>
                <w:sz w:val="24"/>
                <w:szCs w:val="24"/>
                <w:rtl/>
              </w:rPr>
              <w:t>כתיבה רהוטה: ניסוחים ברורים, עברית תקינה.</w:t>
            </w:r>
          </w:p>
          <w:p w:rsidR="009D2C73" w:rsidRPr="000F1134" w:rsidRDefault="009D2C73" w:rsidP="009D2C73">
            <w:pPr>
              <w:pStyle w:val="ListParagraph"/>
              <w:numPr>
                <w:ilvl w:val="0"/>
                <w:numId w:val="1"/>
              </w:numPr>
              <w:tabs>
                <w:tab w:val="center" w:pos="4153"/>
              </w:tabs>
              <w:spacing w:line="360" w:lineRule="auto"/>
              <w:jc w:val="both"/>
              <w:rPr>
                <w:rFonts w:cs="David"/>
                <w:sz w:val="24"/>
                <w:szCs w:val="24"/>
                <w:rtl/>
              </w:rPr>
            </w:pPr>
            <w:r w:rsidRPr="000F1134">
              <w:rPr>
                <w:rFonts w:cs="David" w:hint="cs"/>
                <w:sz w:val="24"/>
                <w:szCs w:val="24"/>
                <w:rtl/>
              </w:rPr>
              <w:t>ארגון ומבנה העבודה: חלוקה נכונה לפסקות, קישוריות לשונית ורעיונית.</w:t>
            </w:r>
          </w:p>
        </w:tc>
        <w:tc>
          <w:tcPr>
            <w:tcW w:w="993" w:type="dxa"/>
          </w:tcPr>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Pr="000F1134" w:rsidRDefault="009D2C73" w:rsidP="00FF7F61">
            <w:pPr>
              <w:tabs>
                <w:tab w:val="center" w:pos="4153"/>
              </w:tabs>
              <w:spacing w:line="360" w:lineRule="auto"/>
              <w:jc w:val="both"/>
              <w:rPr>
                <w:rFonts w:cs="David"/>
                <w:sz w:val="24"/>
                <w:szCs w:val="24"/>
                <w:rtl/>
              </w:rPr>
            </w:pPr>
            <w:r>
              <w:rPr>
                <w:rFonts w:cs="David"/>
                <w:sz w:val="24"/>
                <w:szCs w:val="24"/>
              </w:rPr>
              <w:t>100</w:t>
            </w:r>
          </w:p>
        </w:tc>
      </w:tr>
      <w:tr w:rsidR="009C5D4A" w:rsidRPr="000F1134" w:rsidTr="00FF7F61">
        <w:tc>
          <w:tcPr>
            <w:tcW w:w="1492" w:type="dxa"/>
          </w:tcPr>
          <w:p w:rsidR="009C5D4A" w:rsidRPr="000F1134" w:rsidRDefault="009C5D4A" w:rsidP="00FF7F61">
            <w:pPr>
              <w:tabs>
                <w:tab w:val="center" w:pos="4153"/>
              </w:tabs>
              <w:spacing w:line="360" w:lineRule="auto"/>
              <w:jc w:val="both"/>
              <w:rPr>
                <w:rFonts w:cs="David" w:hint="cs"/>
                <w:b/>
                <w:bCs/>
                <w:i/>
                <w:iCs/>
                <w:sz w:val="24"/>
                <w:szCs w:val="24"/>
                <w:rtl/>
              </w:rPr>
            </w:pPr>
            <w:r>
              <w:rPr>
                <w:rFonts w:cs="David" w:hint="cs"/>
                <w:b/>
                <w:bCs/>
                <w:i/>
                <w:iCs/>
                <w:sz w:val="24"/>
                <w:szCs w:val="24"/>
                <w:rtl/>
              </w:rPr>
              <w:t>ציון סופימשוקלל</w:t>
            </w:r>
          </w:p>
        </w:tc>
        <w:tc>
          <w:tcPr>
            <w:tcW w:w="5670" w:type="dxa"/>
          </w:tcPr>
          <w:p w:rsidR="009C5D4A" w:rsidRPr="000F1134" w:rsidRDefault="009C5D4A" w:rsidP="009C5D4A">
            <w:pPr>
              <w:pStyle w:val="ListParagraph"/>
              <w:tabs>
                <w:tab w:val="center" w:pos="4153"/>
              </w:tabs>
              <w:spacing w:line="360" w:lineRule="auto"/>
              <w:jc w:val="both"/>
              <w:rPr>
                <w:rFonts w:cs="David" w:hint="cs"/>
                <w:sz w:val="24"/>
                <w:szCs w:val="24"/>
                <w:rtl/>
              </w:rPr>
            </w:pPr>
          </w:p>
        </w:tc>
        <w:tc>
          <w:tcPr>
            <w:tcW w:w="993" w:type="dxa"/>
          </w:tcPr>
          <w:p w:rsidR="009C5D4A" w:rsidRPr="009C5D4A" w:rsidRDefault="009C5D4A" w:rsidP="00FF7F61">
            <w:pPr>
              <w:tabs>
                <w:tab w:val="center" w:pos="4153"/>
              </w:tabs>
              <w:spacing w:line="360" w:lineRule="auto"/>
              <w:jc w:val="both"/>
              <w:rPr>
                <w:rFonts w:cs="David"/>
                <w:b/>
                <w:bCs/>
                <w:sz w:val="24"/>
                <w:szCs w:val="24"/>
              </w:rPr>
            </w:pPr>
            <w:r w:rsidRPr="009C5D4A">
              <w:rPr>
                <w:rFonts w:cs="David" w:hint="cs"/>
                <w:b/>
                <w:bCs/>
                <w:sz w:val="24"/>
                <w:szCs w:val="24"/>
                <w:rtl/>
              </w:rPr>
              <w:t>93</w:t>
            </w:r>
          </w:p>
        </w:tc>
      </w:tr>
    </w:tbl>
    <w:p w:rsidR="00E45D00" w:rsidRDefault="00E45D00" w:rsidP="009D2C73">
      <w:pPr>
        <w:jc w:val="both"/>
        <w:rPr>
          <w:rFonts w:cs="David" w:hint="cs"/>
          <w:b/>
          <w:bCs/>
          <w:color w:val="FF0000"/>
          <w:sz w:val="24"/>
          <w:szCs w:val="24"/>
          <w:rtl/>
        </w:rPr>
      </w:pPr>
    </w:p>
    <w:p w:rsidR="009C5D4A" w:rsidRDefault="009C5D4A" w:rsidP="009D2C73">
      <w:pPr>
        <w:jc w:val="both"/>
        <w:rPr>
          <w:rFonts w:cs="David" w:hint="cs"/>
          <w:b/>
          <w:bCs/>
          <w:sz w:val="28"/>
          <w:szCs w:val="28"/>
          <w:rtl/>
        </w:rPr>
      </w:pPr>
    </w:p>
    <w:p w:rsidR="009C5D4A" w:rsidRDefault="009C5D4A" w:rsidP="009D2C73">
      <w:pPr>
        <w:jc w:val="both"/>
        <w:rPr>
          <w:rFonts w:cs="David" w:hint="cs"/>
          <w:b/>
          <w:bCs/>
          <w:sz w:val="28"/>
          <w:szCs w:val="28"/>
          <w:rtl/>
        </w:rPr>
      </w:pPr>
    </w:p>
    <w:p w:rsidR="009C5D4A" w:rsidRDefault="009C5D4A" w:rsidP="009D2C73">
      <w:pPr>
        <w:jc w:val="both"/>
        <w:rPr>
          <w:rFonts w:cs="David" w:hint="cs"/>
          <w:b/>
          <w:bCs/>
          <w:sz w:val="28"/>
          <w:szCs w:val="28"/>
          <w:rtl/>
        </w:rPr>
      </w:pPr>
    </w:p>
    <w:p w:rsidR="009C5D4A" w:rsidRDefault="009C5D4A" w:rsidP="009D2C73">
      <w:pPr>
        <w:jc w:val="both"/>
        <w:rPr>
          <w:rFonts w:cs="David" w:hint="cs"/>
          <w:b/>
          <w:bCs/>
          <w:sz w:val="28"/>
          <w:szCs w:val="28"/>
          <w:rtl/>
        </w:rPr>
      </w:pPr>
    </w:p>
    <w:p w:rsidR="009C5D4A" w:rsidRDefault="009C5D4A" w:rsidP="009D2C73">
      <w:pPr>
        <w:jc w:val="both"/>
        <w:rPr>
          <w:rFonts w:cs="David" w:hint="cs"/>
          <w:b/>
          <w:bCs/>
          <w:sz w:val="28"/>
          <w:szCs w:val="28"/>
          <w:rtl/>
        </w:rPr>
      </w:pPr>
    </w:p>
    <w:p w:rsidR="009C5D4A" w:rsidRDefault="009C5D4A" w:rsidP="009D2C73">
      <w:pPr>
        <w:jc w:val="both"/>
        <w:rPr>
          <w:rFonts w:cs="David" w:hint="cs"/>
          <w:b/>
          <w:bCs/>
          <w:sz w:val="28"/>
          <w:szCs w:val="28"/>
          <w:rtl/>
        </w:rPr>
      </w:pPr>
    </w:p>
    <w:p w:rsidR="009C5D4A" w:rsidRDefault="009C5D4A" w:rsidP="009D2C73">
      <w:pPr>
        <w:jc w:val="both"/>
        <w:rPr>
          <w:rFonts w:cs="David" w:hint="cs"/>
          <w:b/>
          <w:bCs/>
          <w:sz w:val="28"/>
          <w:szCs w:val="28"/>
          <w:rtl/>
        </w:rPr>
      </w:pPr>
    </w:p>
    <w:p w:rsidR="009C5D4A" w:rsidRDefault="009C5D4A" w:rsidP="009D2C73">
      <w:pPr>
        <w:jc w:val="both"/>
        <w:rPr>
          <w:rFonts w:cs="David" w:hint="cs"/>
          <w:b/>
          <w:bCs/>
          <w:sz w:val="28"/>
          <w:szCs w:val="28"/>
          <w:rtl/>
        </w:rPr>
      </w:pPr>
    </w:p>
    <w:p w:rsidR="009C5D4A" w:rsidRDefault="009C5D4A" w:rsidP="009D2C73">
      <w:pPr>
        <w:jc w:val="both"/>
        <w:rPr>
          <w:rFonts w:cs="David" w:hint="cs"/>
          <w:b/>
          <w:bCs/>
          <w:sz w:val="28"/>
          <w:szCs w:val="28"/>
          <w:rtl/>
        </w:rPr>
      </w:pPr>
    </w:p>
    <w:p w:rsidR="009C5D4A" w:rsidRDefault="009C5D4A" w:rsidP="009D2C73">
      <w:pPr>
        <w:jc w:val="both"/>
        <w:rPr>
          <w:rFonts w:cs="David" w:hint="cs"/>
          <w:b/>
          <w:bCs/>
          <w:sz w:val="28"/>
          <w:szCs w:val="28"/>
          <w:rtl/>
        </w:rPr>
      </w:pPr>
    </w:p>
    <w:p w:rsidR="009D2C73" w:rsidRDefault="009D2C73" w:rsidP="009D2C73">
      <w:pPr>
        <w:jc w:val="both"/>
        <w:rPr>
          <w:rFonts w:cs="David"/>
          <w:b/>
          <w:bCs/>
          <w:sz w:val="28"/>
          <w:szCs w:val="28"/>
        </w:rPr>
      </w:pPr>
      <w:r w:rsidRPr="00AE05B6">
        <w:rPr>
          <w:rFonts w:cs="David" w:hint="cs"/>
          <w:b/>
          <w:bCs/>
          <w:sz w:val="28"/>
          <w:szCs w:val="28"/>
          <w:rtl/>
        </w:rPr>
        <w:lastRenderedPageBreak/>
        <w:t>הערכה כללית:</w:t>
      </w:r>
    </w:p>
    <w:p w:rsidR="009C5D4A" w:rsidRDefault="009C5D4A" w:rsidP="009C5D4A">
      <w:pPr>
        <w:jc w:val="both"/>
        <w:rPr>
          <w:rFonts w:cs="David" w:hint="cs"/>
          <w:b/>
          <w:bCs/>
          <w:sz w:val="28"/>
          <w:szCs w:val="28"/>
          <w:rtl/>
        </w:rPr>
      </w:pPr>
      <w:bookmarkStart w:id="0" w:name="_GoBack"/>
      <w:bookmarkEnd w:id="0"/>
    </w:p>
    <w:p w:rsidR="00CC1B39" w:rsidRPr="009C5D4A" w:rsidRDefault="009C5D4A" w:rsidP="009C5D4A">
      <w:pPr>
        <w:jc w:val="both"/>
        <w:rPr>
          <w:rFonts w:cs="David" w:hint="cs"/>
          <w:b/>
          <w:bCs/>
          <w:sz w:val="28"/>
          <w:szCs w:val="28"/>
          <w:rtl/>
        </w:rPr>
      </w:pPr>
      <w:r w:rsidRPr="009C5D4A">
        <w:rPr>
          <w:rFonts w:cs="David" w:hint="cs"/>
          <w:b/>
          <w:bCs/>
          <w:sz w:val="28"/>
          <w:szCs w:val="28"/>
          <w:rtl/>
        </w:rPr>
        <w:t xml:space="preserve">ציון: </w:t>
      </w:r>
      <w:r w:rsidR="00CC1B39" w:rsidRPr="009C5D4A">
        <w:rPr>
          <w:rFonts w:cs="David" w:hint="cs"/>
          <w:b/>
          <w:bCs/>
          <w:sz w:val="28"/>
          <w:szCs w:val="28"/>
          <w:rtl/>
        </w:rPr>
        <w:t>עבודה טובה מאוד</w:t>
      </w:r>
      <w:r w:rsidRPr="009C5D4A">
        <w:rPr>
          <w:rFonts w:cs="David" w:hint="cs"/>
          <w:b/>
          <w:bCs/>
          <w:sz w:val="28"/>
          <w:szCs w:val="28"/>
          <w:rtl/>
        </w:rPr>
        <w:t>, 93.</w:t>
      </w:r>
    </w:p>
    <w:p w:rsidR="009C5D4A" w:rsidRPr="009C5D4A" w:rsidRDefault="009C5D4A" w:rsidP="009C5D4A">
      <w:pPr>
        <w:spacing w:line="360" w:lineRule="auto"/>
        <w:jc w:val="both"/>
        <w:rPr>
          <w:rFonts w:cs="David" w:hint="cs"/>
          <w:sz w:val="22"/>
          <w:szCs w:val="22"/>
          <w:rtl/>
        </w:rPr>
      </w:pPr>
    </w:p>
    <w:p w:rsidR="009C5D4A" w:rsidRPr="009C5D4A" w:rsidRDefault="00E45D00" w:rsidP="009C5D4A">
      <w:pPr>
        <w:spacing w:line="360" w:lineRule="auto"/>
        <w:jc w:val="both"/>
        <w:rPr>
          <w:rFonts w:cs="David" w:hint="cs"/>
          <w:sz w:val="22"/>
          <w:szCs w:val="22"/>
          <w:rtl/>
        </w:rPr>
      </w:pPr>
      <w:r w:rsidRPr="009C5D4A">
        <w:rPr>
          <w:rFonts w:cs="David" w:hint="cs"/>
          <w:sz w:val="22"/>
          <w:szCs w:val="22"/>
          <w:rtl/>
        </w:rPr>
        <w:t xml:space="preserve">במוקד עבודה זו המקרה הקנדי והקשריו למדיניות הגירה ובטחון לאומי. באמצעות ניתוח מדיניות, חוקים ותוך התבססות על מאמרים וספרים בנושא מציג הכותב </w:t>
      </w:r>
      <w:r w:rsidR="00CC1B39" w:rsidRPr="009C5D4A">
        <w:rPr>
          <w:rFonts w:cs="David" w:hint="cs"/>
          <w:sz w:val="22"/>
          <w:szCs w:val="22"/>
          <w:rtl/>
        </w:rPr>
        <w:t xml:space="preserve">את המורכבת של החברה הקנדית, הנתפסת בתקשורת הגלובלית כחברה ליברלית יוצאת דופן. דרך סקירת הספרות וניתוח המדיניות הקנדית כלפי הגירה לאורך השנים מציג הכותב את החברה הקנדית כחברה פרגמטית אשר שינתה לאורך השנים את מדיניות ההגירה לאור צרכייה ולאור שינויים פוליטיים עולמיים (אירועי הטרור ב 9/11). שינויים אלו התבססו על הצורך, גם אם מוסתר, לחזק את ערכי הליבה של החברה הקנדית. </w:t>
      </w:r>
    </w:p>
    <w:p w:rsidR="00720BBB" w:rsidRPr="009C5D4A" w:rsidRDefault="00CC1B39" w:rsidP="009C5D4A">
      <w:pPr>
        <w:spacing w:line="360" w:lineRule="auto"/>
        <w:ind w:firstLine="720"/>
        <w:jc w:val="both"/>
        <w:rPr>
          <w:rFonts w:cs="David" w:hint="cs"/>
          <w:sz w:val="22"/>
          <w:szCs w:val="22"/>
          <w:rtl/>
        </w:rPr>
      </w:pPr>
      <w:r w:rsidRPr="009C5D4A">
        <w:rPr>
          <w:rFonts w:cs="David" w:hint="cs"/>
          <w:sz w:val="22"/>
          <w:szCs w:val="22"/>
          <w:rtl/>
        </w:rPr>
        <w:t xml:space="preserve">בעבודה מוצגת המורכבות של המקרה הקנדי גם דרך ניתוח מובחן של מדיניות ההגירה בשני חלקיה המרכזיים של קנדה: החלק דובר הצרפתית (קוויבק) והחלק דובר האנגלית. </w:t>
      </w:r>
      <w:r w:rsidR="00720BBB" w:rsidRPr="009C5D4A">
        <w:rPr>
          <w:rFonts w:cs="David" w:hint="cs"/>
          <w:sz w:val="22"/>
          <w:szCs w:val="22"/>
          <w:rtl/>
        </w:rPr>
        <w:t>הסתכלות זו היא הסתכלות חדשנית שאין לה מספיק ביטוי בספרות ההגירה העוסקת בקנדה.</w:t>
      </w:r>
    </w:p>
    <w:p w:rsidR="00720BBB" w:rsidRPr="009C5D4A" w:rsidRDefault="00720BBB" w:rsidP="009C5D4A">
      <w:pPr>
        <w:spacing w:line="360" w:lineRule="auto"/>
        <w:ind w:firstLine="720"/>
        <w:jc w:val="both"/>
        <w:rPr>
          <w:rFonts w:cs="David" w:hint="cs"/>
          <w:sz w:val="22"/>
          <w:szCs w:val="22"/>
          <w:rtl/>
        </w:rPr>
      </w:pPr>
      <w:r w:rsidRPr="009C5D4A">
        <w:rPr>
          <w:rFonts w:cs="David" w:hint="cs"/>
          <w:sz w:val="22"/>
          <w:szCs w:val="22"/>
          <w:rtl/>
        </w:rPr>
        <w:t>העבודה כתובה היטב מבחינת כללי כתיבה מדעית. ניתן היה לכוון בעבודה (בדיון בעיקר) ליותר מסקנות פרקטיות לסוגיות הקשורות לבטחון לאומי.</w:t>
      </w:r>
    </w:p>
    <w:p w:rsidR="00720BBB" w:rsidRPr="009C5D4A" w:rsidRDefault="00720BBB" w:rsidP="00720BBB">
      <w:pPr>
        <w:jc w:val="both"/>
        <w:rPr>
          <w:rFonts w:cs="David" w:hint="cs"/>
          <w:sz w:val="22"/>
          <w:szCs w:val="22"/>
          <w:rtl/>
        </w:rPr>
      </w:pPr>
    </w:p>
    <w:p w:rsidR="009C5D4A" w:rsidRPr="009C5D4A" w:rsidRDefault="009C5D4A" w:rsidP="009C5D4A">
      <w:pPr>
        <w:bidi w:val="0"/>
        <w:jc w:val="both"/>
        <w:rPr>
          <w:rFonts w:cs="David"/>
          <w:b/>
          <w:bCs/>
          <w:sz w:val="22"/>
          <w:szCs w:val="22"/>
        </w:rPr>
      </w:pPr>
      <w:r w:rsidRPr="009C5D4A">
        <w:rPr>
          <w:rFonts w:cs="David"/>
          <w:b/>
          <w:bCs/>
          <w:sz w:val="22"/>
          <w:szCs w:val="22"/>
        </w:rPr>
        <w:t>Grade: very good, 93</w:t>
      </w:r>
      <w:r w:rsidRPr="009C5D4A">
        <w:rPr>
          <w:rFonts w:cs="David"/>
          <w:b/>
          <w:bCs/>
          <w:sz w:val="22"/>
          <w:szCs w:val="22"/>
          <w:rtl/>
        </w:rPr>
        <w:t>.</w:t>
      </w:r>
    </w:p>
    <w:p w:rsidR="009C5D4A" w:rsidRPr="009C5D4A" w:rsidRDefault="009C5D4A" w:rsidP="009C5D4A">
      <w:pPr>
        <w:bidi w:val="0"/>
        <w:jc w:val="both"/>
        <w:rPr>
          <w:rFonts w:cs="David" w:hint="cs"/>
          <w:sz w:val="22"/>
          <w:szCs w:val="22"/>
          <w:rtl/>
        </w:rPr>
      </w:pPr>
    </w:p>
    <w:p w:rsidR="009C5D4A" w:rsidRPr="009C5D4A" w:rsidRDefault="009C5D4A" w:rsidP="009C5D4A">
      <w:pPr>
        <w:bidi w:val="0"/>
        <w:spacing w:line="360" w:lineRule="auto"/>
        <w:jc w:val="both"/>
        <w:rPr>
          <w:rFonts w:cs="David"/>
          <w:sz w:val="22"/>
          <w:szCs w:val="22"/>
        </w:rPr>
      </w:pPr>
      <w:r w:rsidRPr="009C5D4A">
        <w:rPr>
          <w:rFonts w:cs="David"/>
          <w:sz w:val="22"/>
          <w:szCs w:val="22"/>
        </w:rPr>
        <w:t xml:space="preserve">This work focuses on the Canadian case and its links to immigration policy and national security. Through policy and law analysis, and based on articles and books on the subject, the author presents the complexity of the Canadian society, which is perceived in the global media as an exceptional liberal society. Through the literature review and the analysis of Canadian policies towards immigration over the years, the author presents the Canadian society as a pragmatic society that over the years has changed its immigration policy in light of its needs and in light of global political changes (9/11 terror attacks). These changes were based on the need, albeit hidden, to strengthen the core values ​​of the Canadian society. </w:t>
      </w:r>
    </w:p>
    <w:p w:rsidR="009C5D4A" w:rsidRPr="009C5D4A" w:rsidRDefault="009C5D4A" w:rsidP="009C5D4A">
      <w:pPr>
        <w:bidi w:val="0"/>
        <w:spacing w:line="360" w:lineRule="auto"/>
        <w:ind w:firstLine="720"/>
        <w:jc w:val="both"/>
        <w:rPr>
          <w:rFonts w:cs="David"/>
          <w:sz w:val="22"/>
          <w:szCs w:val="22"/>
        </w:rPr>
      </w:pPr>
      <w:r w:rsidRPr="009C5D4A">
        <w:rPr>
          <w:rFonts w:cs="David"/>
          <w:sz w:val="22"/>
          <w:szCs w:val="22"/>
        </w:rPr>
        <w:t>The complexity of the Canadian case is also illustrated by a distinct analysis of immigration policies in the two main parts of Canada: the French-speaking part (Quebec) and the English-speaking part. This view is an innovative approach that does not have enough expression in the migration literature related to Canada</w:t>
      </w:r>
      <w:r w:rsidRPr="009C5D4A">
        <w:rPr>
          <w:rFonts w:cs="David"/>
          <w:sz w:val="22"/>
          <w:szCs w:val="22"/>
          <w:rtl/>
        </w:rPr>
        <w:t>.</w:t>
      </w:r>
    </w:p>
    <w:p w:rsidR="009C5D4A" w:rsidRPr="009C5D4A" w:rsidRDefault="009C5D4A" w:rsidP="009C5D4A">
      <w:pPr>
        <w:bidi w:val="0"/>
        <w:spacing w:line="360" w:lineRule="auto"/>
        <w:ind w:firstLine="720"/>
        <w:jc w:val="both"/>
        <w:rPr>
          <w:sz w:val="22"/>
          <w:szCs w:val="22"/>
        </w:rPr>
      </w:pPr>
      <w:r w:rsidRPr="009C5D4A">
        <w:rPr>
          <w:rFonts w:cs="David"/>
          <w:sz w:val="22"/>
          <w:szCs w:val="22"/>
        </w:rPr>
        <w:t>The work is well written in terms of the academic writing. It was possible to add (mainly in the discussion) more practical conclusions regarding issues related to national security</w:t>
      </w:r>
      <w:r w:rsidRPr="009C5D4A">
        <w:rPr>
          <w:rFonts w:cs="David"/>
          <w:sz w:val="22"/>
          <w:szCs w:val="22"/>
          <w:rtl/>
        </w:rPr>
        <w:t>.</w:t>
      </w:r>
      <w:r w:rsidRPr="009C5D4A">
        <w:rPr>
          <w:rFonts w:cs="David"/>
          <w:sz w:val="22"/>
          <w:szCs w:val="22"/>
        </w:rPr>
        <w:t xml:space="preserve"> </w:t>
      </w:r>
    </w:p>
    <w:p w:rsidR="0049641B" w:rsidRDefault="009C5D4A" w:rsidP="009C5D4A">
      <w:pPr>
        <w:bidi w:val="0"/>
        <w:spacing w:line="360" w:lineRule="auto"/>
        <w:jc w:val="both"/>
      </w:pPr>
    </w:p>
    <w:sectPr w:rsidR="0049641B"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C73"/>
    <w:rsid w:val="00404FF5"/>
    <w:rsid w:val="00720BBB"/>
    <w:rsid w:val="009C5D4A"/>
    <w:rsid w:val="009D2C73"/>
    <w:rsid w:val="00CC1B39"/>
    <w:rsid w:val="00D85426"/>
    <w:rsid w:val="00E45D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73"/>
    <w:pPr>
      <w:bidi/>
      <w:spacing w:after="0" w:line="240" w:lineRule="auto"/>
    </w:pPr>
    <w:rPr>
      <w:rFonts w:ascii="Times New Roman" w:eastAsia="Times New Roman" w:hAnsi="Times New Roman" w:cs="Miriam"/>
      <w:noProof/>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C73"/>
    <w:pPr>
      <w:ind w:left="720"/>
      <w:contextualSpacing/>
    </w:pPr>
  </w:style>
  <w:style w:type="table" w:styleId="TableGrid">
    <w:name w:val="Table Grid"/>
    <w:basedOn w:val="TableNormal"/>
    <w:uiPriority w:val="59"/>
    <w:rsid w:val="009D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73"/>
    <w:pPr>
      <w:bidi/>
      <w:spacing w:after="0" w:line="240" w:lineRule="auto"/>
    </w:pPr>
    <w:rPr>
      <w:rFonts w:ascii="Times New Roman" w:eastAsia="Times New Roman" w:hAnsi="Times New Roman" w:cs="Miriam"/>
      <w:noProof/>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C73"/>
    <w:pPr>
      <w:ind w:left="720"/>
      <w:contextualSpacing/>
    </w:pPr>
  </w:style>
  <w:style w:type="table" w:styleId="TableGrid">
    <w:name w:val="Table Grid"/>
    <w:basedOn w:val="TableNormal"/>
    <w:uiPriority w:val="59"/>
    <w:rsid w:val="009D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Amit</dc:creator>
  <cp:lastModifiedBy>Karin Amit</cp:lastModifiedBy>
  <cp:revision>1</cp:revision>
  <dcterms:created xsi:type="dcterms:W3CDTF">2019-04-23T05:47:00Z</dcterms:created>
  <dcterms:modified xsi:type="dcterms:W3CDTF">2019-04-23T06:34:00Z</dcterms:modified>
</cp:coreProperties>
</file>