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67B" w:rsidRPr="0075367B" w:rsidRDefault="0075367B" w:rsidP="0075367B">
      <w:pPr>
        <w:jc w:val="center"/>
        <w:rPr>
          <w:rFonts w:ascii="Open Sans Hebrew" w:hAnsi="Open Sans Hebrew" w:cs="Open Sans Hebrew"/>
          <w:b/>
          <w:bCs/>
          <w:sz w:val="28"/>
          <w:szCs w:val="28"/>
          <w:rtl/>
        </w:rPr>
      </w:pPr>
      <w:r w:rsidRPr="0075367B">
        <w:rPr>
          <w:rFonts w:ascii="Open Sans Hebrew" w:hAnsi="Open Sans Hebrew" w:cs="Open Sans Hebrew" w:hint="cs"/>
          <w:b/>
          <w:bCs/>
          <w:sz w:val="28"/>
          <w:szCs w:val="28"/>
          <w:rtl/>
        </w:rPr>
        <w:t>מדד איכות החיים 2019</w:t>
      </w:r>
    </w:p>
    <w:p w:rsidR="0075367B" w:rsidRPr="0075367B" w:rsidRDefault="0075367B" w:rsidP="0075367B">
      <w:pPr>
        <w:spacing w:line="276" w:lineRule="auto"/>
        <w:jc w:val="center"/>
        <w:rPr>
          <w:rFonts w:ascii="Open Sans Hebrew" w:hAnsi="Open Sans Hebrew" w:cs="Open Sans Hebrew"/>
          <w:sz w:val="22"/>
          <w:szCs w:val="22"/>
          <w:rtl/>
        </w:rPr>
      </w:pPr>
      <w:r w:rsidRPr="0075367B">
        <w:rPr>
          <w:rFonts w:ascii="Open Sans Hebrew" w:hAnsi="Open Sans Hebrew" w:cs="Open Sans Hebrew" w:hint="cs"/>
          <w:rtl/>
        </w:rPr>
        <w:t>ניצה (קלינר) קסיר, דמיטרי רומנוב, אסף צחור שי</w:t>
      </w:r>
      <w:r w:rsidRPr="0075367B">
        <w:rPr>
          <w:rFonts w:ascii="Open Sans Hebrew" w:hAnsi="Open Sans Hebrew" w:cs="Open Sans Hebrew"/>
          <w:rtl/>
        </w:rPr>
        <w:br/>
      </w:r>
      <w:r w:rsidRPr="0075367B">
        <w:rPr>
          <w:rFonts w:ascii="Open Sans Hebrew" w:hAnsi="Open Sans Hebrew" w:cs="Open Sans Hebrew" w:hint="cs"/>
          <w:sz w:val="23"/>
          <w:szCs w:val="23"/>
          <w:rtl/>
        </w:rPr>
        <w:t>שקד אדר, צחי בן-שימול ונעם מרשה</w:t>
      </w:r>
    </w:p>
    <w:p w:rsidR="0075367B" w:rsidRPr="0075367B" w:rsidRDefault="0075367B" w:rsidP="00DA01E5">
      <w:pPr>
        <w:spacing w:after="80"/>
        <w:jc w:val="center"/>
        <w:rPr>
          <w:rFonts w:ascii="Open Sans Hebrew" w:hAnsi="Open Sans Hebrew" w:cs="Open Sans Hebrew"/>
          <w:b/>
          <w:bCs/>
          <w:sz w:val="20"/>
          <w:szCs w:val="20"/>
          <w:rtl/>
        </w:rPr>
      </w:pPr>
      <w:r w:rsidRPr="0075367B">
        <w:rPr>
          <w:rFonts w:ascii="Open Sans Hebrew" w:hAnsi="Open Sans Hebrew" w:cs="Open Sans Hebrew" w:hint="cs"/>
          <w:b/>
          <w:bCs/>
          <w:sz w:val="20"/>
          <w:szCs w:val="20"/>
          <w:rtl/>
        </w:rPr>
        <w:t>אוקטובר 2019</w:t>
      </w:r>
    </w:p>
    <w:p w:rsidR="0075367B" w:rsidRPr="0075367B" w:rsidRDefault="0075367B" w:rsidP="0075367B">
      <w:pPr>
        <w:spacing w:after="0"/>
        <w:jc w:val="center"/>
        <w:rPr>
          <w:rFonts w:ascii="Open Sans Hebrew" w:hAnsi="Open Sans Hebrew" w:cs="Open Sans Hebrew"/>
          <w:rtl/>
        </w:rPr>
      </w:pPr>
      <w:r w:rsidRPr="0075367B">
        <w:rPr>
          <w:rFonts w:ascii="Open Sans Hebrew" w:hAnsi="Open Sans Hebrew" w:cs="Open Sans Hebrew" w:hint="cs"/>
          <w:rtl/>
        </w:rPr>
        <w:t>תקציר</w:t>
      </w:r>
    </w:p>
    <w:p w:rsidR="0075367B" w:rsidRPr="0075367B" w:rsidRDefault="0075367B" w:rsidP="0075367B">
      <w:pPr>
        <w:rPr>
          <w:rFonts w:ascii="Open Sans Hebrew" w:hAnsi="Open Sans Hebrew" w:cs="Open Sans Hebrew"/>
          <w:sz w:val="20"/>
          <w:szCs w:val="20"/>
          <w:rtl/>
        </w:rPr>
      </w:pPr>
      <w:r w:rsidRPr="0075367B">
        <w:rPr>
          <w:rFonts w:ascii="Open Sans Hebrew" w:hAnsi="Open Sans Hebrew" w:cs="Open Sans Hebrew"/>
          <w:sz w:val="20"/>
          <w:szCs w:val="20"/>
          <w:rtl/>
        </w:rPr>
        <w:t>מדד איכות החיים 2019, המבוסס על נתוני שנת 2017</w:t>
      </w:r>
      <w:r>
        <w:rPr>
          <w:rStyle w:val="a5"/>
          <w:rFonts w:ascii="Open Sans Hebrew" w:hAnsi="Open Sans Hebrew" w:cs="Open Sans Hebrew"/>
          <w:sz w:val="20"/>
          <w:szCs w:val="20"/>
          <w:rtl/>
        </w:rPr>
        <w:footnoteReference w:id="1"/>
      </w:r>
      <w:r w:rsidRPr="0075367B">
        <w:rPr>
          <w:rFonts w:ascii="Open Sans Hebrew" w:hAnsi="Open Sans Hebrew" w:cs="Open Sans Hebrew"/>
          <w:sz w:val="20"/>
          <w:szCs w:val="20"/>
          <w:rtl/>
        </w:rPr>
        <w:t>, מצביע על כך שאיכות החיים היחסית של האוכלוסייה היהודית הלא-חרדית ממשיכה להיות הגבוהה ביותר, ושל האוכלוסייה הערבית עודנה הנמוכה ביותר. באופן מעט מפתיע, איכות החיים היחסית של האוכלוסייה החרדית אינה מאוד שונה מזו של האוכלוסייה היהודית הלא-חרדית, חרף הפערים המשמעותיים הקיימים ברמת החיים החומרית. נראה כי הציבור החרדי שמח בחלקו ומוצא סיפוק בחיים של תורה לצד חיי קהילה ובריאות טובה. ערך המדד (בטווח הנע בין 0 ל-1) עבור יהודים לא-חרדים עומד על 0.71, בהשוואה ל-0.64 עבור חרדים ו-0.18 עבור ערבים. השנה, חושב המדד גם לשנים קודמות, כדי לאפשר בחינה לאורך זמן. בחינה זו מראה כי המיקום היחסי של קבוצות האוכלוסייה השונות לא השתנה מאז שנת 2013, ויש שיפור מסוים באיכות החיים היחסית של החברה הערבית.</w:t>
      </w:r>
    </w:p>
    <w:tbl>
      <w:tblPr>
        <w:tblStyle w:val="a8"/>
        <w:bidiVisual/>
        <w:tblW w:w="0" w:type="auto"/>
        <w:tblBorders>
          <w:left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8306"/>
      </w:tblGrid>
      <w:tr w:rsidR="0075367B" w:rsidRPr="0075367B" w:rsidTr="00645C41">
        <w:trPr>
          <w:trHeight w:val="57"/>
        </w:trPr>
        <w:tc>
          <w:tcPr>
            <w:tcW w:w="8313" w:type="dxa"/>
          </w:tcPr>
          <w:p w:rsidR="0075367B" w:rsidRPr="0075367B" w:rsidRDefault="0075367B" w:rsidP="0075367B">
            <w:pPr>
              <w:bidi/>
              <w:spacing w:before="120"/>
              <w:rPr>
                <w:rFonts w:ascii="Open Sans Hebrew" w:eastAsia="Calibri" w:hAnsi="Open Sans Hebrew" w:cs="Open Sans Hebrew"/>
                <w:noProof/>
                <w:rtl/>
              </w:rPr>
            </w:pPr>
            <w:r w:rsidRPr="0075367B">
              <w:rPr>
                <w:rFonts w:ascii="Open Sans Hebrew" w:eastAsia="Calibri" w:hAnsi="Open Sans Hebrew" w:cs="Open Sans Hebrew"/>
                <w:b/>
                <w:bCs/>
                <w:rtl/>
              </w:rPr>
              <w:t xml:space="preserve">מדד איכות החיים המצרפי, </w:t>
            </w:r>
            <w:r w:rsidRPr="0075367B">
              <w:rPr>
                <w:rFonts w:ascii="Open Sans Hebrew" w:eastAsia="Calibri" w:hAnsi="Open Sans Hebrew" w:cs="Open Sans Hebrew"/>
                <w:sz w:val="20"/>
                <w:szCs w:val="20"/>
                <w:rtl/>
              </w:rPr>
              <w:t>לפי קבוצת אוכלוסייה, שנים 2013–2017</w:t>
            </w:r>
          </w:p>
        </w:tc>
      </w:tr>
      <w:tr w:rsidR="0075367B" w:rsidRPr="0075367B" w:rsidTr="00645C41">
        <w:tblPrEx>
          <w:tblCellMar>
            <w:right w:w="108" w:type="dxa"/>
          </w:tblCellMar>
        </w:tblPrEx>
        <w:trPr>
          <w:trHeight w:val="20"/>
        </w:trPr>
        <w:tc>
          <w:tcPr>
            <w:tcW w:w="8313" w:type="dxa"/>
          </w:tcPr>
          <w:p w:rsidR="0075367B" w:rsidRPr="0075367B" w:rsidRDefault="00AF738F" w:rsidP="0075367B">
            <w:pPr>
              <w:bidi/>
              <w:rPr>
                <w:rFonts w:ascii="Open Sans Hebrew" w:eastAsia="Calibri" w:hAnsi="Open Sans Hebrew" w:cs="Open Sans Hebrew"/>
                <w:noProof/>
              </w:rPr>
            </w:pPr>
            <w:r>
              <w:rPr>
                <w:rFonts w:ascii="Open Sans Hebrew" w:eastAsia="Calibri" w:hAnsi="Open Sans Hebrew" w:cs="Open Sans Hebrew"/>
                <w:noProof/>
              </w:rPr>
              <w:drawing>
                <wp:inline distT="0" distB="0" distL="0" distR="0" wp14:anchorId="1D4EADA2" wp14:editId="6E67EC6D">
                  <wp:extent cx="5255260" cy="2517775"/>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5260" cy="2517775"/>
                          </a:xfrm>
                          <a:prstGeom prst="rect">
                            <a:avLst/>
                          </a:prstGeom>
                          <a:noFill/>
                        </pic:spPr>
                      </pic:pic>
                    </a:graphicData>
                  </a:graphic>
                </wp:inline>
              </w:drawing>
            </w:r>
            <w:bookmarkStart w:id="0" w:name="_GoBack"/>
            <w:bookmarkEnd w:id="0"/>
          </w:p>
        </w:tc>
      </w:tr>
      <w:tr w:rsidR="0075367B" w:rsidRPr="0075367B" w:rsidTr="00645C41">
        <w:tblPrEx>
          <w:tblCellMar>
            <w:right w:w="108" w:type="dxa"/>
          </w:tblCellMar>
        </w:tblPrEx>
        <w:trPr>
          <w:trHeight w:val="20"/>
        </w:trPr>
        <w:tc>
          <w:tcPr>
            <w:tcW w:w="8313" w:type="dxa"/>
            <w:tcBorders>
              <w:bottom w:val="single" w:sz="4" w:space="0" w:color="auto"/>
            </w:tcBorders>
            <w:tcMar>
              <w:right w:w="0" w:type="dxa"/>
            </w:tcMar>
          </w:tcPr>
          <w:p w:rsidR="0075367B" w:rsidRPr="0075367B" w:rsidRDefault="0075367B" w:rsidP="0075367B">
            <w:pPr>
              <w:bidi/>
              <w:rPr>
                <w:rFonts w:ascii="Open Sans Hebrew" w:eastAsia="Calibri" w:hAnsi="Open Sans Hebrew" w:cs="Open Sans Hebrew"/>
                <w:noProof/>
                <w:sz w:val="18"/>
                <w:szCs w:val="18"/>
              </w:rPr>
            </w:pPr>
          </w:p>
        </w:tc>
      </w:tr>
    </w:tbl>
    <w:p w:rsidR="0075367B" w:rsidRPr="0075367B" w:rsidRDefault="0075367B" w:rsidP="00A15173">
      <w:pPr>
        <w:spacing w:after="0" w:line="240" w:lineRule="auto"/>
        <w:rPr>
          <w:rFonts w:ascii="Open Sans Hebrew" w:hAnsi="Open Sans Hebrew" w:cs="Open Sans Hebrew"/>
          <w:b/>
          <w:bCs/>
          <w:sz w:val="20"/>
          <w:szCs w:val="20"/>
        </w:rPr>
      </w:pPr>
    </w:p>
    <w:p w:rsidR="0075367B" w:rsidRPr="0075367B" w:rsidRDefault="0075367B" w:rsidP="0075367B">
      <w:pPr>
        <w:rPr>
          <w:rFonts w:ascii="Open Sans Hebrew" w:hAnsi="Open Sans Hebrew" w:cs="Open Sans Hebrew"/>
          <w:sz w:val="20"/>
          <w:szCs w:val="20"/>
          <w:rtl/>
        </w:rPr>
      </w:pPr>
      <w:r w:rsidRPr="0075367B">
        <w:rPr>
          <w:rFonts w:ascii="Open Sans Hebrew" w:hAnsi="Open Sans Hebrew" w:cs="Open Sans Hebrew"/>
          <w:sz w:val="20"/>
          <w:szCs w:val="20"/>
          <w:rtl/>
        </w:rPr>
        <w:t>מדד איכות החיים, שפותח בשנת 2018 על ידי ניצה (קלינר) קסיר ודמיטרי רומנוב, מציג מבט השוואתי בין שלוש קבוצות אוכלוסייה: חרדים, יהודים לא חרדים וערבים. המדד מבוסס על 9 תחומי חיים שונים: בריאות, רווחה, חינוך, הכנסה, תעסוקה, דיור, חיי קהילה, ביטחון אישי ומרחב ציבורי (רשות מקומית, תחבורה ציבורית ואיכות הסביבה). כל אחד מהתחומים מורכב מ-5 אינדיקטורים המשלבים הסתכלות סובייקטיבית ואובייקטיבית.</w:t>
      </w:r>
    </w:p>
    <w:p w:rsidR="0075367B" w:rsidRPr="0075367B" w:rsidRDefault="0075367B" w:rsidP="0075367B">
      <w:pPr>
        <w:rPr>
          <w:rFonts w:ascii="Open Sans Hebrew" w:hAnsi="Open Sans Hebrew" w:cs="Open Sans Hebrew"/>
          <w:sz w:val="20"/>
          <w:szCs w:val="20"/>
          <w:rtl/>
        </w:rPr>
      </w:pPr>
      <w:r w:rsidRPr="0075367B">
        <w:rPr>
          <w:rFonts w:ascii="Open Sans Hebrew" w:hAnsi="Open Sans Hebrew" w:cs="Open Sans Hebrew"/>
          <w:sz w:val="20"/>
          <w:szCs w:val="20"/>
          <w:rtl/>
        </w:rPr>
        <w:lastRenderedPageBreak/>
        <w:t>בחינה של תחומי החיים מעלה כי קיימים הבדלים גדולים בין קבוצות האוכלוסייה. תחומי החינוך, ההכנסה והתעסוקה הם שלושת התחומים המשמעותיים ביותר להגדלת הפער באיכות החיים לטובת האוכלוסייה היהודית הלא-חרדית, והתרומה השולית של כל אחד מהם נעה בין 60 ל-75 אחוזים. כלומר, במידה וייסגר הפער רק באחד מהתחומים הללו, יצטמצם הפער באיכות החיים בין קבוצות האוכלוסייה בשיעור האמור.</w:t>
      </w:r>
    </w:p>
    <w:p w:rsidR="0075367B" w:rsidRPr="0075367B" w:rsidRDefault="0075367B" w:rsidP="0075367B">
      <w:pPr>
        <w:rPr>
          <w:rFonts w:ascii="Open Sans Hebrew" w:hAnsi="Open Sans Hebrew" w:cs="Open Sans Hebrew"/>
          <w:sz w:val="20"/>
          <w:szCs w:val="20"/>
          <w:rtl/>
        </w:rPr>
      </w:pPr>
      <w:r w:rsidRPr="0075367B">
        <w:rPr>
          <w:rFonts w:ascii="Open Sans Hebrew" w:hAnsi="Open Sans Hebrew" w:cs="Open Sans Hebrew"/>
          <w:sz w:val="20"/>
          <w:szCs w:val="20"/>
          <w:rtl/>
        </w:rPr>
        <w:t>חידוש מעניין נוסף בפרסום זה הוא בהצגה של מדד שינוי באיכות החיים של כל אחת מקבוצות האוכלוסייה בהשוואה לאיכות החיים שלה בשנת 2012, שנקבעה כשנת הבסיס. כלל האוכלוסיות חוות שיפור באיכות החיים בין 2012 ל-2017. האוכלוסייה היהודית הלא-חרדית והאוכלוסייה הערבית מאופיינות בשיעור עלייה מצטבר דומה במדד איכות החיים. לעומתן, איכות החיים של הציבור החרדי עולה בצורה פחותה. חשוב לזכור כי נקודת הפתיחה של כל אחת מקבוצות האוכלוסייה היא שונה. בשנתיים האחרונות קיימת האצה בשיפור באיכות החיים של האוכלוסייה הערבית, ככל הנראה כתוצאה מהשקעת משאבים גוברת באוכלוסייה זו מצד המדינה.</w:t>
      </w:r>
    </w:p>
    <w:tbl>
      <w:tblPr>
        <w:tblStyle w:val="1"/>
        <w:bidiVisual/>
        <w:tblW w:w="0" w:type="auto"/>
        <w:tblBorders>
          <w:left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8306"/>
      </w:tblGrid>
      <w:tr w:rsidR="0075367B" w:rsidRPr="0075367B" w:rsidTr="00645C41">
        <w:trPr>
          <w:trHeight w:val="57"/>
        </w:trPr>
        <w:tc>
          <w:tcPr>
            <w:tcW w:w="8313" w:type="dxa"/>
          </w:tcPr>
          <w:p w:rsidR="0075367B" w:rsidRPr="0075367B" w:rsidRDefault="0075367B" w:rsidP="0075367B">
            <w:pPr>
              <w:bidi/>
              <w:rPr>
                <w:rFonts w:ascii="Open Sans Hebrew" w:eastAsia="Calibri" w:hAnsi="Open Sans Hebrew" w:cs="Open Sans Hebrew"/>
                <w:noProof/>
                <w:rtl/>
              </w:rPr>
            </w:pPr>
            <w:r w:rsidRPr="0075367B">
              <w:rPr>
                <w:rFonts w:ascii="Open Sans Hebrew" w:eastAsia="Calibri" w:hAnsi="Open Sans Hebrew" w:cs="Open Sans Hebrew" w:hint="cs"/>
                <w:b/>
                <w:bCs/>
                <w:rtl/>
              </w:rPr>
              <w:t>מדד ה</w:t>
            </w:r>
            <w:r w:rsidRPr="0075367B">
              <w:rPr>
                <w:rFonts w:ascii="Open Sans Hebrew" w:eastAsia="Calibri" w:hAnsi="Open Sans Hebrew" w:cs="Open Sans Hebrew"/>
                <w:b/>
                <w:bCs/>
                <w:rtl/>
              </w:rPr>
              <w:t xml:space="preserve">שינוי באיכות החיים, </w:t>
            </w:r>
            <w:r w:rsidRPr="0075367B">
              <w:rPr>
                <w:rFonts w:ascii="Open Sans Hebrew" w:eastAsia="Calibri" w:hAnsi="Open Sans Hebrew" w:cs="Open Sans Hebrew"/>
                <w:sz w:val="20"/>
                <w:szCs w:val="20"/>
                <w:rtl/>
              </w:rPr>
              <w:t>לפי</w:t>
            </w:r>
            <w:r w:rsidRPr="0075367B">
              <w:rPr>
                <w:rFonts w:ascii="Open Sans Hebrew" w:eastAsia="Calibri" w:hAnsi="Open Sans Hebrew" w:cs="Open Sans Hebrew"/>
                <w:sz w:val="18"/>
                <w:szCs w:val="18"/>
                <w:rtl/>
              </w:rPr>
              <w:t xml:space="preserve"> </w:t>
            </w:r>
            <w:r w:rsidRPr="0075367B">
              <w:rPr>
                <w:rFonts w:ascii="Open Sans Hebrew" w:eastAsia="Calibri" w:hAnsi="Open Sans Hebrew" w:cs="Open Sans Hebrew"/>
                <w:sz w:val="20"/>
                <w:szCs w:val="20"/>
                <w:rtl/>
              </w:rPr>
              <w:t>קבוצת אוכלוסייה, שנים 2012–2017, שנת בסיס = 2012</w:t>
            </w:r>
          </w:p>
        </w:tc>
      </w:tr>
      <w:tr w:rsidR="0075367B" w:rsidRPr="0075367B" w:rsidTr="00645C41">
        <w:trPr>
          <w:trHeight w:val="57"/>
        </w:trPr>
        <w:tc>
          <w:tcPr>
            <w:tcW w:w="8313" w:type="dxa"/>
            <w:tcBorders>
              <w:bottom w:val="nil"/>
            </w:tcBorders>
          </w:tcPr>
          <w:p w:rsidR="0075367B" w:rsidRPr="0075367B" w:rsidRDefault="0075367B" w:rsidP="0075367B">
            <w:pPr>
              <w:bidi/>
              <w:rPr>
                <w:rFonts w:ascii="Open Sans Hebrew" w:eastAsia="Calibri" w:hAnsi="Open Sans Hebrew" w:cs="Open Sans Hebrew"/>
                <w:b/>
                <w:bCs/>
                <w:rtl/>
              </w:rPr>
            </w:pPr>
            <w:r w:rsidRPr="0075367B">
              <w:rPr>
                <w:rFonts w:ascii="Open Sans Hebrew" w:eastAsia="Calibri" w:hAnsi="Open Sans Hebrew" w:cs="Open Sans Hebrew"/>
                <w:noProof/>
              </w:rPr>
              <mc:AlternateContent>
                <mc:Choice Requires="wps">
                  <w:drawing>
                    <wp:anchor distT="0" distB="0" distL="114300" distR="114300" simplePos="0" relativeHeight="251661312" behindDoc="0" locked="0" layoutInCell="1" allowOverlap="1" wp14:anchorId="196028C4" wp14:editId="1908A373">
                      <wp:simplePos x="0" y="0"/>
                      <wp:positionH relativeFrom="column">
                        <wp:posOffset>255905</wp:posOffset>
                      </wp:positionH>
                      <wp:positionV relativeFrom="paragraph">
                        <wp:posOffset>831133</wp:posOffset>
                      </wp:positionV>
                      <wp:extent cx="4849091" cy="0"/>
                      <wp:effectExtent l="0" t="0" r="0" b="0"/>
                      <wp:wrapNone/>
                      <wp:docPr id="2" name="מחבר ישר 2"/>
                      <wp:cNvGraphicFramePr/>
                      <a:graphic xmlns:a="http://schemas.openxmlformats.org/drawingml/2006/main">
                        <a:graphicData uri="http://schemas.microsoft.com/office/word/2010/wordprocessingShape">
                          <wps:wsp>
                            <wps:cNvCnPr/>
                            <wps:spPr>
                              <a:xfrm>
                                <a:off x="0" y="0"/>
                                <a:ext cx="4849091"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CB2E53D" id="מחבר ישר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65.45pt" to="401.9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" strokecolor="windowText" strokeweight="1.5pt">
                      <v:stroke joinstyle="miter"/>
                    </v:line>
                  </w:pict>
                </mc:Fallback>
              </mc:AlternateContent>
            </w:r>
            <w:r w:rsidR="006152FD">
              <w:rPr>
                <w:rFonts w:ascii="Open Sans Hebrew" w:eastAsia="Calibri" w:hAnsi="Open Sans Hebrew" w:cs="Open Sans Hebrew"/>
                <w:b/>
                <w:bCs/>
                <w:noProof/>
              </w:rPr>
              <w:drawing>
                <wp:inline distT="0" distB="0" distL="0" distR="0" wp14:anchorId="7886D2F5">
                  <wp:extent cx="5261610" cy="1901825"/>
                  <wp:effectExtent l="0" t="0" r="0" b="317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1610" cy="1901825"/>
                          </a:xfrm>
                          <a:prstGeom prst="rect">
                            <a:avLst/>
                          </a:prstGeom>
                          <a:noFill/>
                        </pic:spPr>
                      </pic:pic>
                    </a:graphicData>
                  </a:graphic>
                </wp:inline>
              </w:drawing>
            </w:r>
          </w:p>
        </w:tc>
      </w:tr>
      <w:tr w:rsidR="0075367B" w:rsidRPr="0075367B" w:rsidTr="00645C41">
        <w:trPr>
          <w:trHeight w:val="57"/>
        </w:trPr>
        <w:tc>
          <w:tcPr>
            <w:tcW w:w="8313" w:type="dxa"/>
            <w:tcBorders>
              <w:top w:val="nil"/>
              <w:bottom w:val="single" w:sz="2" w:space="0" w:color="auto"/>
            </w:tcBorders>
          </w:tcPr>
          <w:p w:rsidR="0075367B" w:rsidRPr="0075367B" w:rsidRDefault="0075367B" w:rsidP="0075367B">
            <w:pPr>
              <w:bidi/>
              <w:rPr>
                <w:rFonts w:ascii="Open Sans Hebrew" w:eastAsia="Calibri" w:hAnsi="Open Sans Hebrew" w:cs="Open Sans Hebrew"/>
                <w:b/>
                <w:bCs/>
                <w:sz w:val="8"/>
                <w:szCs w:val="8"/>
                <w:rtl/>
              </w:rPr>
            </w:pPr>
          </w:p>
        </w:tc>
      </w:tr>
    </w:tbl>
    <w:p w:rsidR="0075367B" w:rsidRDefault="0075367B" w:rsidP="00A15173">
      <w:pPr>
        <w:spacing w:after="0" w:line="240" w:lineRule="auto"/>
        <w:rPr>
          <w:rFonts w:ascii="Open Sans Hebrew" w:hAnsi="Open Sans Hebrew" w:cs="Open Sans Hebrew"/>
          <w:b/>
          <w:bCs/>
          <w:sz w:val="20"/>
          <w:szCs w:val="20"/>
        </w:rPr>
      </w:pPr>
    </w:p>
    <w:p w:rsidR="0075367B" w:rsidRPr="0075367B" w:rsidRDefault="0075367B" w:rsidP="00A15173">
      <w:pPr>
        <w:rPr>
          <w:rFonts w:ascii="Open Sans Hebrew" w:hAnsi="Open Sans Hebrew" w:cs="Open Sans Hebrew"/>
          <w:sz w:val="20"/>
          <w:szCs w:val="20"/>
          <w:rtl/>
        </w:rPr>
      </w:pPr>
      <w:r w:rsidRPr="0075367B">
        <w:rPr>
          <w:rFonts w:ascii="Open Sans Hebrew" w:hAnsi="Open Sans Hebrew" w:cs="Open Sans Hebrew"/>
          <w:sz w:val="20"/>
          <w:szCs w:val="20"/>
          <w:rtl/>
        </w:rPr>
        <w:t>התחום המרכזי שתרם לעלייה באיכות איכות החיים בכל קבוצות האוכלוסייה הוא תחום ההכנסה. תרומתו השולית של התחום לעלייה באיכות החיים מ-2012 ל-2017 עומדת על כ-56 אחוזים בקרב חרדים ו-41 אחוזים בקרב יהודים לא-חרדים. התרומה השולית בקרב הערבים אמנם משמעותית, אך נמוכה יותר ועומדת על 23 אחוזים. תחום נוסף שבו נרשם שיפור ניכר באיכות החיים של ערבים וחרדים הוא תחום התעסוקה. תרומתו השולית של תחום זה לסך השינוי במדד איכות החיים של הציבור הערבי עומדת על 40 אחוזים ובציבור החרדי היא כ-38 אחוזים. לעומת זאת בציבור היהודי הלא-חרדי התרומה קטנה יחסית – 5 אחוזים בלבד. בלוח להלן מוצגת התרומה של התחומים המשפיעים ביותר לשינוי באיכות החיים של קבוצות האוכלוסייה השונות.</w:t>
      </w:r>
    </w:p>
    <w:tbl>
      <w:tblPr>
        <w:tblStyle w:val="110"/>
        <w:bidiVisual/>
        <w:tblW w:w="4997" w:type="pct"/>
        <w:tblInd w:w="0" w:type="dxa"/>
        <w:tblLook w:val="04A0" w:firstRow="1" w:lastRow="0" w:firstColumn="1" w:lastColumn="0" w:noHBand="0" w:noVBand="1"/>
      </w:tblPr>
      <w:tblGrid>
        <w:gridCol w:w="5079"/>
        <w:gridCol w:w="1076"/>
        <w:gridCol w:w="1076"/>
        <w:gridCol w:w="1060"/>
      </w:tblGrid>
      <w:tr w:rsidR="0075367B" w:rsidRPr="0075367B" w:rsidTr="00645C41">
        <w:trPr>
          <w:trHeight w:val="450"/>
        </w:trPr>
        <w:tc>
          <w:tcPr>
            <w:tcW w:w="5000" w:type="pct"/>
            <w:gridSpan w:val="4"/>
            <w:tcBorders>
              <w:top w:val="dashed" w:sz="4" w:space="0" w:color="auto"/>
              <w:left w:val="dashed" w:sz="4" w:space="0" w:color="auto"/>
              <w:bottom w:val="dashed" w:sz="4" w:space="0" w:color="auto"/>
              <w:right w:val="dashed" w:sz="4" w:space="0" w:color="auto"/>
            </w:tcBorders>
            <w:shd w:val="clear" w:color="auto" w:fill="auto"/>
            <w:noWrap/>
            <w:vAlign w:val="center"/>
          </w:tcPr>
          <w:p w:rsidR="0075367B" w:rsidRPr="0075367B" w:rsidRDefault="0075367B" w:rsidP="00E60FB3">
            <w:pPr>
              <w:bidi/>
              <w:spacing w:line="256" w:lineRule="auto"/>
              <w:rPr>
                <w:rFonts w:ascii="Open Sans Hebrew" w:eastAsia="Calibri" w:hAnsi="Open Sans Hebrew" w:cs="Open Sans Hebrew"/>
                <w:sz w:val="20"/>
                <w:szCs w:val="20"/>
                <w:rtl/>
              </w:rPr>
            </w:pPr>
            <w:r w:rsidRPr="0075367B">
              <w:rPr>
                <w:rFonts w:ascii="Open Sans Hebrew" w:eastAsia="Calibri" w:hAnsi="Open Sans Hebrew" w:cs="Open Sans Hebrew"/>
                <w:b/>
                <w:bCs/>
                <w:sz w:val="20"/>
                <w:szCs w:val="20"/>
                <w:rtl/>
              </w:rPr>
              <w:t xml:space="preserve">תרומה </w:t>
            </w:r>
            <w:r w:rsidRPr="0075367B">
              <w:rPr>
                <w:rFonts w:ascii="Open Sans Hebrew" w:eastAsia="Calibri" w:hAnsi="Open Sans Hebrew" w:cs="Open Sans Hebrew" w:hint="cs"/>
                <w:b/>
                <w:bCs/>
                <w:sz w:val="20"/>
                <w:szCs w:val="20"/>
                <w:rtl/>
              </w:rPr>
              <w:t xml:space="preserve">של התחום לשינוי באיכות החיים בשנים </w:t>
            </w:r>
            <w:r w:rsidRPr="0075367B">
              <w:rPr>
                <w:rFonts w:ascii="Open Sans Hebrew" w:eastAsia="Calibri" w:hAnsi="Open Sans Hebrew" w:cs="Open Sans Hebrew"/>
                <w:b/>
                <w:bCs/>
                <w:sz w:val="20"/>
                <w:szCs w:val="20"/>
                <w:rtl/>
              </w:rPr>
              <w:t>2012 – 2017</w:t>
            </w:r>
          </w:p>
        </w:tc>
      </w:tr>
      <w:tr w:rsidR="0075367B" w:rsidRPr="0075367B" w:rsidTr="00A15173">
        <w:trPr>
          <w:trHeight w:val="283"/>
        </w:trPr>
        <w:tc>
          <w:tcPr>
            <w:tcW w:w="3063" w:type="pct"/>
            <w:tcBorders>
              <w:top w:val="dashed" w:sz="4" w:space="0" w:color="auto"/>
              <w:left w:val="dashed" w:sz="4" w:space="0" w:color="auto"/>
              <w:bottom w:val="dashed" w:sz="4" w:space="0" w:color="auto"/>
              <w:right w:val="dashed" w:sz="4" w:space="0" w:color="auto"/>
            </w:tcBorders>
            <w:shd w:val="clear" w:color="auto" w:fill="F2F2F2"/>
            <w:noWrap/>
            <w:vAlign w:val="center"/>
            <w:hideMark/>
          </w:tcPr>
          <w:p w:rsidR="0075367B" w:rsidRPr="0075367B" w:rsidRDefault="0075367B" w:rsidP="0075367B">
            <w:pPr>
              <w:bidi/>
              <w:spacing w:line="256" w:lineRule="auto"/>
              <w:rPr>
                <w:rFonts w:ascii="Open Sans Hebrew" w:eastAsia="Calibri" w:hAnsi="Open Sans Hebrew" w:cs="Open Sans Hebrew"/>
                <w:b/>
                <w:bCs/>
                <w:sz w:val="18"/>
                <w:szCs w:val="18"/>
                <w:rtl/>
              </w:rPr>
            </w:pPr>
            <w:r w:rsidRPr="0075367B">
              <w:rPr>
                <w:rFonts w:ascii="Open Sans Hebrew" w:eastAsia="Calibri" w:hAnsi="Open Sans Hebrew" w:cs="Open Sans Hebrew" w:hint="cs"/>
                <w:b/>
                <w:bCs/>
                <w:sz w:val="18"/>
                <w:szCs w:val="18"/>
                <w:rtl/>
              </w:rPr>
              <w:t>תחום</w:t>
            </w:r>
          </w:p>
        </w:tc>
        <w:tc>
          <w:tcPr>
            <w:tcW w:w="649" w:type="pct"/>
            <w:tcBorders>
              <w:top w:val="dashed" w:sz="4" w:space="0" w:color="auto"/>
              <w:left w:val="nil"/>
              <w:bottom w:val="dashed" w:sz="4" w:space="0" w:color="auto"/>
              <w:right w:val="dashed" w:sz="4" w:space="0" w:color="auto"/>
            </w:tcBorders>
            <w:shd w:val="clear" w:color="auto" w:fill="F2F2F2"/>
            <w:vAlign w:val="center"/>
            <w:hideMark/>
          </w:tcPr>
          <w:p w:rsidR="0075367B" w:rsidRPr="0075367B" w:rsidRDefault="0075367B" w:rsidP="0075367B">
            <w:pPr>
              <w:spacing w:line="256" w:lineRule="auto"/>
              <w:jc w:val="center"/>
              <w:rPr>
                <w:rFonts w:ascii="Open Sans Hebrew" w:eastAsia="Calibri" w:hAnsi="Open Sans Hebrew" w:cs="Open Sans Hebrew"/>
                <w:b/>
                <w:bCs/>
                <w:sz w:val="18"/>
                <w:szCs w:val="18"/>
                <w:rtl/>
              </w:rPr>
            </w:pPr>
            <w:r w:rsidRPr="0075367B">
              <w:rPr>
                <w:rFonts w:ascii="Open Sans Hebrew" w:eastAsia="Calibri" w:hAnsi="Open Sans Hebrew" w:cs="Open Sans Hebrew"/>
                <w:b/>
                <w:bCs/>
                <w:sz w:val="18"/>
                <w:szCs w:val="18"/>
                <w:rtl/>
              </w:rPr>
              <w:t>חרדים</w:t>
            </w:r>
          </w:p>
        </w:tc>
        <w:tc>
          <w:tcPr>
            <w:tcW w:w="649" w:type="pct"/>
            <w:tcBorders>
              <w:top w:val="dashed" w:sz="4" w:space="0" w:color="auto"/>
              <w:left w:val="nil"/>
              <w:bottom w:val="dashed" w:sz="4" w:space="0" w:color="auto"/>
              <w:right w:val="dashed" w:sz="4" w:space="0" w:color="auto"/>
            </w:tcBorders>
            <w:shd w:val="clear" w:color="auto" w:fill="F2F2F2"/>
            <w:vAlign w:val="center"/>
            <w:hideMark/>
          </w:tcPr>
          <w:p w:rsidR="0075367B" w:rsidRPr="0075367B" w:rsidRDefault="0075367B" w:rsidP="0075367B">
            <w:pPr>
              <w:bidi/>
              <w:spacing w:line="256" w:lineRule="auto"/>
              <w:jc w:val="center"/>
              <w:rPr>
                <w:rFonts w:ascii="Open Sans Hebrew" w:eastAsia="Calibri" w:hAnsi="Open Sans Hebrew" w:cs="Open Sans Hebrew"/>
                <w:b/>
                <w:bCs/>
                <w:sz w:val="18"/>
                <w:szCs w:val="18"/>
              </w:rPr>
            </w:pPr>
            <w:r w:rsidRPr="0075367B">
              <w:rPr>
                <w:rFonts w:ascii="Open Sans Hebrew" w:eastAsia="Calibri" w:hAnsi="Open Sans Hebrew" w:cs="Open Sans Hebrew"/>
                <w:b/>
                <w:bCs/>
                <w:sz w:val="18"/>
                <w:szCs w:val="18"/>
                <w:rtl/>
              </w:rPr>
              <w:t xml:space="preserve">יהודים </w:t>
            </w:r>
            <w:r w:rsidR="00B5119D" w:rsidRPr="00A15173">
              <w:rPr>
                <w:rFonts w:ascii="Open Sans Hebrew" w:eastAsia="Calibri" w:hAnsi="Open Sans Hebrew" w:cs="Open Sans Hebrew"/>
                <w:b/>
                <w:bCs/>
                <w:sz w:val="18"/>
                <w:szCs w:val="18"/>
                <w:rtl/>
              </w:rPr>
              <w:br/>
            </w:r>
            <w:r w:rsidRPr="0075367B">
              <w:rPr>
                <w:rFonts w:ascii="Open Sans Hebrew" w:eastAsia="Calibri" w:hAnsi="Open Sans Hebrew" w:cs="Open Sans Hebrew"/>
                <w:b/>
                <w:bCs/>
                <w:sz w:val="18"/>
                <w:szCs w:val="18"/>
                <w:rtl/>
              </w:rPr>
              <w:t>לא</w:t>
            </w:r>
            <w:r w:rsidR="00B5119D" w:rsidRPr="00A15173">
              <w:rPr>
                <w:rFonts w:ascii="Open Sans Hebrew" w:eastAsia="Calibri" w:hAnsi="Open Sans Hebrew" w:cs="Open Sans Hebrew" w:hint="cs"/>
                <w:b/>
                <w:bCs/>
                <w:sz w:val="18"/>
                <w:szCs w:val="18"/>
                <w:rtl/>
              </w:rPr>
              <w:t>-</w:t>
            </w:r>
            <w:r w:rsidRPr="0075367B">
              <w:rPr>
                <w:rFonts w:ascii="Open Sans Hebrew" w:eastAsia="Calibri" w:hAnsi="Open Sans Hebrew" w:cs="Open Sans Hebrew"/>
                <w:b/>
                <w:bCs/>
                <w:sz w:val="18"/>
                <w:szCs w:val="18"/>
                <w:rtl/>
              </w:rPr>
              <w:t>חרדים</w:t>
            </w:r>
          </w:p>
        </w:tc>
        <w:tc>
          <w:tcPr>
            <w:tcW w:w="639" w:type="pct"/>
            <w:tcBorders>
              <w:top w:val="dashed" w:sz="4" w:space="0" w:color="auto"/>
              <w:left w:val="nil"/>
              <w:bottom w:val="dashed" w:sz="4" w:space="0" w:color="auto"/>
              <w:right w:val="dashed" w:sz="4" w:space="0" w:color="auto"/>
            </w:tcBorders>
            <w:shd w:val="clear" w:color="auto" w:fill="F2F2F2"/>
            <w:vAlign w:val="center"/>
            <w:hideMark/>
          </w:tcPr>
          <w:p w:rsidR="0075367B" w:rsidRPr="0075367B" w:rsidRDefault="0075367B" w:rsidP="0075367B">
            <w:pPr>
              <w:bidi/>
              <w:spacing w:line="256" w:lineRule="auto"/>
              <w:jc w:val="center"/>
              <w:rPr>
                <w:rFonts w:ascii="Open Sans Hebrew" w:eastAsia="Calibri" w:hAnsi="Open Sans Hebrew" w:cs="Open Sans Hebrew"/>
                <w:b/>
                <w:bCs/>
                <w:sz w:val="18"/>
                <w:szCs w:val="18"/>
              </w:rPr>
            </w:pPr>
            <w:r w:rsidRPr="0075367B">
              <w:rPr>
                <w:rFonts w:ascii="Open Sans Hebrew" w:eastAsia="Calibri" w:hAnsi="Open Sans Hebrew" w:cs="Open Sans Hebrew"/>
                <w:b/>
                <w:bCs/>
                <w:sz w:val="18"/>
                <w:szCs w:val="18"/>
                <w:rtl/>
              </w:rPr>
              <w:t>ערבים</w:t>
            </w:r>
          </w:p>
        </w:tc>
      </w:tr>
      <w:tr w:rsidR="0075367B" w:rsidRPr="0075367B" w:rsidTr="00A15173">
        <w:trPr>
          <w:trHeight w:val="283"/>
        </w:trPr>
        <w:tc>
          <w:tcPr>
            <w:tcW w:w="3063" w:type="pct"/>
            <w:tcBorders>
              <w:top w:val="dashed" w:sz="4" w:space="0" w:color="auto"/>
              <w:left w:val="dashed" w:sz="4" w:space="0" w:color="auto"/>
              <w:bottom w:val="dashed" w:sz="4" w:space="0" w:color="auto"/>
              <w:right w:val="dashed" w:sz="4" w:space="0" w:color="auto"/>
            </w:tcBorders>
            <w:shd w:val="clear" w:color="auto" w:fill="auto"/>
            <w:noWrap/>
            <w:vAlign w:val="center"/>
            <w:hideMark/>
          </w:tcPr>
          <w:p w:rsidR="0075367B" w:rsidRPr="0075367B" w:rsidRDefault="0075367B" w:rsidP="0075367B">
            <w:pPr>
              <w:bidi/>
              <w:spacing w:before="80" w:after="80" w:line="256" w:lineRule="auto"/>
              <w:rPr>
                <w:rFonts w:ascii="Open Sans Hebrew" w:eastAsia="Calibri" w:hAnsi="Open Sans Hebrew" w:cs="Open Sans Hebrew"/>
                <w:sz w:val="18"/>
                <w:szCs w:val="18"/>
              </w:rPr>
            </w:pPr>
            <w:r w:rsidRPr="0075367B">
              <w:rPr>
                <w:rFonts w:ascii="Open Sans Hebrew" w:eastAsia="Calibri" w:hAnsi="Open Sans Hebrew" w:cs="Open Sans Hebrew"/>
                <w:sz w:val="18"/>
                <w:szCs w:val="18"/>
                <w:rtl/>
              </w:rPr>
              <w:t>הכנסה ומצב כלכלי</w:t>
            </w:r>
          </w:p>
        </w:tc>
        <w:tc>
          <w:tcPr>
            <w:tcW w:w="649" w:type="pct"/>
            <w:tcBorders>
              <w:top w:val="dashed" w:sz="4" w:space="0" w:color="auto"/>
              <w:left w:val="nil"/>
              <w:bottom w:val="dashed" w:sz="4" w:space="0" w:color="auto"/>
              <w:right w:val="dashed" w:sz="4" w:space="0" w:color="auto"/>
            </w:tcBorders>
            <w:shd w:val="clear" w:color="auto" w:fill="auto"/>
            <w:vAlign w:val="center"/>
            <w:hideMark/>
          </w:tcPr>
          <w:p w:rsidR="0075367B" w:rsidRPr="0075367B" w:rsidRDefault="0075367B" w:rsidP="0075367B">
            <w:pPr>
              <w:jc w:val="center"/>
              <w:rPr>
                <w:rFonts w:ascii="Open Sans Hebrew" w:eastAsia="Calibri" w:hAnsi="Open Sans Hebrew" w:cs="Open Sans Hebrew"/>
                <w:sz w:val="18"/>
                <w:szCs w:val="18"/>
                <w:rtl/>
              </w:rPr>
            </w:pPr>
            <w:r w:rsidRPr="0075367B">
              <w:rPr>
                <w:rFonts w:ascii="Open Sans Hebrew" w:eastAsia="Calibri" w:hAnsi="Open Sans Hebrew" w:cs="Open Sans Hebrew"/>
                <w:sz w:val="18"/>
                <w:szCs w:val="18"/>
              </w:rPr>
              <w:t>56%</w:t>
            </w:r>
          </w:p>
        </w:tc>
        <w:tc>
          <w:tcPr>
            <w:tcW w:w="649" w:type="pct"/>
            <w:tcBorders>
              <w:top w:val="dashed" w:sz="4" w:space="0" w:color="auto"/>
              <w:left w:val="nil"/>
              <w:bottom w:val="dashed" w:sz="4" w:space="0" w:color="auto"/>
              <w:right w:val="dashed" w:sz="4" w:space="0" w:color="auto"/>
            </w:tcBorders>
            <w:shd w:val="clear" w:color="auto" w:fill="auto"/>
            <w:vAlign w:val="center"/>
            <w:hideMark/>
          </w:tcPr>
          <w:p w:rsidR="0075367B" w:rsidRPr="0075367B" w:rsidRDefault="0075367B" w:rsidP="0075367B">
            <w:pPr>
              <w:jc w:val="center"/>
              <w:rPr>
                <w:rFonts w:ascii="Open Sans Hebrew" w:eastAsia="Calibri" w:hAnsi="Open Sans Hebrew" w:cs="Open Sans Hebrew"/>
                <w:sz w:val="18"/>
                <w:szCs w:val="18"/>
              </w:rPr>
            </w:pPr>
            <w:r w:rsidRPr="0075367B">
              <w:rPr>
                <w:rFonts w:ascii="Open Sans Hebrew" w:eastAsia="Calibri" w:hAnsi="Open Sans Hebrew" w:cs="Open Sans Hebrew"/>
                <w:sz w:val="18"/>
                <w:szCs w:val="18"/>
              </w:rPr>
              <w:t>41%</w:t>
            </w:r>
          </w:p>
        </w:tc>
        <w:tc>
          <w:tcPr>
            <w:tcW w:w="639" w:type="pct"/>
            <w:tcBorders>
              <w:top w:val="dashed" w:sz="4" w:space="0" w:color="auto"/>
              <w:left w:val="nil"/>
              <w:bottom w:val="dashed" w:sz="4" w:space="0" w:color="auto"/>
              <w:right w:val="dashed" w:sz="4" w:space="0" w:color="auto"/>
            </w:tcBorders>
            <w:shd w:val="clear" w:color="auto" w:fill="auto"/>
            <w:vAlign w:val="center"/>
            <w:hideMark/>
          </w:tcPr>
          <w:p w:rsidR="0075367B" w:rsidRPr="0075367B" w:rsidRDefault="0075367B" w:rsidP="0075367B">
            <w:pPr>
              <w:jc w:val="center"/>
              <w:rPr>
                <w:rFonts w:ascii="Open Sans Hebrew" w:eastAsia="Calibri" w:hAnsi="Open Sans Hebrew" w:cs="Open Sans Hebrew"/>
                <w:sz w:val="18"/>
                <w:szCs w:val="18"/>
              </w:rPr>
            </w:pPr>
            <w:r w:rsidRPr="0075367B">
              <w:rPr>
                <w:rFonts w:ascii="Open Sans Hebrew" w:eastAsia="Calibri" w:hAnsi="Open Sans Hebrew" w:cs="Open Sans Hebrew"/>
                <w:sz w:val="18"/>
                <w:szCs w:val="18"/>
              </w:rPr>
              <w:t>23%</w:t>
            </w:r>
          </w:p>
        </w:tc>
      </w:tr>
      <w:tr w:rsidR="0075367B" w:rsidRPr="0075367B" w:rsidTr="00A15173">
        <w:trPr>
          <w:trHeight w:val="283"/>
        </w:trPr>
        <w:tc>
          <w:tcPr>
            <w:tcW w:w="3063" w:type="pct"/>
            <w:tcBorders>
              <w:top w:val="dashed" w:sz="4" w:space="0" w:color="auto"/>
              <w:left w:val="dashed" w:sz="4" w:space="0" w:color="auto"/>
              <w:bottom w:val="dashed" w:sz="4" w:space="0" w:color="auto"/>
              <w:right w:val="dashed" w:sz="4" w:space="0" w:color="auto"/>
            </w:tcBorders>
            <w:shd w:val="clear" w:color="auto" w:fill="F2F2F2"/>
            <w:noWrap/>
            <w:vAlign w:val="center"/>
            <w:hideMark/>
          </w:tcPr>
          <w:p w:rsidR="0075367B" w:rsidRPr="0075367B" w:rsidRDefault="0075367B" w:rsidP="0075367B">
            <w:pPr>
              <w:bidi/>
              <w:spacing w:before="80" w:after="80" w:line="256" w:lineRule="auto"/>
              <w:rPr>
                <w:rFonts w:ascii="Open Sans Hebrew" w:eastAsia="Calibri" w:hAnsi="Open Sans Hebrew" w:cs="Open Sans Hebrew"/>
                <w:sz w:val="18"/>
                <w:szCs w:val="18"/>
              </w:rPr>
            </w:pPr>
            <w:r w:rsidRPr="0075367B">
              <w:rPr>
                <w:rFonts w:ascii="Open Sans Hebrew" w:eastAsia="Calibri" w:hAnsi="Open Sans Hebrew" w:cs="Open Sans Hebrew"/>
                <w:sz w:val="18"/>
                <w:szCs w:val="18"/>
                <w:rtl/>
              </w:rPr>
              <w:t>תעסוקה</w:t>
            </w:r>
          </w:p>
        </w:tc>
        <w:tc>
          <w:tcPr>
            <w:tcW w:w="649" w:type="pct"/>
            <w:tcBorders>
              <w:top w:val="dashed" w:sz="4" w:space="0" w:color="auto"/>
              <w:left w:val="nil"/>
              <w:bottom w:val="dashed" w:sz="4" w:space="0" w:color="auto"/>
              <w:right w:val="dashed" w:sz="4" w:space="0" w:color="auto"/>
            </w:tcBorders>
            <w:shd w:val="clear" w:color="auto" w:fill="F2F2F2"/>
            <w:vAlign w:val="center"/>
            <w:hideMark/>
          </w:tcPr>
          <w:p w:rsidR="0075367B" w:rsidRPr="0075367B" w:rsidRDefault="0075367B" w:rsidP="0075367B">
            <w:pPr>
              <w:jc w:val="center"/>
              <w:rPr>
                <w:rFonts w:ascii="Open Sans Hebrew" w:eastAsia="Calibri" w:hAnsi="Open Sans Hebrew" w:cs="Open Sans Hebrew"/>
                <w:sz w:val="18"/>
                <w:szCs w:val="18"/>
              </w:rPr>
            </w:pPr>
            <w:r w:rsidRPr="0075367B">
              <w:rPr>
                <w:rFonts w:ascii="Open Sans Hebrew" w:eastAsia="Calibri" w:hAnsi="Open Sans Hebrew" w:cs="Open Sans Hebrew"/>
                <w:sz w:val="18"/>
                <w:szCs w:val="18"/>
              </w:rPr>
              <w:t>38%</w:t>
            </w:r>
          </w:p>
        </w:tc>
        <w:tc>
          <w:tcPr>
            <w:tcW w:w="649" w:type="pct"/>
            <w:tcBorders>
              <w:top w:val="dashed" w:sz="4" w:space="0" w:color="auto"/>
              <w:left w:val="nil"/>
              <w:bottom w:val="dashed" w:sz="4" w:space="0" w:color="auto"/>
              <w:right w:val="dashed" w:sz="4" w:space="0" w:color="auto"/>
            </w:tcBorders>
            <w:shd w:val="clear" w:color="auto" w:fill="F2F2F2"/>
            <w:vAlign w:val="center"/>
            <w:hideMark/>
          </w:tcPr>
          <w:p w:rsidR="0075367B" w:rsidRPr="0075367B" w:rsidRDefault="0075367B" w:rsidP="0075367B">
            <w:pPr>
              <w:jc w:val="center"/>
              <w:rPr>
                <w:rFonts w:ascii="Open Sans Hebrew" w:eastAsia="Calibri" w:hAnsi="Open Sans Hebrew" w:cs="Open Sans Hebrew"/>
                <w:sz w:val="18"/>
                <w:szCs w:val="18"/>
              </w:rPr>
            </w:pPr>
            <w:r w:rsidRPr="0075367B">
              <w:rPr>
                <w:rFonts w:ascii="Open Sans Hebrew" w:eastAsia="Calibri" w:hAnsi="Open Sans Hebrew" w:cs="Open Sans Hebrew"/>
                <w:sz w:val="18"/>
                <w:szCs w:val="18"/>
              </w:rPr>
              <w:t>5%</w:t>
            </w:r>
          </w:p>
        </w:tc>
        <w:tc>
          <w:tcPr>
            <w:tcW w:w="639" w:type="pct"/>
            <w:tcBorders>
              <w:top w:val="dashed" w:sz="4" w:space="0" w:color="auto"/>
              <w:left w:val="nil"/>
              <w:bottom w:val="dashed" w:sz="4" w:space="0" w:color="auto"/>
              <w:right w:val="dashed" w:sz="4" w:space="0" w:color="auto"/>
            </w:tcBorders>
            <w:shd w:val="clear" w:color="auto" w:fill="F2F2F2"/>
            <w:vAlign w:val="center"/>
            <w:hideMark/>
          </w:tcPr>
          <w:p w:rsidR="0075367B" w:rsidRPr="0075367B" w:rsidRDefault="0075367B" w:rsidP="0075367B">
            <w:pPr>
              <w:jc w:val="center"/>
              <w:rPr>
                <w:rFonts w:ascii="Open Sans Hebrew" w:eastAsia="Calibri" w:hAnsi="Open Sans Hebrew" w:cs="Open Sans Hebrew"/>
                <w:sz w:val="18"/>
                <w:szCs w:val="18"/>
              </w:rPr>
            </w:pPr>
            <w:r w:rsidRPr="0075367B">
              <w:rPr>
                <w:rFonts w:ascii="Open Sans Hebrew" w:eastAsia="Calibri" w:hAnsi="Open Sans Hebrew" w:cs="Open Sans Hebrew"/>
                <w:sz w:val="18"/>
                <w:szCs w:val="18"/>
              </w:rPr>
              <w:t>40%</w:t>
            </w:r>
          </w:p>
        </w:tc>
      </w:tr>
      <w:tr w:rsidR="00CC3F83" w:rsidRPr="0075367B" w:rsidTr="00A15173">
        <w:trPr>
          <w:trHeight w:val="283"/>
        </w:trPr>
        <w:tc>
          <w:tcPr>
            <w:tcW w:w="3063" w:type="pct"/>
            <w:tcBorders>
              <w:top w:val="dashed" w:sz="4" w:space="0" w:color="auto"/>
              <w:left w:val="dashed" w:sz="4" w:space="0" w:color="auto"/>
              <w:bottom w:val="dashed" w:sz="4" w:space="0" w:color="auto"/>
              <w:right w:val="dashed" w:sz="4" w:space="0" w:color="auto"/>
            </w:tcBorders>
            <w:shd w:val="clear" w:color="auto" w:fill="FFFFFF"/>
            <w:noWrap/>
            <w:vAlign w:val="center"/>
            <w:hideMark/>
          </w:tcPr>
          <w:p w:rsidR="00CC3F83" w:rsidRPr="0075367B" w:rsidRDefault="00CC3F83" w:rsidP="0075367B">
            <w:pPr>
              <w:bidi/>
              <w:spacing w:before="80" w:after="80" w:line="256" w:lineRule="auto"/>
              <w:rPr>
                <w:rFonts w:ascii="Open Sans Hebrew" w:eastAsia="Calibri" w:hAnsi="Open Sans Hebrew" w:cs="Open Sans Hebrew"/>
                <w:sz w:val="18"/>
                <w:szCs w:val="18"/>
                <w:rtl/>
              </w:rPr>
            </w:pPr>
            <w:r w:rsidRPr="0075367B">
              <w:rPr>
                <w:rFonts w:ascii="Open Sans Hebrew" w:eastAsia="Calibri" w:hAnsi="Open Sans Hebrew" w:cs="Open Sans Hebrew"/>
                <w:sz w:val="18"/>
                <w:szCs w:val="18"/>
                <w:rtl/>
              </w:rPr>
              <w:t>חינוך והשכלה</w:t>
            </w:r>
          </w:p>
        </w:tc>
        <w:tc>
          <w:tcPr>
            <w:tcW w:w="649" w:type="pct"/>
            <w:tcBorders>
              <w:top w:val="dashed" w:sz="4" w:space="0" w:color="auto"/>
              <w:left w:val="nil"/>
              <w:bottom w:val="dashed" w:sz="4" w:space="0" w:color="auto"/>
              <w:right w:val="dashed" w:sz="4" w:space="0" w:color="auto"/>
            </w:tcBorders>
            <w:shd w:val="clear" w:color="auto" w:fill="FFFFFF"/>
            <w:vAlign w:val="center"/>
            <w:hideMark/>
          </w:tcPr>
          <w:p w:rsidR="00CC3F83" w:rsidRPr="0075367B" w:rsidRDefault="00CC3F83" w:rsidP="0075367B">
            <w:pPr>
              <w:jc w:val="center"/>
              <w:rPr>
                <w:rFonts w:ascii="Open Sans Hebrew" w:eastAsia="Calibri" w:hAnsi="Open Sans Hebrew" w:cs="Open Sans Hebrew"/>
                <w:sz w:val="18"/>
                <w:szCs w:val="18"/>
              </w:rPr>
            </w:pPr>
            <w:r w:rsidRPr="0075367B">
              <w:rPr>
                <w:rFonts w:ascii="Open Sans Hebrew" w:eastAsia="Calibri" w:hAnsi="Open Sans Hebrew" w:cs="Open Sans Hebrew"/>
                <w:sz w:val="18"/>
                <w:szCs w:val="18"/>
              </w:rPr>
              <w:t>12%</w:t>
            </w:r>
          </w:p>
        </w:tc>
        <w:tc>
          <w:tcPr>
            <w:tcW w:w="649" w:type="pct"/>
            <w:tcBorders>
              <w:top w:val="dashed" w:sz="4" w:space="0" w:color="auto"/>
              <w:left w:val="nil"/>
              <w:bottom w:val="dashed" w:sz="4" w:space="0" w:color="auto"/>
              <w:right w:val="dashed" w:sz="4" w:space="0" w:color="auto"/>
            </w:tcBorders>
            <w:shd w:val="clear" w:color="auto" w:fill="FFFFFF"/>
            <w:vAlign w:val="center"/>
            <w:hideMark/>
          </w:tcPr>
          <w:p w:rsidR="00CC3F83" w:rsidRPr="0075367B" w:rsidRDefault="00CC3F83" w:rsidP="0075367B">
            <w:pPr>
              <w:jc w:val="center"/>
              <w:rPr>
                <w:rFonts w:ascii="Open Sans Hebrew" w:eastAsia="Calibri" w:hAnsi="Open Sans Hebrew" w:cs="Open Sans Hebrew"/>
                <w:sz w:val="18"/>
                <w:szCs w:val="18"/>
              </w:rPr>
            </w:pPr>
            <w:r w:rsidRPr="0075367B">
              <w:rPr>
                <w:rFonts w:ascii="Open Sans Hebrew" w:eastAsia="Calibri" w:hAnsi="Open Sans Hebrew" w:cs="Open Sans Hebrew"/>
                <w:sz w:val="18"/>
                <w:szCs w:val="18"/>
              </w:rPr>
              <w:t>28%</w:t>
            </w:r>
          </w:p>
        </w:tc>
        <w:tc>
          <w:tcPr>
            <w:tcW w:w="639" w:type="pct"/>
            <w:tcBorders>
              <w:top w:val="dashed" w:sz="4" w:space="0" w:color="auto"/>
              <w:left w:val="nil"/>
              <w:bottom w:val="dashed" w:sz="4" w:space="0" w:color="auto"/>
              <w:right w:val="dashed" w:sz="4" w:space="0" w:color="auto"/>
            </w:tcBorders>
            <w:shd w:val="clear" w:color="auto" w:fill="FFFFFF"/>
            <w:vAlign w:val="center"/>
            <w:hideMark/>
          </w:tcPr>
          <w:p w:rsidR="00CC3F83" w:rsidRPr="0075367B" w:rsidRDefault="00CC3F83" w:rsidP="0075367B">
            <w:pPr>
              <w:jc w:val="center"/>
              <w:rPr>
                <w:rFonts w:ascii="Open Sans Hebrew" w:eastAsia="Calibri" w:hAnsi="Open Sans Hebrew" w:cs="Open Sans Hebrew"/>
                <w:sz w:val="18"/>
                <w:szCs w:val="18"/>
              </w:rPr>
            </w:pPr>
            <w:r w:rsidRPr="0075367B">
              <w:rPr>
                <w:rFonts w:ascii="Open Sans Hebrew" w:eastAsia="Calibri" w:hAnsi="Open Sans Hebrew" w:cs="Open Sans Hebrew"/>
                <w:sz w:val="18"/>
                <w:szCs w:val="18"/>
              </w:rPr>
              <w:t>26%</w:t>
            </w:r>
          </w:p>
        </w:tc>
      </w:tr>
    </w:tbl>
    <w:p w:rsidR="00DF3979" w:rsidRPr="0075367B" w:rsidRDefault="00DF3979" w:rsidP="00A15173">
      <w:pPr>
        <w:rPr>
          <w:rFonts w:ascii="Open Sans Hebrew" w:hAnsi="Open Sans Hebrew" w:cs="Open Sans Hebrew"/>
          <w:b/>
          <w:bCs/>
          <w:sz w:val="20"/>
          <w:szCs w:val="20"/>
        </w:rPr>
      </w:pPr>
    </w:p>
    <w:sectPr w:rsidR="00DF3979" w:rsidRPr="0075367B" w:rsidSect="0075367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85E" w:rsidRDefault="0069185E" w:rsidP="0075367B">
      <w:pPr>
        <w:spacing w:after="0" w:line="240" w:lineRule="auto"/>
      </w:pPr>
      <w:r>
        <w:separator/>
      </w:r>
    </w:p>
  </w:endnote>
  <w:endnote w:type="continuationSeparator" w:id="0">
    <w:p w:rsidR="0069185E" w:rsidRDefault="0069185E" w:rsidP="0075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Hebrew">
    <w:panose1 w:val="00000500000000000000"/>
    <w:charset w:val="00"/>
    <w:family w:val="auto"/>
    <w:pitch w:val="variable"/>
    <w:sig w:usb0="00000803" w:usb1="4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85E" w:rsidRDefault="0069185E" w:rsidP="0075367B">
      <w:pPr>
        <w:spacing w:after="0" w:line="240" w:lineRule="auto"/>
      </w:pPr>
      <w:r>
        <w:separator/>
      </w:r>
    </w:p>
  </w:footnote>
  <w:footnote w:type="continuationSeparator" w:id="0">
    <w:p w:rsidR="0069185E" w:rsidRDefault="0069185E" w:rsidP="0075367B">
      <w:pPr>
        <w:spacing w:after="0" w:line="240" w:lineRule="auto"/>
      </w:pPr>
      <w:r>
        <w:continuationSeparator/>
      </w:r>
    </w:p>
  </w:footnote>
  <w:footnote w:id="1">
    <w:p w:rsidR="0075367B" w:rsidRPr="0075367B" w:rsidRDefault="0075367B">
      <w:pPr>
        <w:pStyle w:val="a3"/>
        <w:rPr>
          <w:rFonts w:ascii="Open Sans Hebrew" w:hAnsi="Open Sans Hebrew" w:cs="Open Sans Hebrew"/>
          <w:sz w:val="18"/>
          <w:szCs w:val="18"/>
        </w:rPr>
      </w:pPr>
      <w:r w:rsidRPr="0075367B">
        <w:rPr>
          <w:rStyle w:val="a5"/>
          <w:rFonts w:ascii="Open Sans Hebrew" w:hAnsi="Open Sans Hebrew" w:cs="Open Sans Hebrew"/>
          <w:sz w:val="18"/>
          <w:szCs w:val="18"/>
        </w:rPr>
        <w:footnoteRef/>
      </w:r>
      <w:r w:rsidRPr="0075367B">
        <w:rPr>
          <w:rFonts w:ascii="Open Sans Hebrew" w:hAnsi="Open Sans Hebrew" w:cs="Open Sans Hebrew"/>
          <w:sz w:val="18"/>
          <w:szCs w:val="18"/>
          <w:rtl/>
        </w:rPr>
        <w:t xml:space="preserve"> המדד מבוסס על הנתונים העדכניים ביותר – נתוני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19D" w:rsidRDefault="00B5119D" w:rsidP="00B5119D">
    <w:pPr>
      <w:pStyle w:val="a9"/>
      <w:jc w:val="right"/>
    </w:pPr>
    <w:r>
      <w:rPr>
        <w:noProof/>
      </w:rPr>
      <w:drawing>
        <wp:inline distT="0" distB="0" distL="0" distR="0">
          <wp:extent cx="440534" cy="621553"/>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442156" cy="62384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7B"/>
    <w:rsid w:val="002674B9"/>
    <w:rsid w:val="003040FA"/>
    <w:rsid w:val="00326030"/>
    <w:rsid w:val="005271F0"/>
    <w:rsid w:val="006141CF"/>
    <w:rsid w:val="006152FD"/>
    <w:rsid w:val="0069185E"/>
    <w:rsid w:val="0075367B"/>
    <w:rsid w:val="00850424"/>
    <w:rsid w:val="00A15173"/>
    <w:rsid w:val="00AF738F"/>
    <w:rsid w:val="00B5119D"/>
    <w:rsid w:val="00CB103A"/>
    <w:rsid w:val="00CC3F83"/>
    <w:rsid w:val="00DA01E5"/>
    <w:rsid w:val="00DA6A56"/>
    <w:rsid w:val="00DF3979"/>
    <w:rsid w:val="00E60FB3"/>
    <w:rsid w:val="00E909E3"/>
    <w:rsid w:val="00FD34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DDC0EB-691A-45BA-8011-B3766681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bidi/>
        <w:spacing w:after="160"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909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5367B"/>
    <w:pPr>
      <w:spacing w:after="0" w:line="240" w:lineRule="auto"/>
    </w:pPr>
    <w:rPr>
      <w:sz w:val="20"/>
      <w:szCs w:val="20"/>
    </w:rPr>
  </w:style>
  <w:style w:type="character" w:customStyle="1" w:styleId="a4">
    <w:name w:val="טקסט הערת שוליים תו"/>
    <w:basedOn w:val="a0"/>
    <w:link w:val="a3"/>
    <w:uiPriority w:val="99"/>
    <w:semiHidden/>
    <w:rsid w:val="0075367B"/>
    <w:rPr>
      <w:sz w:val="20"/>
      <w:szCs w:val="20"/>
    </w:rPr>
  </w:style>
  <w:style w:type="character" w:styleId="a5">
    <w:name w:val="footnote reference"/>
    <w:basedOn w:val="a0"/>
    <w:uiPriority w:val="99"/>
    <w:semiHidden/>
    <w:unhideWhenUsed/>
    <w:rsid w:val="0075367B"/>
    <w:rPr>
      <w:vertAlign w:val="superscript"/>
    </w:rPr>
  </w:style>
  <w:style w:type="paragraph" w:styleId="a6">
    <w:name w:val="Balloon Text"/>
    <w:basedOn w:val="a"/>
    <w:link w:val="a7"/>
    <w:uiPriority w:val="99"/>
    <w:semiHidden/>
    <w:unhideWhenUsed/>
    <w:rsid w:val="0075367B"/>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75367B"/>
    <w:rPr>
      <w:rFonts w:ascii="Tahoma" w:hAnsi="Tahoma" w:cs="Tahoma"/>
      <w:sz w:val="18"/>
      <w:szCs w:val="18"/>
    </w:rPr>
  </w:style>
  <w:style w:type="table" w:styleId="a8">
    <w:name w:val="Table Grid"/>
    <w:basedOn w:val="a1"/>
    <w:uiPriority w:val="39"/>
    <w:rsid w:val="0075367B"/>
    <w:pPr>
      <w:bidi w:val="0"/>
      <w:spacing w:after="0" w:line="240" w:lineRule="auto"/>
      <w:jc w:val="left"/>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רשת טבלה1"/>
    <w:basedOn w:val="a1"/>
    <w:next w:val="a8"/>
    <w:uiPriority w:val="39"/>
    <w:rsid w:val="0075367B"/>
    <w:pPr>
      <w:bidi w:val="0"/>
      <w:spacing w:after="0" w:line="240" w:lineRule="auto"/>
      <w:jc w:val="left"/>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רשת טבלה110"/>
    <w:basedOn w:val="a1"/>
    <w:uiPriority w:val="39"/>
    <w:rsid w:val="0075367B"/>
    <w:pPr>
      <w:bidi w:val="0"/>
      <w:spacing w:after="0" w:line="240" w:lineRule="auto"/>
      <w:jc w:val="left"/>
    </w:pPr>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5119D"/>
    <w:pPr>
      <w:tabs>
        <w:tab w:val="center" w:pos="4320"/>
        <w:tab w:val="right" w:pos="8640"/>
      </w:tabs>
      <w:spacing w:after="0" w:line="240" w:lineRule="auto"/>
    </w:pPr>
  </w:style>
  <w:style w:type="character" w:customStyle="1" w:styleId="aa">
    <w:name w:val="כותרת עליונה תו"/>
    <w:basedOn w:val="a0"/>
    <w:link w:val="a9"/>
    <w:uiPriority w:val="99"/>
    <w:rsid w:val="00B5119D"/>
  </w:style>
  <w:style w:type="paragraph" w:styleId="ab">
    <w:name w:val="footer"/>
    <w:basedOn w:val="a"/>
    <w:link w:val="ac"/>
    <w:uiPriority w:val="99"/>
    <w:unhideWhenUsed/>
    <w:rsid w:val="00B5119D"/>
    <w:pPr>
      <w:tabs>
        <w:tab w:val="center" w:pos="4320"/>
        <w:tab w:val="right" w:pos="8640"/>
      </w:tabs>
      <w:spacing w:after="0" w:line="240" w:lineRule="auto"/>
    </w:pPr>
  </w:style>
  <w:style w:type="character" w:customStyle="1" w:styleId="ac">
    <w:name w:val="כותרת תחתונה תו"/>
    <w:basedOn w:val="a0"/>
    <w:link w:val="ab"/>
    <w:uiPriority w:val="99"/>
    <w:rsid w:val="00B51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59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464</Words>
  <Characters>2651</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Assaf Tsachor-Shai</dc:creator>
  <cp:keywords/>
  <dc:description/>
  <cp:lastModifiedBy>Assaf Tsachor-Shai</cp:lastModifiedBy>
  <cp:revision>8</cp:revision>
  <dcterms:created xsi:type="dcterms:W3CDTF">2019-10-22T12:01:00Z</dcterms:created>
  <dcterms:modified xsi:type="dcterms:W3CDTF">2019-10-22T14:29:00Z</dcterms:modified>
</cp:coreProperties>
</file>