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480" w:lineRule="auto"/>
        <w:ind w:left="-1192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</w:rPr>
        <w:drawing>
          <wp:inline distB="0" distT="0" distL="0" distR="0">
            <wp:extent cx="6926929" cy="902036"/>
            <wp:effectExtent b="0" l="0" r="0" t="0"/>
            <wp:docPr descr="C:\Users\yariv\AppData\Local\Microsoft\Windows\Temporary Internet Files\Content.Word\9ga6ntrM(4).png" id="1" name="image1.png"/>
            <a:graphic>
              <a:graphicData uri="http://schemas.openxmlformats.org/drawingml/2006/picture">
                <pic:pic>
                  <pic:nvPicPr>
                    <pic:cNvPr descr="C:\Users\yariv\AppData\Local\Microsoft\Windows\Temporary Internet Files\Content.Word\9ga6ntrM(4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6929" cy="9020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line="480" w:lineRule="auto"/>
        <w:jc w:val="right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המכללה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לביטחון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לאומי</w:t>
      </w:r>
    </w:p>
    <w:p w:rsidR="00000000" w:rsidDel="00000000" w:rsidP="00000000" w:rsidRDefault="00000000" w:rsidRPr="00000000" w14:paraId="00000003">
      <w:pPr>
        <w:bidi w:val="1"/>
        <w:spacing w:line="480" w:lineRule="auto"/>
        <w:jc w:val="right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מחזור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2019-2020</w:t>
      </w:r>
    </w:p>
    <w:p w:rsidR="00000000" w:rsidDel="00000000" w:rsidP="00000000" w:rsidRDefault="00000000" w:rsidRPr="00000000" w14:paraId="00000004">
      <w:pPr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line="480" w:lineRule="auto"/>
        <w:jc w:val="center"/>
        <w:rPr>
          <w:rFonts w:ascii="David" w:cs="David" w:eastAsia="David" w:hAnsi="David"/>
          <w:b w:val="1"/>
          <w:sz w:val="44"/>
          <w:szCs w:val="44"/>
        </w:rPr>
      </w:pP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קורס</w:t>
      </w: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ואסכולות</w:t>
      </w:r>
      <w:r w:rsidDel="00000000" w:rsidR="00000000" w:rsidRPr="00000000">
        <w:rPr>
          <w:rFonts w:ascii="David" w:cs="David" w:eastAsia="David" w:hAnsi="David"/>
          <w:b w:val="1"/>
          <w:sz w:val="44"/>
          <w:szCs w:val="44"/>
          <w:rtl w:val="1"/>
        </w:rPr>
        <w:t xml:space="preserve">:</w:t>
      </w:r>
    </w:p>
    <w:p w:rsidR="00000000" w:rsidDel="00000000" w:rsidP="00000000" w:rsidRDefault="00000000" w:rsidRPr="00000000" w14:paraId="00000007">
      <w:pPr>
        <w:bidi w:val="1"/>
        <w:spacing w:line="480" w:lineRule="auto"/>
        <w:jc w:val="center"/>
        <w:rPr>
          <w:rFonts w:ascii="David" w:cs="David" w:eastAsia="David" w:hAnsi="David"/>
          <w:b w:val="1"/>
          <w:sz w:val="36"/>
          <w:szCs w:val="36"/>
        </w:rPr>
      </w:pP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ביקורתית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פלורליזם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6"/>
          <w:szCs w:val="36"/>
          <w:rtl w:val="1"/>
        </w:rPr>
        <w:t xml:space="preserve">לשמרנות</w:t>
      </w:r>
    </w:p>
    <w:p w:rsidR="00000000" w:rsidDel="00000000" w:rsidP="00000000" w:rsidRDefault="00000000" w:rsidRPr="00000000" w14:paraId="00000008">
      <w:pPr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מגיש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שלומי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מוחה</w:t>
      </w:r>
    </w:p>
    <w:p w:rsidR="00000000" w:rsidDel="00000000" w:rsidP="00000000" w:rsidRDefault="00000000" w:rsidRPr="00000000" w14:paraId="0000000C">
      <w:pPr>
        <w:bidi w:val="1"/>
        <w:spacing w:line="48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מרצה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דורון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נבות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</w:p>
    <w:p w:rsidR="00000000" w:rsidDel="00000000" w:rsidP="00000000" w:rsidRDefault="00000000" w:rsidRPr="00000000" w14:paraId="0000000D">
      <w:pPr>
        <w:bidi w:val="1"/>
        <w:spacing w:line="480" w:lineRule="auto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line="480" w:lineRule="auto"/>
        <w:jc w:val="right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דצמבר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2019</w:t>
      </w:r>
    </w:p>
    <w:p w:rsidR="00000000" w:rsidDel="00000000" w:rsidP="00000000" w:rsidRDefault="00000000" w:rsidRPr="00000000" w14:paraId="0000000F">
      <w:pPr>
        <w:bidi w:val="1"/>
        <w:spacing w:line="48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line="480" w:lineRule="auto"/>
        <w:jc w:val="center"/>
        <w:rPr>
          <w:rFonts w:ascii="David" w:cs="David" w:eastAsia="David" w:hAnsi="David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מבוא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ביקורתית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"(2018)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בביקורות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שהתפרסמו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וביישום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ומושגים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שהוצגו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ואסכולות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12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360" w:lineRule="auto"/>
        <w:jc w:val="both"/>
        <w:rPr>
          <w:rFonts w:ascii="David" w:cs="David" w:eastAsia="David" w:hAnsi="David"/>
          <w:b w:val="1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rtl w:val="1"/>
        </w:rPr>
        <w:t xml:space="preserve">המשגה</w:t>
      </w:r>
    </w:p>
    <w:p w:rsidR="00000000" w:rsidDel="00000000" w:rsidP="00000000" w:rsidRDefault="00000000" w:rsidRPr="00000000" w14:paraId="00000014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שכותב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שימוש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לצורכי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מגדיר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דורסנית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שופטת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ובממדים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המקומי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רלוונטי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הנסיבות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הרגולציה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מכתיבים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סדנאות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יזע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באינדונזיה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מוצרי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טקסטיל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השלכה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מסיבית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אלקטרונית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רעילה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לבנגלדש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מייצרת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כתוצאה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מהמטרה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רגולציה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מוסר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עיוורת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לחלוטין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2018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-55-67).</w:t>
      </w:r>
    </w:p>
    <w:p w:rsidR="00000000" w:rsidDel="00000000" w:rsidP="00000000" w:rsidRDefault="00000000" w:rsidRPr="00000000" w14:paraId="00000015">
      <w:pPr>
        <w:bidi w:val="1"/>
        <w:spacing w:line="360" w:lineRule="auto"/>
        <w:jc w:val="both"/>
        <w:rPr>
          <w:rFonts w:ascii="David" w:cs="David" w:eastAsia="David" w:hAnsi="David"/>
          <w:sz w:val="24"/>
          <w:szCs w:val="24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במסמך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אדווה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השוויון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"?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כשבודקים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החוקרים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מאפייני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משווים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שפקדו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התקופה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האגרארית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התעשייתית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מיוחדת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בהשוואה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נהיה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קטן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ומקושר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חולייה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בשרשרת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ועכשיו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כעובדה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280" w:line="360" w:lineRule="auto"/>
        <w:jc w:val="both"/>
        <w:rPr>
          <w:rFonts w:ascii="David" w:cs="David" w:eastAsia="David" w:hAnsi="David"/>
          <w:b w:val="1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rtl w:val="1"/>
        </w:rPr>
        <w:t xml:space="preserve">הפלורליסטית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28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לקרוא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פריזמות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ניבחן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המוצגת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בספר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מתיישבת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המבט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?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280" w:before="28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פלורליזם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מקום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לריבוי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ומגוון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צרכים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ורצונות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במדינה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בזכות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קיומן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ומכירה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בזכותה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לבטא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מכירה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בצורך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לאחרים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ולשונים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אפשרות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להתארגן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במסגרות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ולפעול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להשגת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צרכיהם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ורצונותם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הנלמד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בקורס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יוצאת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כנגד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האליטיסטית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אליטות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להגדיר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קריטריון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ברור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מתפקדת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רפאים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.'</w:t>
      </w:r>
    </w:p>
    <w:p w:rsidR="00000000" w:rsidDel="00000000" w:rsidP="00000000" w:rsidRDefault="00000000" w:rsidRPr="00000000" w14:paraId="0000001A">
      <w:pPr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דמוקרטיות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וליברליות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צריך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להיות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מתקיים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ביזור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פלורל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כוח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תימצא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ריכוזיות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after="120" w:line="360" w:lineRule="auto"/>
        <w:jc w:val="center"/>
        <w:rPr>
          <w:rFonts w:ascii="David" w:cs="David" w:eastAsia="David" w:hAnsi="David"/>
          <w:b w:val="1"/>
          <w:sz w:val="32"/>
          <w:szCs w:val="32"/>
        </w:rPr>
      </w:pP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ניתוח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32"/>
          <w:szCs w:val="32"/>
          <w:rtl w:val="1"/>
        </w:rPr>
        <w:t xml:space="preserve">איל</w:t>
      </w:r>
    </w:p>
    <w:p w:rsidR="00000000" w:rsidDel="00000000" w:rsidP="00000000" w:rsidRDefault="00000000" w:rsidRPr="00000000" w14:paraId="0000001D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משתקפת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מרכיביה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בהיבטים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וזוויות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1E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וציוויה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."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מוצג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בצורה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ביקורתית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ומדודה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המבוססת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ככלל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מהווה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חיובית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במציאות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האנושית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אבל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בעלת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צדדים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אפלים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ובלתי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שווים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לקהילות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מקומיות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צדדים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שלמות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איבדו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עבודתן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נדחקו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השוליים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החברתיים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סבלו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מהאכזריות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היעילה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ביקוש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והיצע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וחשו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חייהן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מאוימת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אפוא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תגובת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קורבנותיה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מצביע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אמנם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סכנותי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מבין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ובמידה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מצדיק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מסיבות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שמרניות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וזהותניות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כלכלי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הזקוקה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להבדלים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ולפערים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ליצור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רווח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מדגיש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נובעים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מאי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שוויון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כשלעצמו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מהקצנתו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בגידת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והשלטון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במעמד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הביניים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בעובדים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ובשכבות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המוחלשות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כדי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להיאבק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בהעמקת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הפערים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הכלכליים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והחברתיים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לתקן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כשלים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אימוץ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מוכרים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ספרים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ומאמרים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למכביר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שלדבריו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המרידה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תגובת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לפגיעה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בביטחון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בהמלצותיו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מלהתמודד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הצורך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בשיקומו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המלצתו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שכר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בסיסי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אוניברסלי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סתירה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פנימית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חלק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מהתפנית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הניכרת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לקראת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סוף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חושפת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מגמתו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מצנן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קריאתו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ומדגיש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אמנם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נחוצה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חסרת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סיכוי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יודעים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זקוקה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דחוף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ואיש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להיאבק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פוליטית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עבורה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עבור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רעיונות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מהפכניים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שישפרו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המסקנה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בדבר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העדר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הטיעון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במשמעות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האלקטורלית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הצרה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מקנה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לרצון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שמתבטא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מצביעים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בקלפי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  <w:br w:type="textWrapping"/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בתיאורו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מונעים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מהגישה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מלהתקיים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דוגלת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בשיוויון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לתפיסתה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הקבוצות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עוצמה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עדיפות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לטענתו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השיוויון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מנוגד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לחלוטין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פורש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מובילות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למסקנה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המנוגדת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לפרשנות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כופה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עליהן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לדבריו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לנשיאות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ארצות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הברית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–2016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שבו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תומכיה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הפסידו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חודו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קול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במשאל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הברקזיט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בבריטניה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ובבחירות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שלאחריו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הפסדים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כהוכחה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להיעדר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ואולם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המאבקים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הנחושים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שניהלו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תומכי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מלמדים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לעשות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מאידך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פרשנותו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מותאמת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היגיון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איננה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טעות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להיפך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משרתת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סדר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מקטין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ערכם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הכוחות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הנאבקים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השיטה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מבטל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החלופות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מציעים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כבלתי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הקיים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כאופציה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מחזק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השווא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שבנה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לדוגמא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החובות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תגובת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היוונים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לצעדי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הצנע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ומהלכי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ההפרטה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הנוקשים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שכפתה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עליהם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האורתודוקסיה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קרן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המטבע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הבינלאומית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הבנק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אירופה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והאיחוד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האירופי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לתאר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דרך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הקצוות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קומונה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אנרכיסטים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המייצגת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גרעין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קבוע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התנגדות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משלבת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דיונים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רעיוניים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להשלכת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בקבוקי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תבערה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גיסא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ומפלגת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השחר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הזהוב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הניאו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נאצית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שתוקפת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האידיאל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האוניברסלי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ומטיפה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יוונית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כצידוק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לניסיונות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פרעות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בזרים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אידך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גיסא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מנמק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ההתמקדות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בקצוות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שהאוונגרד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שמסמל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גבולות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השיח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הציבורי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ובתנועתו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מניע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נקודת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הייחוס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הבורגנות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מימין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ומשמאל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שהאוונגרד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מציג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מורכב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משוללי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מקפיד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להתעלם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האוונגרד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הנאבק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לתיקונה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לדיון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הנרחב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הזהוב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מזכיר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סתמי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מפלגת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השמאל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סיריזה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להתייחס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לחלופה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שהציעה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להתמודדות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המשבר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בדוגמא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להציג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מתיישבת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אוונגרד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שמניע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הבורגנות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שניתנה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להניע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טשטוש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בולט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בהתייחסותו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לשמאל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לירוקים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מצביע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יחסם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המורכב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הסתייגות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מפגמיה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חתירה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לתיקונם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גישה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המציבה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אותם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בניגוד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לפונדמנטליסטים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הרוצים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להרוג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מצד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חוזר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וקושר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המרקסיסטים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הפונדמנטליסטים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ומציג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כולם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כשוללי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6">
      <w:pP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נראה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ראייתו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פלורליסטי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מוטה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עובדות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ופרשנות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היעדר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יכולת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לתיקון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זווית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מחיקת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הברירות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האפשריות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המתמודדות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קביעת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חלופות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המחולל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כחלק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מאסטרטגיה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מזכיר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ומתעלם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לחלוטין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ליברליזם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לניצחון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ליברליזם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ולפירוק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המרכזיים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לעליית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הפונדמנטליזם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bidi w:val="1"/>
        <w:spacing w:after="39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שגיב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במאמרו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טוען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החרדה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האפוקליפטית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שהתפתחה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ֹ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מסוימים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שנחלצו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להגן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האנושי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ההרסני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התקבץ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השקפותיה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ותוסס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ואינטלקטואלים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המנהלים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מערכה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נמרצת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ולעתים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נציגיו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הסדר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החדש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ובראשם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המוסדות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הפיננסיים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תאגידי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הענק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והפוליטיקאים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הפועלים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שרשרת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שהחלו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בסיאטל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בנובמבר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1999,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מומנטום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סוחף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שברשותה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היקף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מיליונים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שהותכה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יחדיו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להדהים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ושהצליחה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להערים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ושוב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הממסד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העיתונאי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קינגסנורת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התפתחות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תקופתנו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התנועה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ועידנים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4"/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  <w:vertAlign w:val="superscript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פסחה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התייצבו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בקדמת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המזוהים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הקיצוני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פעילות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האינטנסיבית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הארגונים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הפגנות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סוערות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בפרסום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אינספור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ביטאונים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מחתרתיים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למחצה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ובניהול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אינטרנט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ממסדיים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הסממנים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הרדיקליים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עלולים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להטעות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שסבור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ממשלת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בריטניה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בלייר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קרקס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אנרכיסטים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טיעוניהם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מתנגדי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הצליחו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לחלחל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עמוק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לתודעת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פוליטיקאים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ואינטלקטואלים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הממוקמים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השוליים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הסהרוריים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ההסתייגות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מכלכלת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נדמה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בחוגים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אקדמיים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להוציא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ולמינהל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עסקים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ובקרב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המשכיל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  <w:vertAlign w:val="superscript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נעשתה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אנטי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התופעות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הציבוריות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הדומיננטיות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מפעיליה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התווית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הבלשן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והאינטלקטואל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הרדיקלי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חומסקי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מסביר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ובוודאי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תנועת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העבודה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מחויבות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לסולידריות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שפשוט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מתרכז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בזכויותיהם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ובצורכיהם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עובדים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ואמנם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הנחרצים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השאיפה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לכונן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קהילייה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רעיון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בקנה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האידיאל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הקוסמופוליטי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שאותו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מאמצים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בהתלהבות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שמסלול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ההתפתחות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בעשורים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ציפיותיהם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ביצירתו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חלוקתי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העדיפו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והמוסדות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תשומת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ליבם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החופשי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המשתרכים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האמצעים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כצמיתים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בשירותם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העשיר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והשבע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חדשים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למעשה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הנהנים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מיתרונותיה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מהווים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עשרים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ארגון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אחוזים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מאזרחי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המתפתחות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העניות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מחצית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מאוכלוסיית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C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תמונת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מצמררת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קלוש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העובדות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ביקורת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והכוונה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קפיטליסטית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נסמכת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סילופים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חצאי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אמיתות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והגזמות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הנתונים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היבשים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מוכיחים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לטענות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המאשימות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־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בדיכוין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המחפיר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נחשלות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אדרבה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מיטיבה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עימן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מבחינה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ופותחת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לפניהן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אפשרויות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ותרבותיות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לאחרונה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רחוקות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מטווח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השגתן</w:t>
      </w:r>
      <w:r w:rsidDel="00000000" w:rsidR="00000000" w:rsidRPr="00000000">
        <w:rPr>
          <w:rFonts w:ascii="David" w:cs="David" w:eastAsia="David" w:hAnsi="David"/>
          <w:sz w:val="24"/>
          <w:szCs w:val="24"/>
          <w:vertAlign w:val="superscript"/>
        </w:rPr>
        <w:footnoteReference w:customMarkFollows="0" w:id="5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בתנאיה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-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עוזרת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לתפקד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כחברה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פתוחה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מגוון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תרבותי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ולגיטימציה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ולהבדלים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ביניהן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ומאפשרת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ייחודן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כבודן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ומעמדן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מנתח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שלטענתו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מאחורי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ההפתעה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בהיסטוריה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המודרנית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טראמפ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לדעתו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בתוצר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":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התנערות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מהשיטה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הכלכלית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וגם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מהשפעותיה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התרבותיות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האוניברסליות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ראשית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התנגדות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דיכוטומיות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גיסא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השמאל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הרדיקלי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ומאידך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גיסא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-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הקנאים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האכזבה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נובעת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הבטחות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שגשוג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").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שמרבית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מרוכזת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אצל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אחוזונים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בודדים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פירמידה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שבסיסה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נמוגות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המונח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פונדמנטליזם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להיקשר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לאסלאם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אימצו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-20 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פרוטסטנטיות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ופרסביטריאניות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יצרו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עקרונות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שהאדוקים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האמתיים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לקבל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ולהשתעבד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הבסיס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קבוצות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נאציות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מפלגות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לאומניות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ותנועות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דוגמת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KKK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לדורות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ההתכווצות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הדמוגרפית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ומדגים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התחוללה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צניחה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80%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מהאוכלוסייה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הודו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הניסיונות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הירידה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הדרסטית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חשובים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בהכנסה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ובבריאות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נתונים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דווקא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להרחבת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המשפחות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ולהעמדת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צאצאים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ממצאים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מחקריים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מצביעים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העצמת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משמעותי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לירידה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ובחירת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בחיי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קריירה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שבישרו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האטת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במובן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יוצאת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דופן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שיעור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הפריון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עומד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משלושה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ילדים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הילדים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נוספים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נכנסים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תחושת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האובדן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בשואה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המלחמות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הגירה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סובלת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מכרסום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תמידי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bidi w:val="1"/>
        <w:spacing w:after="24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לסיכום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,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ניתן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לכוד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במצג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השווא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שטיפח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להתמודד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כשלי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שבמרכזו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ערכי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המדעית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והנאורות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עיקרי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אמונה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תוכנית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וככאלו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תחליף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שיכולה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להביס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הפונדמנטליזם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שיקום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הביטחון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עצירת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ההפרטה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וכינון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ואוניברסלית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שעליהם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ממליץ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טקס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היטהרות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המעקר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הרצון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לכינון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רווחה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כדבריו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 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שמרני</w:t>
      </w:r>
      <w:r w:rsidDel="00000000" w:rsidR="00000000" w:rsidRPr="00000000">
        <w:rPr>
          <w:rFonts w:ascii="David" w:cs="David" w:eastAsia="David" w:hAnsi="David"/>
          <w:b w:val="1"/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סוקר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האירועים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בארה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במערכות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הבחירות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האחרונות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ומתמקד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טראמפיזם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וחברתיים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אירופיות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סיפוריו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האישיים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מקפיד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לעטוף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במארג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נסיבות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היסטוריות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וחברתיות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E">
      <w:pP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צירים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מרכזיים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ומנסה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לענות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שאלות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צדדיה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האפלים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במערב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כוחם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פונדמנטליסטים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נוצרים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ומוסלמים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משפיע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יהודים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מדוע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השיפור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היחסי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ברמת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בעיקר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בחצי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הכדור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הצפוני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ניכרת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ירידה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בילודה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גורם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להיווצרות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משבר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הפליטים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החמור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ביותר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מאז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מלחמת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השנייה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דונלד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טראמפ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ִ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נצחונו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במקביל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להתחזקותה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המפלגה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הדמוקרטית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בסנאט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כיצד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התגברה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ישראל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התקיימה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מהפכה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רבתי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?</w:t>
      </w:r>
    </w:p>
    <w:p w:rsidR="00000000" w:rsidDel="00000000" w:rsidP="00000000" w:rsidRDefault="00000000" w:rsidRPr="00000000" w14:paraId="0000003F">
      <w:pP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כלכלית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למושג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הגדרה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פשטנית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אחת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התחזקות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דרמטית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גומלין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פרופ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'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דיוויד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הלר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לכלכלה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לונדון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(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LSE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)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מגדיר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האצה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והעמקה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קשרי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גומלין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ויחסים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חברתיים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תרבויות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ואינדיבידואלים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</w:t>
      </w:r>
    </w:p>
    <w:p w:rsidR="00000000" w:rsidDel="00000000" w:rsidP="00000000" w:rsidRDefault="00000000" w:rsidRPr="00000000" w14:paraId="00000040">
      <w:pP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תהליך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אגרסיבי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חובק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מפלט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ממנה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המדינה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היחידה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שחרגה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כמעט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לחלוטין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קוריאה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הצפונית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מבקריה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טוענים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שמדובר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 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כוזבת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כלומר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שמטרתה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העיקרית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לשמר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מנגנוני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הדיכוי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היסודיים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האלפיון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העליון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מעצמת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מכנים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אמריקניזציה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כהשתעבדות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לתרבות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צריכה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ולאושר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מדומה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מודרות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אוכלוסיות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ועניות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מהטוב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המשותף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ספר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זה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הוא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במידה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רבה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תיאור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אפוקליפטי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המציאות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החברתית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בסופו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מרכך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התיאורים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הקשים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והמרתיעים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למדי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,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ומציין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כמה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דרכים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תיקון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" 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עוולות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: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הכנסת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בגופים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הפוליטיים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הגדלת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ההשקעה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במוסדות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הבינלאומיים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שינוי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כללי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הסחר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העולמיים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הרחבת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ההשקעות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במדינות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המתפתחות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; 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ופיתוח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מקורות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תעסוקה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עולמיים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שהגישה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הפלורליסטית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שואפת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לקיים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bidi w:val="1"/>
        <w:spacing w:after="0" w:line="360" w:lineRule="auto"/>
        <w:jc w:val="both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בעזרת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כתיבתו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המרתקת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מצליח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לאפיין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תופעת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שלל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פניה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הכעורים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והמוצלחים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1"/>
        </w:rPr>
        <w:t xml:space="preserve">כאחד</w:t>
      </w:r>
      <w:r w:rsidDel="00000000" w:rsidR="00000000" w:rsidRPr="00000000">
        <w:rPr>
          <w:rFonts w:ascii="inherit" w:cs="inherit" w:eastAsia="inherit" w:hAnsi="inherit"/>
          <w:sz w:val="27"/>
          <w:szCs w:val="27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120" w:line="360" w:lineRule="auto"/>
        <w:jc w:val="both"/>
        <w:rPr>
          <w:rFonts w:ascii="David" w:cs="David" w:eastAsia="David" w:hAnsi="David"/>
          <w:sz w:val="24"/>
          <w:szCs w:val="24"/>
          <w:u w:val="single"/>
        </w:rPr>
      </w:pPr>
      <w:r w:rsidDel="00000000" w:rsidR="00000000" w:rsidRPr="00000000">
        <w:rPr>
          <w:rFonts w:ascii="David" w:cs="David" w:eastAsia="David" w:hAnsi="David"/>
          <w:sz w:val="24"/>
          <w:szCs w:val="24"/>
          <w:u w:val="single"/>
          <w:rtl w:val="1"/>
        </w:rPr>
        <w:t xml:space="preserve">ביבליוגרפיה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David" w:cs="David" w:eastAsia="David" w:hAnsi="David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https://sites.google.com/site/arnonezrahut/tolerance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https://adva.org/wp-content/uploads/2014/09/ma-i-globalizaziya.pdf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jc w:val="both"/>
        <w:rPr>
          <w:rFonts w:ascii="David" w:cs="David" w:eastAsia="David" w:hAnsi="David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נדב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המרד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הגלובליזציה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,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ידיעות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אחרונות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2018)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-55-67.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/>
      <w:pgMar w:bottom="1440" w:top="1440" w:left="1800" w:right="1800" w:header="708" w:footer="708"/>
      <w:pgNumType w:start="0"/>
      <w:cols w:equalWidth="0"/>
      <w:titlePg w:val="1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avid"/>
  <w:font w:name="Times New Roman"/>
  <w:font w:name="inherit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bidi w:val="1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bidi w:val="1"/>
      <w:jc w:val="right"/>
      <w:rPr/>
    </w:pPr>
    <w:r w:rsidDel="00000000" w:rsidR="00000000" w:rsidRPr="00000000">
      <w:rPr>
        <w:rFonts w:ascii="David" w:cs="David" w:eastAsia="David" w:hAnsi="David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D">
      <w:pPr>
        <w:bidi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rFonts w:ascii="Times New Roman" w:cs="Times New Roman" w:eastAsia="Times New Roman" w:hAnsi="Times New Roman"/>
            <w:sz w:val="20"/>
            <w:szCs w:val="20"/>
            <w:u w:val="single"/>
            <w:rtl w:val="0"/>
          </w:rPr>
          <w:t xml:space="preserve">https://adva.org/wp-content/uploads/2014/09/ma-i-globalizaziya.pdf</w:t>
        </w:r>
      </w:hyperlink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5E">
      <w:pPr>
        <w:bidi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2">
        <w:r w:rsidDel="00000000" w:rsidR="00000000" w:rsidRPr="00000000">
          <w:rPr>
            <w:rFonts w:ascii="David" w:cs="David" w:eastAsia="David" w:hAnsi="David"/>
            <w:sz w:val="20"/>
            <w:szCs w:val="20"/>
            <w:u w:val="single"/>
            <w:rtl w:val="0"/>
          </w:rPr>
          <w:t xml:space="preserve">https://sites.google.com/site/arnonezrahut/tolerance</w:t>
        </w:r>
      </w:hyperlink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5F">
      <w:pPr>
        <w:bidi w:val="1"/>
        <w:spacing w:after="0" w:line="240" w:lineRule="auto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3">
        <w:r w:rsidDel="00000000" w:rsidR="00000000" w:rsidRPr="00000000">
          <w:rPr>
            <w:rFonts w:ascii="David" w:cs="David" w:eastAsia="David" w:hAnsi="David"/>
            <w:sz w:val="20"/>
            <w:szCs w:val="20"/>
            <w:rtl w:val="0"/>
          </w:rPr>
          <w:t xml:space="preserve">https://danigutwein.wordpress.com/2018/08/07/</w:t>
        </w:r>
      </w:hyperlink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60">
      <w:pPr>
        <w:bidi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"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מאת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שגיב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5">
    <w:p w:rsidR="00000000" w:rsidDel="00000000" w:rsidP="00000000" w:rsidRDefault="00000000" w:rsidRPr="00000000" w14:paraId="00000061">
      <w:pPr>
        <w:shd w:fill="ffffff" w:val="clear"/>
        <w:bidi w:val="1"/>
        <w:spacing w:after="240" w:line="36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גלובליזציה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כתב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הגנה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אסף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שגיב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2">
      <w:pPr>
        <w:bidi w:val="1"/>
        <w:spacing w:after="0" w:line="240" w:lineRule="auto"/>
        <w:rPr>
          <w:rFonts w:ascii="David" w:cs="David" w:eastAsia="David" w:hAnsi="David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כפי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שהסביר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בראיון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: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נדב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איל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המרד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נגד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הגלובליזציה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ע</w:t>
      </w:r>
      <w:r w:rsidDel="00000000" w:rsidR="00000000" w:rsidRPr="00000000">
        <w:rPr>
          <w:rFonts w:ascii="David" w:cs="David" w:eastAsia="David" w:hAnsi="David"/>
          <w:sz w:val="20"/>
          <w:szCs w:val="20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77</w:t>
      </w:r>
      <w:r w:rsidDel="00000000" w:rsidR="00000000" w:rsidRPr="00000000">
        <w:rPr>
          <w:rFonts w:ascii="David" w:cs="David" w:eastAsia="David" w:hAnsi="David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63">
      <w:pPr>
        <w:bidi w:val="1"/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a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yperlink" Target="https://adva.org/wp-content/uploads/2014/09/ma-i-globalizaziya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yperlink" Target="https://sites.google.com/site/arnonezrahut/tolerance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adva.org/wp-content/uploads/2014/09/ma-i-globalizaziya.pdf" TargetMode="External"/><Relationship Id="rId2" Type="http://schemas.openxmlformats.org/officeDocument/2006/relationships/hyperlink" Target="https://sites.google.com/site/arnonezrahut/tolerance" TargetMode="External"/><Relationship Id="rId3" Type="http://schemas.openxmlformats.org/officeDocument/2006/relationships/hyperlink" Target="https://danigutwein.wordpress.com/2018/08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