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5" w:type="dxa"/>
        <w:tblCellSpacing w:w="0" w:type="dxa"/>
        <w:shd w:val="clear" w:color="auto" w:fill="EEEE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</w:tblGrid>
      <w:tr w:rsidR="00653D7D" w:rsidRPr="008C73B2" w14:paraId="26F27DF7" w14:textId="77777777" w:rsidTr="00653D7D">
        <w:trPr>
          <w:trHeight w:val="3030"/>
          <w:tblCellSpacing w:w="0" w:type="dxa"/>
        </w:trPr>
        <w:tc>
          <w:tcPr>
            <w:tcW w:w="0" w:type="auto"/>
            <w:shd w:val="clear" w:color="auto" w:fill="EEEEDD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653D7D" w:rsidRPr="008C73B2" w14:paraId="2497C689" w14:textId="77777777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14:paraId="50172FF6" w14:textId="3B35891F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  </w:t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 wp14:anchorId="23A6FF69" wp14:editId="42DD348B">
                        <wp:extent cx="57150" cy="47625"/>
                        <wp:effectExtent l="0" t="0" r="0" b="9525"/>
                        <wp:docPr id="5" name="תמונה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</w:t>
                  </w:r>
                  <w:hyperlink r:id="rId6" w:history="1">
                    <w:r w:rsidRPr="008C73B2">
                      <w:rPr>
                        <w:rFonts w:ascii="David" w:eastAsia="Times New Roman" w:hAnsi="David"/>
                        <w:b/>
                        <w:bCs/>
                        <w:color w:val="000000"/>
                        <w:u w:val="single"/>
                        <w:rtl/>
                      </w:rPr>
                      <w:t xml:space="preserve">פקודת </w:t>
                    </w:r>
                    <w:proofErr w:type="spellStart"/>
                    <w:r w:rsidRPr="008C73B2">
                      <w:rPr>
                        <w:rFonts w:ascii="David" w:eastAsia="Times New Roman" w:hAnsi="David"/>
                        <w:b/>
                        <w:bCs/>
                        <w:color w:val="000000"/>
                        <w:u w:val="single"/>
                        <w:rtl/>
                      </w:rPr>
                      <w:t>המסים</w:t>
                    </w:r>
                    <w:proofErr w:type="spellEnd"/>
                    <w:r w:rsidRPr="008C73B2">
                      <w:rPr>
                        <w:rFonts w:ascii="David" w:eastAsia="Times New Roman" w:hAnsi="David"/>
                        <w:b/>
                        <w:bCs/>
                        <w:color w:val="000000"/>
                        <w:u w:val="single"/>
                        <w:rtl/>
                      </w:rPr>
                      <w:t xml:space="preserve"> (גביה) </w:t>
                    </w:r>
                  </w:hyperlink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 </w:t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 wp14:anchorId="58A13264" wp14:editId="6051CF90">
                        <wp:extent cx="57150" cy="47625"/>
                        <wp:effectExtent l="0" t="0" r="0" b="9525"/>
                        <wp:docPr id="4" name="תמונה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</w:t>
                  </w:r>
                  <w:hyperlink r:id="rId7" w:history="1">
                    <w:r w:rsidRPr="008C73B2">
                      <w:rPr>
                        <w:rFonts w:ascii="David" w:eastAsia="Times New Roman" w:hAnsi="David"/>
                        <w:b/>
                        <w:bCs/>
                        <w:color w:val="000000"/>
                        <w:u w:val="single"/>
                        <w:rtl/>
                      </w:rPr>
                      <w:t>הרצאות בארנונה </w:t>
                    </w:r>
                  </w:hyperlink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 </w:t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noProof/>
                      <w:color w:val="000000"/>
                    </w:rPr>
                    <w:drawing>
                      <wp:inline distT="0" distB="0" distL="0" distR="0" wp14:anchorId="3B16F89A" wp14:editId="3C97DD86">
                        <wp:extent cx="57150" cy="47625"/>
                        <wp:effectExtent l="0" t="0" r="0" b="9525"/>
                        <wp:docPr id="3" name="תמונה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C73B2">
                    <w:rPr>
                      <w:rFonts w:ascii="David" w:eastAsia="Times New Roman" w:hAnsi="David"/>
                      <w:b/>
                      <w:bCs/>
                      <w:color w:val="000000"/>
                    </w:rPr>
                    <w:t> </w:t>
                  </w:r>
                  <w:hyperlink r:id="rId8" w:history="1">
                    <w:r w:rsidRPr="008C73B2">
                      <w:rPr>
                        <w:rFonts w:ascii="David" w:eastAsia="Times New Roman" w:hAnsi="David"/>
                        <w:b/>
                        <w:bCs/>
                        <w:color w:val="000000"/>
                        <w:u w:val="single"/>
                        <w:rtl/>
                      </w:rPr>
                      <w:t>ספרים ומאמרים</w:t>
                    </w:r>
                  </w:hyperlink>
                </w:p>
              </w:tc>
            </w:tr>
            <w:tr w:rsidR="00653D7D" w:rsidRPr="008C73B2" w14:paraId="6C5C2CD8" w14:textId="77777777">
              <w:tc>
                <w:tcPr>
                  <w:tcW w:w="0" w:type="auto"/>
                  <w:vAlign w:val="center"/>
                  <w:hideMark/>
                </w:tcPr>
                <w:p w14:paraId="6DA84B43" w14:textId="77777777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</w:rPr>
                    <w:t>    </w:t>
                  </w:r>
                  <w:r w:rsidRPr="008C73B2">
                    <w:rPr>
                      <w:rFonts w:ascii="David" w:eastAsia="Times New Roman" w:hAnsi="David"/>
                      <w:color w:val="AA0000"/>
                      <w:u w:val="single"/>
                    </w:rPr>
                    <w:t xml:space="preserve">0 </w:t>
                  </w:r>
                  <w:r w:rsidRPr="008C73B2">
                    <w:rPr>
                      <w:rFonts w:ascii="David" w:eastAsia="Times New Roman" w:hAnsi="David"/>
                      <w:color w:val="AA0000"/>
                      <w:u w:val="single"/>
                      <w:rtl/>
                    </w:rPr>
                    <w:t xml:space="preserve">תגובות לכתבות </w:t>
                  </w:r>
                  <w:proofErr w:type="gramStart"/>
                  <w:r w:rsidRPr="008C73B2">
                    <w:rPr>
                      <w:rFonts w:ascii="David" w:eastAsia="Times New Roman" w:hAnsi="David"/>
                      <w:color w:val="AA0000"/>
                      <w:u w:val="single"/>
                      <w:rtl/>
                    </w:rPr>
                    <w:t>מאז :</w:t>
                  </w:r>
                  <w:proofErr w:type="gramEnd"/>
                  <w:r w:rsidRPr="008C73B2">
                    <w:rPr>
                      <w:rFonts w:ascii="David" w:eastAsia="Times New Roman" w:hAnsi="David"/>
                      <w:color w:val="AA0000"/>
                      <w:u w:val="single"/>
                      <w:rtl/>
                    </w:rPr>
                    <w:t xml:space="preserve"> 27/4/2020</w:t>
                  </w:r>
                </w:p>
              </w:tc>
            </w:tr>
          </w:tbl>
          <w:p w14:paraId="27313CB4" w14:textId="77777777" w:rsidR="00653D7D" w:rsidRPr="008C73B2" w:rsidRDefault="00653D7D" w:rsidP="008C73B2">
            <w:pPr>
              <w:spacing w:after="0" w:line="240" w:lineRule="auto"/>
              <w:jc w:val="both"/>
              <w:rPr>
                <w:rFonts w:ascii="David" w:eastAsia="Times New Roman" w:hAnsi="David"/>
              </w:rPr>
            </w:pPr>
          </w:p>
        </w:tc>
      </w:tr>
      <w:tr w:rsidR="00653D7D" w:rsidRPr="008C73B2" w14:paraId="300B5508" w14:textId="77777777" w:rsidTr="00653D7D">
        <w:trPr>
          <w:tblCellSpacing w:w="0" w:type="dxa"/>
        </w:trPr>
        <w:tc>
          <w:tcPr>
            <w:tcW w:w="0" w:type="auto"/>
            <w:shd w:val="clear" w:color="auto" w:fill="EEEEDD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0" w:type="dxa"/>
                <w:left w:w="600" w:type="dxa"/>
                <w:bottom w:w="600" w:type="dxa"/>
                <w:right w:w="600" w:type="dxa"/>
              </w:tblCellMar>
              <w:tblLook w:val="04A0" w:firstRow="1" w:lastRow="0" w:firstColumn="1" w:lastColumn="0" w:noHBand="0" w:noVBand="1"/>
            </w:tblPr>
            <w:tblGrid>
              <w:gridCol w:w="8805"/>
            </w:tblGrid>
            <w:tr w:rsidR="00653D7D" w:rsidRPr="008C73B2" w14:paraId="5480D99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FD72587" w14:textId="5AB3DC52" w:rsidR="00653D7D" w:rsidRPr="008C73B2" w:rsidRDefault="00653D7D" w:rsidP="008C73B2">
                  <w:pPr>
                    <w:spacing w:after="240" w:line="240" w:lineRule="auto"/>
                    <w:jc w:val="both"/>
                    <w:rPr>
                      <w:rFonts w:ascii="David" w:eastAsia="Times New Roman" w:hAnsi="David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</w:tblGrid>
                  <w:tr w:rsidR="00653D7D" w:rsidRPr="008C73B2" w14:paraId="6E9655B9" w14:textId="77777777">
                    <w:trPr>
                      <w:tblCellSpacing w:w="0" w:type="dxa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14:paraId="3BC779BF" w14:textId="77777777" w:rsidR="00653D7D" w:rsidRPr="008C73B2" w:rsidRDefault="00653D7D" w:rsidP="008C73B2">
                        <w:pPr>
                          <w:spacing w:after="240" w:line="240" w:lineRule="auto"/>
                          <w:jc w:val="both"/>
                          <w:rPr>
                            <w:rFonts w:ascii="David" w:eastAsia="Times New Roman" w:hAnsi="David"/>
                          </w:rPr>
                        </w:pPr>
                      </w:p>
                    </w:tc>
                  </w:tr>
                </w:tbl>
                <w:p w14:paraId="25125960" w14:textId="77777777" w:rsid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  <w:color w:val="0000FF"/>
                      <w:sz w:val="44"/>
                      <w:szCs w:val="44"/>
                      <w:rtl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color w:val="0000FF"/>
                      <w:sz w:val="44"/>
                      <w:szCs w:val="44"/>
                      <w:rtl/>
                    </w:rPr>
                    <w:t xml:space="preserve">בית המשפט: </w:t>
                  </w:r>
                </w:p>
                <w:p w14:paraId="18638309" w14:textId="15277078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  <w:color w:val="0000FF"/>
                      <w:sz w:val="36"/>
                      <w:szCs w:val="36"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color w:val="0000FF"/>
                      <w:sz w:val="36"/>
                      <w:szCs w:val="36"/>
                      <w:rtl/>
                    </w:rPr>
                    <w:t>הישוב נווה שלום באזור לטרון אינו בתחומי מדינת ישראל</w:t>
                  </w:r>
                </w:p>
                <w:p w14:paraId="3CA6A83E" w14:textId="77777777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rtl/>
                    </w:rPr>
                    <w:t>פסק הדין שניתן בהליך פלילי מעלה את השאלה: מכוח איזה דין מוטלת הארנונה העירונית בנווה שלום ובמכבים</w:t>
                  </w:r>
                  <w:r w:rsidRPr="008C73B2">
                    <w:rPr>
                      <w:rFonts w:ascii="David" w:eastAsia="Times New Roman" w:hAnsi="David"/>
                      <w:b/>
                      <w:bCs/>
                    </w:rPr>
                    <w:t>?</w:t>
                  </w:r>
                </w:p>
                <w:p w14:paraId="6091204C" w14:textId="775864FF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</w:rPr>
                    <w:br/>
                  </w:r>
                  <w:r w:rsidRPr="008C73B2">
                    <w:rPr>
                      <w:rFonts w:ascii="David" w:eastAsia="Times New Roman" w:hAnsi="David"/>
                      <w:color w:val="AA0000"/>
                    </w:rPr>
                    <w:t>27/3/2005</w:t>
                  </w:r>
                </w:p>
                <w:p w14:paraId="3A90F247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איתן קרמר הסיע במכוניתו תושב פלשתיני שלא היה בידו אישור שהייה בתחומי מדינת ישראל. ההסעה בוצעה בשטח שהיה מפורז עד למלחמת ששת הימים, והנאשם טען שיש לזכותו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65AB727F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השאלה שבית המשפט התבקש להכריע בה הייתה, מהו התחום של מדינת ישראל</w:t>
                  </w:r>
                  <w:r w:rsidRPr="008C73B2">
                    <w:rPr>
                      <w:rFonts w:ascii="David" w:eastAsia="Times New Roman" w:hAnsi="David"/>
                    </w:rPr>
                    <w:t>?</w:t>
                  </w:r>
                </w:p>
                <w:p w14:paraId="7D5450C5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בפסק דין ארוך, מנומק ומפורט הגיע בית המשפט, כבוד השופט אלכסנדר רון, למסקנה, כי לא הוכח שההסעה בוצעה בתחומי מדינת ישראל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26AB7F38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לפסק דין זה השלכות רבות לגבי הדין בשטחים שעד לשנת 1967 היו שטחים מפורזים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1C3C3F51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אקדים ואפרט בקצרה מהו הדין שחל בכל חבל ארץ רלוונטי</w:t>
                  </w:r>
                  <w:r w:rsidRPr="008C73B2">
                    <w:rPr>
                      <w:rFonts w:ascii="David" w:eastAsia="Times New Roman" w:hAnsi="David"/>
                    </w:rPr>
                    <w:t>:</w:t>
                  </w:r>
                </w:p>
                <w:p w14:paraId="4E55D433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א. הקו הירוק נקבע בהסכמי רודוס בשנת 1949 ובתחומו חל הדין הישראלי למרות שלא נקבע באותו הסכם שביתת נשק, כי הקו הירוק הוא גבולה הבינלאומי של מדינת ישראל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4DBA9732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lastRenderedPageBreak/>
                    <w:t>ב. בעקבות מלחמת ששת הימים הוחל בכל השטחים שנכבשו, ואשר היו בריבונות ירדן, מצרים וסוריה, הדין של המושל הצבאי בצד הדין הזר שחל שם קודם לכן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0A473DDF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ג. "חוק ירושלים" החיל את הדין הישראלי בירושלים רבתי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6A1D4C48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ד. "חוק רמת הגולן" החיל את הדין הישראלי ברמת הגולן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01044FCF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ה. הסכם השלום עם מצרים הפך את הקו הירוק בין ישראל למצרים לגבול בינלאומי. סוגיית טאבה הוכרעה בבוררות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1D767006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ו. הסכם השלום עם ירדן הפך את הקו הירוק בין ישראל לירדן לגבול בינלאומי, והוא אינו כולל את הקו הירוק בין ישראל ליהודה ושומרון ולא את צפון ים המלח והבקעה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63B45605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ז. שורת הסכמים בין ישראל לרשות הפלשתינית החילה באזורים מסוימים את חוקי הרשות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1854D9DE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מה נותר</w:t>
                  </w:r>
                  <w:r w:rsidRPr="008C73B2">
                    <w:rPr>
                      <w:rFonts w:ascii="David" w:eastAsia="Times New Roman" w:hAnsi="David"/>
                    </w:rPr>
                    <w:t>?</w:t>
                  </w:r>
                </w:p>
                <w:p w14:paraId="0A36E5EE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השטחים שהיו שטחים מפורזים מאז הסכם רודוס ועד למלחמת ששת הימים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771F8B7D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ההסכמים שחתמה ישראל עם מצרים ירדן והרשות הפלשתינית לא חלים על שטחים אלה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103724D0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שטחים אלה לא היו בריבונות זרה, ולכן לא חל בהם הדין הזר ולא דיני המושל הצבאי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2E8BF058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שטחים אלה לא היו בריבונות ישראל, ולכן לא חל בהם הדין הישראלי, ומכאן פסק דינו הנ"ל של בית המשפט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49901CF6" w14:textId="34D24C5A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noProof/>
                    </w:rPr>
                    <w:drawing>
                      <wp:inline distT="0" distB="0" distL="0" distR="0" wp14:anchorId="2B50A6AE" wp14:editId="29838000">
                        <wp:extent cx="971550" cy="2381250"/>
                        <wp:effectExtent l="0" t="0" r="0" b="0"/>
                        <wp:docPr id="1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B3DDAA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lastRenderedPageBreak/>
                    <w:t>ומהכלל לסוגיית הארנונה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674B837E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הארנונה בישראל, בירושלים רבתי וברמת הגולן מוטלת על פי הדין הישראלי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57007694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הארנונה ביהודה שומרון וחבל עזה מוטלת על פי דיני המושל הצבאי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47D1E4A1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מכוח איזה דין מוטלת הארנונה בשטחים שהיו שטחים מפורזים</w:t>
                  </w:r>
                  <w:r w:rsidRPr="008C73B2">
                    <w:rPr>
                      <w:rFonts w:ascii="David" w:eastAsia="Times New Roman" w:hAnsi="David"/>
                    </w:rPr>
                    <w:t>?</w:t>
                  </w:r>
                </w:p>
                <w:p w14:paraId="5A3CDEA9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בפסק הדין הנ"ל נידון מעמדו הטריטוריאלי של המושב נווה שלום, שמרביתו נמצא בשטח המפורז באזור לטרון. בנוסף לשטח מפורז זה קיים שטח מפורז גדול יותר, ובו נמצא הישוב מכבים</w:t>
                  </w:r>
                  <w:r w:rsidRPr="008C73B2">
                    <w:rPr>
                      <w:rFonts w:ascii="David" w:eastAsia="Times New Roman" w:hAnsi="David"/>
                    </w:rPr>
                    <w:t>.</w:t>
                  </w:r>
                </w:p>
                <w:p w14:paraId="6C36E1FE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  <w:rtl/>
                    </w:rPr>
                    <w:t>בשנת 2004 אוחדה מכבים עם העיר מודיעין, אולם אין באיחוד מוניציפלי זה כל השפעה לגבי השאלה שהועלתה - מכוח איזה דין מסמיך מוטלת הארנונה במכבים</w:t>
                  </w:r>
                  <w:r w:rsidRPr="008C73B2">
                    <w:rPr>
                      <w:rFonts w:ascii="David" w:eastAsia="Times New Roman" w:hAnsi="David"/>
                    </w:rPr>
                    <w:t>?</w:t>
                  </w:r>
                </w:p>
                <w:p w14:paraId="1088BCFF" w14:textId="5E5057A5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</w:rPr>
                  </w:pPr>
                  <w:r w:rsidRPr="008C73B2">
                    <w:rPr>
                      <w:rFonts w:ascii="David" w:eastAsia="Times New Roman" w:hAnsi="David"/>
                    </w:rPr>
                    <w:t>___________</w:t>
                  </w:r>
                </w:p>
                <w:p w14:paraId="68C72F84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rtl/>
                    </w:rPr>
                    <w:t>פ 1193/04 מדינת ישראל נגד איתן קרמר</w:t>
                  </w:r>
                </w:p>
                <w:p w14:paraId="3C76D397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  <w:rtl/>
                    </w:rPr>
                    <w:t>בית משפט השלום בבית-שמש, כב' השופט אלכסנדר רון</w:t>
                  </w:r>
                </w:p>
                <w:p w14:paraId="35A00C44" w14:textId="77777777" w:rsidR="00653D7D" w:rsidRPr="008C73B2" w:rsidRDefault="00653D7D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</w:rPr>
                  </w:pPr>
                  <w:r w:rsidRPr="008C73B2">
                    <w:rPr>
                      <w:rFonts w:ascii="David" w:eastAsia="Times New Roman" w:hAnsi="David"/>
                      <w:b/>
                      <w:bCs/>
                    </w:rPr>
                    <w:t>13.3.2005</w:t>
                  </w:r>
                </w:p>
                <w:p w14:paraId="5C252653" w14:textId="4D713853" w:rsidR="00653D7D" w:rsidRPr="008C73B2" w:rsidRDefault="008C73B2" w:rsidP="008C73B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David" w:eastAsia="Times New Roman" w:hAnsi="David"/>
                      <w:b/>
                      <w:bCs/>
                    </w:rPr>
                  </w:pPr>
                  <w:hyperlink r:id="rId10" w:history="1">
                    <w:r w:rsidR="00653D7D" w:rsidRPr="008C73B2">
                      <w:rPr>
                        <w:rFonts w:ascii="David" w:eastAsia="Times New Roman" w:hAnsi="David"/>
                        <w:b/>
                        <w:bCs/>
                        <w:color w:val="0000FF"/>
                        <w:u w:val="single"/>
                        <w:rtl/>
                      </w:rPr>
                      <w:t>לפסק הדין</w:t>
                    </w:r>
                  </w:hyperlink>
                </w:p>
                <w:tbl>
                  <w:tblPr>
                    <w:tblW w:w="6000" w:type="dxa"/>
                    <w:tblCellSpacing w:w="0" w:type="dxa"/>
                    <w:tblBorders>
                      <w:top w:val="outset" w:sz="6" w:space="0" w:color="3333FF"/>
                      <w:left w:val="outset" w:sz="6" w:space="0" w:color="3333FF"/>
                      <w:bottom w:val="outset" w:sz="6" w:space="0" w:color="3333FF"/>
                      <w:right w:val="outset" w:sz="6" w:space="0" w:color="3333FF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653D7D" w:rsidRPr="008C73B2" w14:paraId="0100A43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3333FF"/>
                          <w:left w:val="outset" w:sz="6" w:space="0" w:color="3333FF"/>
                          <w:bottom w:val="outset" w:sz="6" w:space="0" w:color="3333FF"/>
                          <w:right w:val="outset" w:sz="6" w:space="0" w:color="3333FF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3"/>
                          <w:gridCol w:w="4092"/>
                          <w:gridCol w:w="1515"/>
                        </w:tblGrid>
                        <w:tr w:rsidR="00653D7D" w:rsidRPr="008C73B2" w14:paraId="1805E5FF" w14:textId="77777777">
                          <w:trPr>
                            <w:tblCellSpacing w:w="0" w:type="dxa"/>
                          </w:trPr>
                          <w:tc>
                            <w:tcPr>
                              <w:tcW w:w="300" w:type="dxa"/>
                              <w:shd w:val="clear" w:color="auto" w:fill="EE0000"/>
                              <w:hideMark/>
                            </w:tcPr>
                            <w:p w14:paraId="183C18E5" w14:textId="77777777" w:rsidR="00653D7D" w:rsidRPr="008C73B2" w:rsidRDefault="00653D7D" w:rsidP="008C73B2">
                              <w:pPr>
                                <w:spacing w:after="0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50" w:type="dxa"/>
                              <w:shd w:val="clear" w:color="auto" w:fill="9999CC"/>
                              <w:hideMark/>
                            </w:tcPr>
                            <w:p w14:paraId="5493BB64" w14:textId="77777777" w:rsidR="00653D7D" w:rsidRPr="008C73B2" w:rsidRDefault="00653D7D" w:rsidP="008C73B2">
                              <w:pPr>
                                <w:spacing w:after="0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FFFFFF"/>
                                </w:rPr>
                                <w:t xml:space="preserve"> 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FFFFFF"/>
                                  <w:rtl/>
                                </w:rPr>
                                <w:t>תגובות</w:t>
                              </w:r>
                            </w:p>
                          </w:tc>
                          <w:tc>
                            <w:tcPr>
                              <w:tcW w:w="1500" w:type="dxa"/>
                              <w:shd w:val="clear" w:color="auto" w:fill="FF7700"/>
                              <w:hideMark/>
                            </w:tcPr>
                            <w:p w14:paraId="4288DFFE" w14:textId="77777777" w:rsidR="00653D7D" w:rsidRPr="008C73B2" w:rsidRDefault="00653D7D" w:rsidP="008C73B2">
                              <w:pPr>
                                <w:spacing w:after="0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FFFFFF"/>
                                </w:rPr>
                                <w:t xml:space="preserve"> 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FFFFFF"/>
                                  <w:rtl/>
                                </w:rPr>
                                <w:t xml:space="preserve">שלח תגובה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FFFFFF"/>
                                </w:rPr>
                                <w:t>&gt;&gt;</w:t>
                              </w:r>
                            </w:p>
                          </w:tc>
                        </w:tr>
                      </w:tbl>
                      <w:p w14:paraId="35552F7E" w14:textId="77777777" w:rsidR="00653D7D" w:rsidRPr="008C73B2" w:rsidRDefault="00653D7D" w:rsidP="008C73B2">
                        <w:pPr>
                          <w:spacing w:after="0" w:line="240" w:lineRule="auto"/>
                          <w:jc w:val="both"/>
                          <w:rPr>
                            <w:rFonts w:ascii="David" w:eastAsia="Times New Roman" w:hAnsi="David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Spacing w:w="75" w:type="dxa"/>
                          <w:shd w:val="clear" w:color="auto" w:fill="F5F5F5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0"/>
                        </w:tblGrid>
                        <w:tr w:rsidR="00653D7D" w:rsidRPr="008C73B2" w14:paraId="1DBCF0BE" w14:textId="77777777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shd w:val="clear" w:color="auto" w:fill="F5F5F5"/>
                              <w:hideMark/>
                            </w:tcPr>
                            <w:p w14:paraId="200BD608" w14:textId="77777777" w:rsidR="00653D7D" w:rsidRPr="008C73B2" w:rsidRDefault="00653D7D" w:rsidP="008C73B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0000DD"/>
                                  <w:u w:val="single"/>
                                  <w:rtl/>
                                </w:rPr>
                                <w:t>הקו הירוק 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</w:rPr>
                                <w:t xml:space="preserve">  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 xml:space="preserve">מאת: יובל </w:t>
                              </w:r>
                              <w:proofErr w:type="spellStart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>פוזניאק</w:t>
                              </w:r>
                              <w:proofErr w:type="spellEnd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 xml:space="preserve">    10/11/2005</w:t>
                              </w:r>
                            </w:p>
                            <w:p w14:paraId="011EC1E8" w14:textId="77777777" w:rsidR="00653D7D" w:rsidRPr="008C73B2" w:rsidRDefault="00653D7D" w:rsidP="008C73B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0000DD"/>
                                  <w:u w:val="single"/>
                                  <w:rtl/>
                                </w:rPr>
                                <w:t>הקו הירוק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</w:rPr>
                                <w:t xml:space="preserve">  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 xml:space="preserve">מאת: הנריק </w:t>
                              </w:r>
                              <w:proofErr w:type="spellStart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>רוסטוביץ</w:t>
                              </w:r>
                              <w:proofErr w:type="spellEnd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 xml:space="preserve">    21/11/2005</w:t>
                              </w:r>
                            </w:p>
                            <w:p w14:paraId="1401A252" w14:textId="77777777" w:rsidR="00653D7D" w:rsidRPr="008C73B2" w:rsidRDefault="00653D7D" w:rsidP="008C73B2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jc w:val="both"/>
                                <w:rPr>
                                  <w:rFonts w:ascii="David" w:eastAsia="Times New Roman" w:hAnsi="David"/>
                                </w:rPr>
                              </w:pPr>
                              <w:r w:rsidRPr="008C73B2">
                                <w:rPr>
                                  <w:rFonts w:ascii="David" w:eastAsia="Times New Roman" w:hAnsi="David"/>
                                  <w:b/>
                                  <w:bCs/>
                                  <w:color w:val="0000DD"/>
                                  <w:u w:val="single"/>
                                  <w:rtl/>
                                </w:rPr>
                                <w:t>השטחים שהוחזקו ע"י ירדן - לא היו בריבונותה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</w:rPr>
                                <w:t xml:space="preserve">   </w:t>
                              </w:r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>מאת: </w:t>
                              </w:r>
                              <w:proofErr w:type="spellStart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>מנש</w:t>
                              </w:r>
                              <w:proofErr w:type="spellEnd"/>
                              <w:r w:rsidRPr="008C73B2">
                                <w:rPr>
                                  <w:rFonts w:ascii="David" w:eastAsia="Times New Roman" w:hAnsi="David"/>
                                  <w:rtl/>
                                </w:rPr>
                                <w:t xml:space="preserve">    7/4/2011</w:t>
                              </w:r>
                            </w:p>
                          </w:tc>
                        </w:tr>
                      </w:tbl>
                      <w:p w14:paraId="746C7CE7" w14:textId="77777777" w:rsidR="00653D7D" w:rsidRPr="008C73B2" w:rsidRDefault="00653D7D" w:rsidP="008C73B2">
                        <w:pPr>
                          <w:spacing w:after="0" w:line="240" w:lineRule="auto"/>
                          <w:jc w:val="both"/>
                          <w:rPr>
                            <w:rFonts w:ascii="David" w:eastAsia="Times New Roman" w:hAnsi="David"/>
                          </w:rPr>
                        </w:pPr>
                      </w:p>
                    </w:tc>
                  </w:tr>
                </w:tbl>
                <w:p w14:paraId="10A99334" w14:textId="77777777" w:rsidR="00653D7D" w:rsidRPr="008C73B2" w:rsidRDefault="00653D7D" w:rsidP="008C73B2">
                  <w:pPr>
                    <w:spacing w:after="0" w:line="240" w:lineRule="auto"/>
                    <w:jc w:val="both"/>
                    <w:rPr>
                      <w:rFonts w:ascii="David" w:eastAsia="Times New Roman" w:hAnsi="David"/>
                    </w:rPr>
                  </w:pPr>
                </w:p>
              </w:tc>
            </w:tr>
          </w:tbl>
          <w:p w14:paraId="6E28D8A0" w14:textId="77777777" w:rsidR="00653D7D" w:rsidRPr="008C73B2" w:rsidRDefault="00653D7D" w:rsidP="008C73B2">
            <w:pPr>
              <w:spacing w:after="0" w:line="240" w:lineRule="auto"/>
              <w:jc w:val="both"/>
              <w:rPr>
                <w:rFonts w:ascii="David" w:eastAsia="Times New Roman" w:hAnsi="David"/>
              </w:rPr>
            </w:pPr>
          </w:p>
        </w:tc>
      </w:tr>
    </w:tbl>
    <w:p w14:paraId="1B49ED42" w14:textId="77777777" w:rsidR="0097235B" w:rsidRPr="008C73B2" w:rsidRDefault="0097235B" w:rsidP="008C73B2">
      <w:pPr>
        <w:jc w:val="both"/>
        <w:rPr>
          <w:rFonts w:ascii="David" w:hAnsi="David"/>
        </w:rPr>
      </w:pPr>
    </w:p>
    <w:sectPr w:rsidR="0097235B" w:rsidRPr="008C73B2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30B15"/>
    <w:multiLevelType w:val="multilevel"/>
    <w:tmpl w:val="92AC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7D"/>
    <w:rsid w:val="00653D7D"/>
    <w:rsid w:val="008C73B2"/>
    <w:rsid w:val="0097235B"/>
    <w:rsid w:val="009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8A990"/>
  <w15:chartTrackingRefBased/>
  <w15:docId w15:val="{6986D499-BD51-4FBE-8F1B-4492CCF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53D7D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653D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53D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nona.co.il/index.asp?Article=124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nona.co.il/index.asp?Article=11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nona.co.il/index.asp?Page=8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arnona.co.il/index.asp?Article=3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2</cp:revision>
  <dcterms:created xsi:type="dcterms:W3CDTF">2020-05-27T18:51:00Z</dcterms:created>
  <dcterms:modified xsi:type="dcterms:W3CDTF">2020-05-27T18:57:00Z</dcterms:modified>
</cp:coreProperties>
</file>