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D5A" w:rsidRDefault="00044D5A" w:rsidP="00044D5A">
      <w:pPr>
        <w:spacing w:line="480" w:lineRule="auto"/>
        <w:jc w:val="both"/>
        <w:rPr>
          <w:rtl/>
        </w:rPr>
      </w:pPr>
    </w:p>
    <w:p w:rsidR="00044D5A" w:rsidRDefault="00044D5A" w:rsidP="00044D5A">
      <w:pPr>
        <w:bidi w:val="0"/>
        <w:jc w:val="center"/>
        <w:rPr>
          <w:b/>
          <w:bCs/>
          <w:sz w:val="28"/>
          <w:szCs w:val="28"/>
        </w:rPr>
      </w:pPr>
    </w:p>
    <w:p w:rsidR="00044D5A" w:rsidRDefault="00044D5A" w:rsidP="00044D5A">
      <w:pPr>
        <w:bidi w:val="0"/>
        <w:jc w:val="center"/>
        <w:rPr>
          <w:b/>
          <w:bCs/>
          <w:sz w:val="28"/>
          <w:szCs w:val="28"/>
        </w:rPr>
      </w:pPr>
    </w:p>
    <w:p w:rsidR="00044D5A" w:rsidRDefault="00044D5A" w:rsidP="00044D5A">
      <w:pPr>
        <w:bidi w:val="0"/>
        <w:jc w:val="center"/>
        <w:rPr>
          <w:b/>
          <w:bCs/>
          <w:sz w:val="72"/>
          <w:szCs w:val="72"/>
        </w:rPr>
      </w:pPr>
    </w:p>
    <w:p w:rsidR="00044D5A" w:rsidRPr="00044D5A" w:rsidRDefault="00044D5A" w:rsidP="004D2BC2">
      <w:pPr>
        <w:jc w:val="center"/>
        <w:rPr>
          <w:b/>
          <w:bCs/>
          <w:sz w:val="72"/>
          <w:szCs w:val="72"/>
        </w:rPr>
      </w:pPr>
      <w:r w:rsidRPr="00044D5A">
        <w:rPr>
          <w:rFonts w:hint="cs"/>
          <w:b/>
          <w:bCs/>
          <w:sz w:val="72"/>
          <w:szCs w:val="72"/>
          <w:rtl/>
        </w:rPr>
        <w:t>בוגרי חינוך חרדי בשירות צבאי שלא דרך מסגרות חרדיות</w:t>
      </w:r>
    </w:p>
    <w:p w:rsidR="00044D5A" w:rsidRDefault="00044D5A" w:rsidP="004D2BC2">
      <w:pPr>
        <w:jc w:val="center"/>
        <w:rPr>
          <w:b/>
          <w:bCs/>
          <w:sz w:val="28"/>
          <w:szCs w:val="28"/>
          <w:rtl/>
        </w:rPr>
      </w:pPr>
    </w:p>
    <w:p w:rsidR="00044D5A" w:rsidRDefault="00044D5A" w:rsidP="004D2BC2">
      <w:pPr>
        <w:jc w:val="center"/>
        <w:rPr>
          <w:b/>
          <w:bCs/>
          <w:sz w:val="28"/>
          <w:szCs w:val="28"/>
          <w:rtl/>
        </w:rPr>
      </w:pPr>
    </w:p>
    <w:p w:rsidR="00044D5A" w:rsidRDefault="00044D5A" w:rsidP="004D2BC2">
      <w:pPr>
        <w:jc w:val="center"/>
        <w:rPr>
          <w:b/>
          <w:bCs/>
          <w:sz w:val="28"/>
          <w:szCs w:val="28"/>
          <w:rtl/>
        </w:rPr>
      </w:pPr>
    </w:p>
    <w:p w:rsidR="00044D5A" w:rsidRDefault="00044D5A" w:rsidP="004D2BC2">
      <w:pPr>
        <w:jc w:val="center"/>
        <w:rPr>
          <w:b/>
          <w:bCs/>
          <w:sz w:val="28"/>
          <w:szCs w:val="28"/>
          <w:rtl/>
        </w:rPr>
      </w:pPr>
    </w:p>
    <w:p w:rsidR="00044D5A" w:rsidRDefault="00044D5A" w:rsidP="004D2BC2">
      <w:pPr>
        <w:jc w:val="center"/>
        <w:rPr>
          <w:b/>
          <w:bCs/>
          <w:sz w:val="28"/>
          <w:szCs w:val="28"/>
          <w:rtl/>
        </w:rPr>
      </w:pPr>
    </w:p>
    <w:p w:rsidR="00044D5A" w:rsidRPr="00044D5A" w:rsidRDefault="00044D5A" w:rsidP="004D2BC2">
      <w:pPr>
        <w:jc w:val="center"/>
        <w:rPr>
          <w:b/>
          <w:bCs/>
          <w:sz w:val="36"/>
          <w:szCs w:val="36"/>
          <w:rtl/>
        </w:rPr>
      </w:pPr>
      <w:r w:rsidRPr="00044D5A">
        <w:rPr>
          <w:rFonts w:hint="cs"/>
          <w:b/>
          <w:bCs/>
          <w:sz w:val="36"/>
          <w:szCs w:val="36"/>
          <w:rtl/>
        </w:rPr>
        <w:t>מאת: ד"ר נרי הורביץ</w:t>
      </w:r>
    </w:p>
    <w:p w:rsidR="00044D5A" w:rsidRPr="00044D5A" w:rsidRDefault="00044D5A" w:rsidP="004D2BC2">
      <w:pPr>
        <w:jc w:val="center"/>
        <w:rPr>
          <w:b/>
          <w:bCs/>
          <w:sz w:val="36"/>
          <w:szCs w:val="36"/>
          <w:rtl/>
        </w:rPr>
      </w:pPr>
      <w:r w:rsidRPr="00044D5A">
        <w:rPr>
          <w:rFonts w:hint="cs"/>
          <w:b/>
          <w:bCs/>
          <w:sz w:val="36"/>
          <w:szCs w:val="36"/>
          <w:rtl/>
        </w:rPr>
        <w:t xml:space="preserve">מכון </w:t>
      </w:r>
      <w:proofErr w:type="spellStart"/>
      <w:r w:rsidRPr="00044D5A">
        <w:rPr>
          <w:rFonts w:hint="cs"/>
          <w:b/>
          <w:bCs/>
          <w:sz w:val="36"/>
          <w:szCs w:val="36"/>
          <w:rtl/>
        </w:rPr>
        <w:t>אגורא</w:t>
      </w:r>
      <w:proofErr w:type="spellEnd"/>
    </w:p>
    <w:p w:rsidR="00044D5A" w:rsidRDefault="00044D5A" w:rsidP="004D2BC2">
      <w:pPr>
        <w:jc w:val="center"/>
        <w:rPr>
          <w:b/>
          <w:bCs/>
          <w:sz w:val="28"/>
          <w:szCs w:val="28"/>
          <w:rtl/>
        </w:rPr>
      </w:pPr>
    </w:p>
    <w:p w:rsidR="00044D5A" w:rsidRDefault="00044D5A" w:rsidP="004D2BC2">
      <w:pPr>
        <w:jc w:val="center"/>
        <w:rPr>
          <w:b/>
          <w:bCs/>
          <w:sz w:val="28"/>
          <w:szCs w:val="28"/>
          <w:rtl/>
        </w:rPr>
      </w:pPr>
    </w:p>
    <w:p w:rsidR="00044D5A" w:rsidRDefault="00044D5A" w:rsidP="004D2BC2">
      <w:pPr>
        <w:jc w:val="center"/>
        <w:rPr>
          <w:b/>
          <w:bCs/>
          <w:sz w:val="28"/>
          <w:szCs w:val="28"/>
        </w:rPr>
      </w:pPr>
    </w:p>
    <w:p w:rsidR="00044D5A" w:rsidRDefault="00044D5A" w:rsidP="004D2BC2">
      <w:pPr>
        <w:jc w:val="center"/>
        <w:rPr>
          <w:b/>
          <w:bCs/>
          <w:sz w:val="28"/>
          <w:szCs w:val="28"/>
        </w:rPr>
      </w:pPr>
    </w:p>
    <w:p w:rsidR="00044D5A" w:rsidRDefault="00044D5A" w:rsidP="004D2BC2">
      <w:pPr>
        <w:jc w:val="center"/>
        <w:rPr>
          <w:b/>
          <w:bCs/>
          <w:sz w:val="28"/>
          <w:szCs w:val="28"/>
        </w:rPr>
      </w:pPr>
      <w:r>
        <w:rPr>
          <w:rFonts w:hint="cs"/>
          <w:b/>
          <w:bCs/>
          <w:sz w:val="28"/>
          <w:szCs w:val="28"/>
          <w:rtl/>
        </w:rPr>
        <w:t>מרץ 2019</w:t>
      </w:r>
    </w:p>
    <w:p w:rsidR="00044D5A" w:rsidRDefault="00044D5A" w:rsidP="00044D5A">
      <w:pPr>
        <w:bidi w:val="0"/>
        <w:jc w:val="center"/>
        <w:rPr>
          <w:b/>
          <w:bCs/>
          <w:sz w:val="28"/>
          <w:szCs w:val="28"/>
          <w:rtl/>
        </w:rPr>
      </w:pPr>
    </w:p>
    <w:p w:rsidR="00044D5A" w:rsidRDefault="00044D5A">
      <w:pPr>
        <w:bidi w:val="0"/>
        <w:rPr>
          <w:b/>
          <w:bCs/>
          <w:sz w:val="28"/>
          <w:szCs w:val="28"/>
          <w:rtl/>
        </w:rPr>
      </w:pPr>
      <w:r>
        <w:rPr>
          <w:b/>
          <w:bCs/>
          <w:sz w:val="28"/>
          <w:szCs w:val="28"/>
          <w:rtl/>
        </w:rPr>
        <w:br w:type="page"/>
      </w:r>
    </w:p>
    <w:p w:rsidR="00044D5A" w:rsidRPr="00044D5A" w:rsidRDefault="00044D5A" w:rsidP="00044D5A">
      <w:pPr>
        <w:bidi w:val="0"/>
        <w:jc w:val="center"/>
        <w:rPr>
          <w:b/>
          <w:bCs/>
          <w:sz w:val="28"/>
          <w:szCs w:val="28"/>
          <w:rtl/>
        </w:rPr>
      </w:pPr>
    </w:p>
    <w:p w:rsidR="00044D5A" w:rsidRDefault="00044D5A" w:rsidP="00044D5A">
      <w:pPr>
        <w:spacing w:line="480" w:lineRule="auto"/>
        <w:jc w:val="both"/>
        <w:rPr>
          <w:rtl/>
        </w:rPr>
      </w:pPr>
      <w:r w:rsidRPr="00124B5E">
        <w:rPr>
          <w:rFonts w:hint="cs"/>
          <w:b/>
          <w:bCs/>
          <w:rtl/>
        </w:rPr>
        <w:t>רקע כללי</w:t>
      </w:r>
      <w:r>
        <w:rPr>
          <w:rFonts w:hint="cs"/>
          <w:rtl/>
        </w:rPr>
        <w:t>:</w:t>
      </w:r>
    </w:p>
    <w:p w:rsidR="00044D5A" w:rsidRDefault="00044D5A" w:rsidP="00044D5A">
      <w:pPr>
        <w:spacing w:line="480" w:lineRule="auto"/>
        <w:jc w:val="both"/>
        <w:rPr>
          <w:rtl/>
        </w:rPr>
      </w:pPr>
      <w:r>
        <w:rPr>
          <w:rFonts w:hint="cs"/>
          <w:rtl/>
        </w:rPr>
        <w:t xml:space="preserve"> התופעה של חיילים בוגרי החינוך החרדי, ביחידות כלל צה"ליות, אשר אינם יכולים לקבל מענה במסגרת טיפול מנהלת חרדים מקיפה כ-3000 חיילים משרתים בצה"ל בכל השנתונים. האתגר מולו ניצבים משרתים אלו דומה לקשיים מולם ניצב החייל החרדי אולם מתווספים עליהם מאפיינים ייחודיים. מאפיינים אלו כרוכים בהעדר תמיכה קהילתית, ניתוק מן המשפחה, פערים תרבותיים, קשיים פסיכולוגיים, העדר משאבים, ציוני מיון נמוכים וקושי במיצוי זכויות. כתוצאה ממצב זה נפגע השירות ומיצוי הפוטנציאל של החייל בוגר החינוך החרדי. בהיבט הכלל צה"לי של בניין הכוח אין מיצוי של הגיוס הפוטנציאלי בקרב הבנים ועוד פחות בקרב בנות.    </w:t>
      </w:r>
    </w:p>
    <w:p w:rsidR="00044D5A" w:rsidRDefault="00044D5A" w:rsidP="00044D5A">
      <w:pPr>
        <w:spacing w:line="480" w:lineRule="auto"/>
        <w:jc w:val="both"/>
        <w:rPr>
          <w:rtl/>
        </w:rPr>
      </w:pPr>
      <w:r>
        <w:rPr>
          <w:rFonts w:hint="cs"/>
          <w:rtl/>
        </w:rPr>
        <w:t xml:space="preserve">הקשיים בשירות של חיילים בוגרי החינוך החרדי עלו על סדר היום של אכ"א בקיץ 2013 ואף חובר מסמך בחתימתו של </w:t>
      </w:r>
      <w:proofErr w:type="spellStart"/>
      <w:r>
        <w:rPr>
          <w:rFonts w:hint="cs"/>
          <w:rtl/>
        </w:rPr>
        <w:t>רח"ט</w:t>
      </w:r>
      <w:proofErr w:type="spellEnd"/>
      <w:r>
        <w:rPr>
          <w:rFonts w:hint="cs"/>
          <w:rtl/>
        </w:rPr>
        <w:t xml:space="preserve"> </w:t>
      </w:r>
      <w:proofErr w:type="spellStart"/>
      <w:r>
        <w:rPr>
          <w:rFonts w:hint="cs"/>
          <w:rtl/>
        </w:rPr>
        <w:t>תומכ"א</w:t>
      </w:r>
      <w:proofErr w:type="spellEnd"/>
      <w:r>
        <w:rPr>
          <w:rFonts w:hint="cs"/>
          <w:rtl/>
        </w:rPr>
        <w:t xml:space="preserve">. המסמך התייחס אל הקשיים הייחודיים של מתגייסים יוצאי החינוך החרדי אשר הוגדרו "יוצאים בשאלה" ונגע בסוגיות ת"ש ופרט, נהלי מיון, שיבוץ ,יציאה לפיקוד כמו גם לצורך להבנות דגם מתאים של השלמת פערי השכלה ומימוש פרק המשימה. המדיניות המוצעת במסמך יושמה באופן חלקי בהקשר ארגוני שהשתנה ומאוחר יותר התפוגגה. ההתפוגגות נבעה בין השאר מן המתח המוסדי הבנוי פנימה בין הניהול של גיוס חרדים, תוך שמירה על זהותם, לבין טיפול באוכלוסייה אשר אינה חפצה להשתייך באותו אופן לציבור החרדי. מעבר להיבטים התועלתניים במדיניות כוללת ביחס לקבוצה זו יש מן הצדק בהשוואת התנאים למשרתים ביחידות החרדיות בתוקף החוק כמו גם נוכח ספירתם כחרדים לצורך עמידה ביעדי הגיוס. </w:t>
      </w:r>
    </w:p>
    <w:p w:rsidR="00044D5A" w:rsidRPr="00124B5E" w:rsidRDefault="00044D5A" w:rsidP="00044D5A">
      <w:pPr>
        <w:spacing w:line="480" w:lineRule="auto"/>
        <w:jc w:val="both"/>
        <w:rPr>
          <w:b/>
          <w:bCs/>
          <w:rtl/>
        </w:rPr>
      </w:pPr>
      <w:r w:rsidRPr="00124B5E">
        <w:rPr>
          <w:rFonts w:hint="cs"/>
          <w:b/>
          <w:bCs/>
          <w:rtl/>
        </w:rPr>
        <w:t>הגדרת הבעיה:</w:t>
      </w:r>
    </w:p>
    <w:p w:rsidR="00044D5A" w:rsidRDefault="00044D5A" w:rsidP="00044D5A">
      <w:pPr>
        <w:spacing w:line="480" w:lineRule="auto"/>
        <w:jc w:val="both"/>
        <w:rPr>
          <w:rtl/>
        </w:rPr>
      </w:pPr>
      <w:r>
        <w:rPr>
          <w:rFonts w:hint="cs"/>
          <w:rtl/>
        </w:rPr>
        <w:t xml:space="preserve">העדר קטגוריה (קבוצת גיוס </w:t>
      </w:r>
      <w:proofErr w:type="spellStart"/>
      <w:r>
        <w:rPr>
          <w:rFonts w:hint="cs"/>
          <w:rtl/>
        </w:rPr>
        <w:t>קב"ג</w:t>
      </w:r>
      <w:proofErr w:type="spellEnd"/>
      <w:r>
        <w:rPr>
          <w:rFonts w:hint="cs"/>
          <w:rtl/>
        </w:rPr>
        <w:t xml:space="preserve">), של בוגרי החינוך החרדי ביחידות כלל צה"ליות שאינם חלק מן החברה החרדית. בהעדר מדיניות ומבנה ארגוני מותאם לניהול קבוצת גיוס זו נפגע הפרט המשרת ופוטנציאל הגיוס החרדי בצה"ל אינו מגיע לכדי מיצוי. </w:t>
      </w:r>
    </w:p>
    <w:p w:rsidR="00044D5A" w:rsidRDefault="00044D5A">
      <w:pPr>
        <w:bidi w:val="0"/>
        <w:rPr>
          <w:b/>
          <w:bCs/>
          <w:rtl/>
        </w:rPr>
      </w:pPr>
      <w:r>
        <w:rPr>
          <w:b/>
          <w:bCs/>
          <w:rtl/>
        </w:rPr>
        <w:br w:type="page"/>
      </w:r>
    </w:p>
    <w:p w:rsidR="00044D5A" w:rsidRPr="00124B5E" w:rsidRDefault="00044D5A" w:rsidP="00044D5A">
      <w:pPr>
        <w:spacing w:line="480" w:lineRule="auto"/>
        <w:jc w:val="both"/>
        <w:rPr>
          <w:b/>
          <w:bCs/>
          <w:rtl/>
        </w:rPr>
      </w:pPr>
      <w:r w:rsidRPr="00124B5E">
        <w:rPr>
          <w:rFonts w:hint="cs"/>
          <w:b/>
          <w:bCs/>
          <w:rtl/>
        </w:rPr>
        <w:lastRenderedPageBreak/>
        <w:t>המדיניות המוצעת:</w:t>
      </w:r>
    </w:p>
    <w:p w:rsidR="00044D5A" w:rsidRDefault="00044D5A" w:rsidP="00044D5A">
      <w:pPr>
        <w:spacing w:line="480" w:lineRule="auto"/>
        <w:jc w:val="both"/>
        <w:rPr>
          <w:rtl/>
        </w:rPr>
      </w:pPr>
      <w:r>
        <w:rPr>
          <w:rFonts w:hint="cs"/>
          <w:rtl/>
        </w:rPr>
        <w:t xml:space="preserve">קביעת מדיניות כוללת באכ"א המבוססת על קביעת קטגוריה שלישותית של בוגרי החינוך החרדי המשרתים ביחידות כלל צה"ליות ואינם חלק מן החברה החרדית. המדיניות תהיה מכוונת להעניק רשת בטחון למשרת מקבוצה זו ולהביא למימוש פוטנציאל השירות מבחינת הפרט והמערכת. </w:t>
      </w:r>
    </w:p>
    <w:p w:rsidR="00044D5A" w:rsidRDefault="00044D5A" w:rsidP="00044D5A">
      <w:pPr>
        <w:spacing w:line="480" w:lineRule="auto"/>
        <w:jc w:val="both"/>
        <w:rPr>
          <w:rtl/>
        </w:rPr>
      </w:pPr>
      <w:r>
        <w:rPr>
          <w:rFonts w:hint="cs"/>
          <w:rtl/>
        </w:rPr>
        <w:t xml:space="preserve">מימוש הצרכים של קבוצת הגיוס יכסה את  ארבעת שלבי השירות החל בגיוס, דרך השיבוץ, השירות ביחידות, השלמת פערי השכלה ושחרור. המדיניות תתייחס לצרכים של בנים ולתחום המוזנח של שירות בנות בוגרות החינוך החרדי. </w:t>
      </w:r>
    </w:p>
    <w:p w:rsidR="00044D5A" w:rsidRDefault="00044D5A" w:rsidP="00044D5A">
      <w:pPr>
        <w:spacing w:line="480" w:lineRule="auto"/>
        <w:jc w:val="both"/>
        <w:rPr>
          <w:rtl/>
        </w:rPr>
      </w:pPr>
      <w:r>
        <w:rPr>
          <w:rFonts w:hint="cs"/>
          <w:rtl/>
        </w:rPr>
        <w:t xml:space="preserve">מסמך המדיניות כפקודה לשילוב קבוצת הגיוס ילווה במהלך ארגוני של מינוי אחראי לטיפול ושילוב האוכלוסייה במסגרות השונות בצה"ל ומימוש המדיניות הכוללת. הממונה יהיה כפוף </w:t>
      </w:r>
      <w:proofErr w:type="spellStart"/>
      <w:r>
        <w:rPr>
          <w:rFonts w:hint="cs"/>
          <w:rtl/>
        </w:rPr>
        <w:t>לרח"ט</w:t>
      </w:r>
      <w:proofErr w:type="spellEnd"/>
      <w:r>
        <w:rPr>
          <w:rFonts w:hint="cs"/>
          <w:rtl/>
        </w:rPr>
        <w:t xml:space="preserve"> </w:t>
      </w:r>
      <w:proofErr w:type="spellStart"/>
      <w:r>
        <w:rPr>
          <w:rFonts w:hint="cs"/>
          <w:rtl/>
        </w:rPr>
        <w:t>תומכ"א</w:t>
      </w:r>
      <w:proofErr w:type="spellEnd"/>
      <w:r>
        <w:rPr>
          <w:rFonts w:hint="cs"/>
          <w:rtl/>
        </w:rPr>
        <w:t xml:space="preserve"> מתוך הבנה כי יש לרכז ולתאם את המענים ביחידות הרבות בהן משרתת האוכלוסייה ועל מנת להבטיח את הרציפות בטיפול ברמה של מדיניות אכ"א. מהלך זה ייעשה במתכונת הדומה לאוכלוסיות ייחודיות בצבא ובתוכן יוצאי אתיופיה, חיילים דרוזים, בנות דתיות, מגויסי חו"ל וכמובן חרדים המטופלים על ידי מנהלת חרדים.  </w:t>
      </w:r>
    </w:p>
    <w:p w:rsidR="00044D5A" w:rsidRDefault="00044D5A" w:rsidP="00044D5A">
      <w:pPr>
        <w:spacing w:line="480" w:lineRule="auto"/>
        <w:jc w:val="both"/>
        <w:rPr>
          <w:rtl/>
        </w:rPr>
      </w:pPr>
      <w:r>
        <w:rPr>
          <w:rFonts w:hint="cs"/>
          <w:rtl/>
        </w:rPr>
        <w:t xml:space="preserve">מדיניות מותאמת והקמת פונקציה ארגונית יביאו לשירות אפקטיבי יותר של קבוצת אוכלוסייה בצורה המשרתת את יעדי צה"ל והממשלה לגיוס בוגרי החינוך החרדי בתחומי השיבוץ המיטבי והשלמה ההשכלה לקראת ההשתלבות בשוק העבודה בתום השירות. </w:t>
      </w:r>
    </w:p>
    <w:p w:rsidR="00044D5A" w:rsidRDefault="00044D5A" w:rsidP="00044D5A">
      <w:pPr>
        <w:spacing w:line="480" w:lineRule="auto"/>
        <w:jc w:val="both"/>
        <w:rPr>
          <w:rtl/>
        </w:rPr>
      </w:pPr>
      <w:r>
        <w:rPr>
          <w:rFonts w:hint="cs"/>
          <w:rtl/>
        </w:rPr>
        <w:t xml:space="preserve">שירות חרדים, מראשיתו, סימן שילוב עדין בין יעדים של בנין הכוח לבין מטרות הנוגעות להשתלבות בשוק העבודה ובמערכות הציבוריות. המדיניות כלפי קבוצה זו נוכח הפוטנציאל לגיוס והצרכים המיוחדים מסמן הכרח להדגיש את התפקיד של השירות בהכנה לשוק העבודה ואת מתן ההזדמנויות להשלמת פערי השכלה. לפיכך, המדיניות המוצעת כוללת מהלכים במעטפת של רכישת מקצוע והשכלה בדמות מלגות ומענקים כמו גם בהפניה ואבחון לקראת השלמת השכלה ומסלולי לימודים. כך, יהיה הממונה על קבוצה זו </w:t>
      </w:r>
      <w:proofErr w:type="spellStart"/>
      <w:r>
        <w:rPr>
          <w:rFonts w:hint="cs"/>
          <w:rtl/>
        </w:rPr>
        <w:t>בחתומכ"א</w:t>
      </w:r>
      <w:proofErr w:type="spellEnd"/>
      <w:r>
        <w:rPr>
          <w:rFonts w:hint="cs"/>
          <w:rtl/>
        </w:rPr>
        <w:t xml:space="preserve"> אחראי על ייזום תכניות ושיתוף פעולה עם מערכות אזרחיות וממשלתיות בתחומים אלו. </w:t>
      </w:r>
    </w:p>
    <w:p w:rsidR="00044D5A" w:rsidRDefault="00044D5A">
      <w:pPr>
        <w:bidi w:val="0"/>
        <w:rPr>
          <w:b/>
          <w:bCs/>
          <w:rtl/>
        </w:rPr>
      </w:pPr>
      <w:r>
        <w:rPr>
          <w:b/>
          <w:bCs/>
          <w:rtl/>
        </w:rPr>
        <w:br w:type="page"/>
      </w:r>
    </w:p>
    <w:p w:rsidR="00044D5A" w:rsidRPr="00942204" w:rsidRDefault="00044D5A" w:rsidP="00044D5A">
      <w:pPr>
        <w:spacing w:line="480" w:lineRule="auto"/>
        <w:jc w:val="both"/>
        <w:rPr>
          <w:b/>
          <w:bCs/>
          <w:rtl/>
        </w:rPr>
      </w:pPr>
      <w:r w:rsidRPr="00942204">
        <w:rPr>
          <w:rFonts w:hint="cs"/>
          <w:b/>
          <w:bCs/>
          <w:rtl/>
        </w:rPr>
        <w:lastRenderedPageBreak/>
        <w:t>צעדים הבאים:</w:t>
      </w:r>
    </w:p>
    <w:p w:rsidR="00044D5A" w:rsidRDefault="00044D5A" w:rsidP="00044D5A">
      <w:pPr>
        <w:pStyle w:val="a7"/>
        <w:numPr>
          <w:ilvl w:val="0"/>
          <w:numId w:val="1"/>
        </w:numPr>
        <w:spacing w:line="480" w:lineRule="auto"/>
        <w:jc w:val="both"/>
      </w:pPr>
      <w:r>
        <w:rPr>
          <w:rFonts w:hint="cs"/>
          <w:rtl/>
        </w:rPr>
        <w:t>הקמת צוות והקצאת תקציב ראשוני ייעודי למהלך הארגוני וחיבור מדיניות כוללת.</w:t>
      </w:r>
    </w:p>
    <w:p w:rsidR="00044D5A" w:rsidRDefault="00044D5A" w:rsidP="00044D5A">
      <w:pPr>
        <w:pStyle w:val="a7"/>
        <w:numPr>
          <w:ilvl w:val="0"/>
          <w:numId w:val="1"/>
        </w:numPr>
        <w:spacing w:line="480" w:lineRule="auto"/>
        <w:jc w:val="both"/>
      </w:pPr>
      <w:r>
        <w:rPr>
          <w:rFonts w:hint="cs"/>
          <w:rtl/>
        </w:rPr>
        <w:t>הקמת היחידה של הממונה והכנת תקציב לפי מפתח מותאם מתקציב גיוס יוצאי חינוך חרדי 150(</w:t>
      </w:r>
      <w:proofErr w:type="spellStart"/>
      <w:r>
        <w:rPr>
          <w:rFonts w:hint="cs"/>
          <w:rtl/>
        </w:rPr>
        <w:t>מלש"ח</w:t>
      </w:r>
      <w:proofErr w:type="spellEnd"/>
      <w:r>
        <w:rPr>
          <w:rFonts w:hint="cs"/>
          <w:rtl/>
        </w:rPr>
        <w:t xml:space="preserve"> בשנת תקציב). </w:t>
      </w:r>
    </w:p>
    <w:p w:rsidR="00044D5A" w:rsidRDefault="00044D5A" w:rsidP="00044D5A">
      <w:pPr>
        <w:pStyle w:val="a7"/>
        <w:numPr>
          <w:ilvl w:val="0"/>
          <w:numId w:val="1"/>
        </w:numPr>
        <w:spacing w:line="480" w:lineRule="auto"/>
        <w:jc w:val="both"/>
      </w:pPr>
      <w:r>
        <w:rPr>
          <w:rFonts w:hint="cs"/>
          <w:rtl/>
        </w:rPr>
        <w:t xml:space="preserve"> כתיבת תכנית חומש, מיפוי האוכלוסייה, פיתוח דפוסי עבודה עם החיילים ביחידות, תיאום מול יחידות מקבילות בצה"ל, עבודה עם משרדי ממשלה לגיוס ומיצוי זכויות וייזום שותפויות עם החברה האזרחית.</w:t>
      </w:r>
    </w:p>
    <w:p w:rsidR="00044D5A" w:rsidRDefault="00044D5A">
      <w:pPr>
        <w:bidi w:val="0"/>
        <w:rPr>
          <w:b/>
          <w:bCs/>
          <w:rtl/>
        </w:rPr>
      </w:pPr>
      <w:r>
        <w:rPr>
          <w:b/>
          <w:bCs/>
          <w:rtl/>
        </w:rPr>
        <w:br w:type="page"/>
      </w:r>
    </w:p>
    <w:p w:rsidR="00044D5A" w:rsidRDefault="00044D5A" w:rsidP="00044D5A">
      <w:pPr>
        <w:spacing w:line="480" w:lineRule="auto"/>
        <w:jc w:val="both"/>
        <w:rPr>
          <w:b/>
          <w:bCs/>
          <w:rtl/>
        </w:rPr>
      </w:pPr>
    </w:p>
    <w:p w:rsidR="00044D5A" w:rsidRPr="00044D5A" w:rsidRDefault="00044D5A" w:rsidP="00044D5A">
      <w:pPr>
        <w:spacing w:line="480" w:lineRule="auto"/>
        <w:ind w:left="360"/>
        <w:jc w:val="both"/>
        <w:rPr>
          <w:b/>
          <w:bCs/>
          <w:rtl/>
        </w:rPr>
      </w:pPr>
      <w:r w:rsidRPr="00942204">
        <w:rPr>
          <w:rFonts w:hint="cs"/>
          <w:b/>
          <w:bCs/>
          <w:rtl/>
        </w:rPr>
        <w:t>נספח 1</w:t>
      </w:r>
      <w:r>
        <w:rPr>
          <w:rFonts w:hint="cs"/>
          <w:b/>
          <w:bCs/>
          <w:rtl/>
        </w:rPr>
        <w:t xml:space="preserve"> </w:t>
      </w:r>
      <w:r>
        <w:rPr>
          <w:b/>
          <w:bCs/>
          <w:rtl/>
        </w:rPr>
        <w:t>–</w:t>
      </w:r>
      <w:r>
        <w:rPr>
          <w:rFonts w:hint="cs"/>
          <w:b/>
          <w:bCs/>
          <w:rtl/>
        </w:rPr>
        <w:t xml:space="preserve"> תקציב</w:t>
      </w:r>
      <w:r w:rsidRPr="00942204">
        <w:rPr>
          <w:rFonts w:hint="cs"/>
          <w:b/>
          <w:bCs/>
          <w:rtl/>
        </w:rPr>
        <w:t>:</w:t>
      </w:r>
    </w:p>
    <w:tbl>
      <w:tblPr>
        <w:tblStyle w:val="a8"/>
        <w:bidiVisual/>
        <w:tblW w:w="0" w:type="auto"/>
        <w:jc w:val="center"/>
        <w:tblLook w:val="04A0" w:firstRow="1" w:lastRow="0" w:firstColumn="1" w:lastColumn="0" w:noHBand="0" w:noVBand="1"/>
      </w:tblPr>
      <w:tblGrid>
        <w:gridCol w:w="2765"/>
        <w:gridCol w:w="2765"/>
        <w:gridCol w:w="2766"/>
      </w:tblGrid>
      <w:tr w:rsidR="00044D5A" w:rsidRPr="00BC24E4" w:rsidTr="00E8520E">
        <w:trPr>
          <w:jc w:val="center"/>
        </w:trPr>
        <w:tc>
          <w:tcPr>
            <w:tcW w:w="2765" w:type="dxa"/>
            <w:vAlign w:val="center"/>
          </w:tcPr>
          <w:p w:rsidR="00044D5A" w:rsidRPr="00BC24E4" w:rsidRDefault="00044D5A" w:rsidP="00E8520E">
            <w:pPr>
              <w:spacing w:line="276" w:lineRule="auto"/>
              <w:jc w:val="center"/>
              <w:rPr>
                <w:b/>
                <w:bCs/>
                <w:rtl/>
              </w:rPr>
            </w:pPr>
            <w:r w:rsidRPr="00BC24E4">
              <w:rPr>
                <w:rFonts w:hint="cs"/>
                <w:b/>
                <w:bCs/>
                <w:rtl/>
              </w:rPr>
              <w:t>הוצאה פר 100 חיילים</w:t>
            </w:r>
            <w:r>
              <w:rPr>
                <w:rFonts w:hint="cs"/>
                <w:b/>
                <w:bCs/>
                <w:rtl/>
              </w:rPr>
              <w:t xml:space="preserve"> - שנתי</w:t>
            </w:r>
          </w:p>
        </w:tc>
        <w:tc>
          <w:tcPr>
            <w:tcW w:w="2765" w:type="dxa"/>
            <w:vAlign w:val="center"/>
          </w:tcPr>
          <w:p w:rsidR="00044D5A" w:rsidRPr="00BC24E4" w:rsidRDefault="00044D5A" w:rsidP="00E8520E">
            <w:pPr>
              <w:spacing w:line="480" w:lineRule="auto"/>
              <w:jc w:val="center"/>
              <w:rPr>
                <w:b/>
                <w:bCs/>
                <w:rtl/>
              </w:rPr>
            </w:pPr>
            <w:r w:rsidRPr="00BC24E4">
              <w:rPr>
                <w:rFonts w:hint="cs"/>
                <w:b/>
                <w:bCs/>
                <w:rtl/>
              </w:rPr>
              <w:t>סכום</w:t>
            </w:r>
          </w:p>
        </w:tc>
        <w:tc>
          <w:tcPr>
            <w:tcW w:w="2766" w:type="dxa"/>
            <w:vAlign w:val="center"/>
          </w:tcPr>
          <w:p w:rsidR="00044D5A" w:rsidRPr="00BC24E4" w:rsidRDefault="00044D5A" w:rsidP="00E8520E">
            <w:pPr>
              <w:spacing w:line="480" w:lineRule="auto"/>
              <w:jc w:val="center"/>
              <w:rPr>
                <w:b/>
                <w:bCs/>
                <w:rtl/>
              </w:rPr>
            </w:pPr>
            <w:r w:rsidRPr="00BC24E4">
              <w:rPr>
                <w:rFonts w:hint="cs"/>
                <w:b/>
                <w:bCs/>
                <w:rtl/>
              </w:rPr>
              <w:t>מקור תקציבי</w:t>
            </w:r>
          </w:p>
        </w:tc>
      </w:tr>
      <w:tr w:rsidR="00044D5A" w:rsidTr="00E8520E">
        <w:trPr>
          <w:jc w:val="center"/>
        </w:trPr>
        <w:tc>
          <w:tcPr>
            <w:tcW w:w="2765" w:type="dxa"/>
            <w:vAlign w:val="center"/>
          </w:tcPr>
          <w:p w:rsidR="00044D5A" w:rsidRDefault="00044D5A" w:rsidP="00E8520E">
            <w:pPr>
              <w:spacing w:line="480" w:lineRule="auto"/>
              <w:jc w:val="center"/>
              <w:rPr>
                <w:rtl/>
              </w:rPr>
            </w:pPr>
            <w:r>
              <w:rPr>
                <w:rFonts w:hint="cs"/>
                <w:rtl/>
              </w:rPr>
              <w:t>מדור (סרן + 3 חיילים)</w:t>
            </w:r>
          </w:p>
        </w:tc>
        <w:tc>
          <w:tcPr>
            <w:tcW w:w="2765" w:type="dxa"/>
            <w:vAlign w:val="center"/>
          </w:tcPr>
          <w:p w:rsidR="00044D5A" w:rsidRDefault="00044D5A" w:rsidP="00E8520E">
            <w:pPr>
              <w:spacing w:line="480" w:lineRule="auto"/>
              <w:jc w:val="center"/>
              <w:rPr>
                <w:rtl/>
              </w:rPr>
            </w:pPr>
            <w:r>
              <w:rPr>
                <w:rFonts w:hint="cs"/>
                <w:rtl/>
              </w:rPr>
              <w:t>200,000</w:t>
            </w:r>
          </w:p>
        </w:tc>
        <w:tc>
          <w:tcPr>
            <w:tcW w:w="2766" w:type="dxa"/>
            <w:vAlign w:val="center"/>
          </w:tcPr>
          <w:p w:rsidR="00044D5A" w:rsidRDefault="00044D5A" w:rsidP="00E8520E">
            <w:pPr>
              <w:spacing w:line="480" w:lineRule="auto"/>
              <w:jc w:val="center"/>
              <w:rPr>
                <w:rtl/>
              </w:rPr>
            </w:pPr>
            <w:r>
              <w:rPr>
                <w:rFonts w:hint="cs"/>
                <w:rtl/>
              </w:rPr>
              <w:t>תקציב קיים במנהלת חרדים</w:t>
            </w:r>
          </w:p>
        </w:tc>
      </w:tr>
      <w:tr w:rsidR="00044D5A" w:rsidTr="00E8520E">
        <w:trPr>
          <w:jc w:val="center"/>
        </w:trPr>
        <w:tc>
          <w:tcPr>
            <w:tcW w:w="2765" w:type="dxa"/>
            <w:vAlign w:val="center"/>
          </w:tcPr>
          <w:p w:rsidR="00044D5A" w:rsidRDefault="00044D5A" w:rsidP="00E8520E">
            <w:pPr>
              <w:spacing w:line="480" w:lineRule="auto"/>
              <w:jc w:val="center"/>
              <w:rPr>
                <w:rtl/>
              </w:rPr>
            </w:pPr>
            <w:r>
              <w:rPr>
                <w:rFonts w:hint="cs"/>
                <w:rtl/>
              </w:rPr>
              <w:t>הכשרות</w:t>
            </w:r>
          </w:p>
        </w:tc>
        <w:tc>
          <w:tcPr>
            <w:tcW w:w="2765" w:type="dxa"/>
            <w:vAlign w:val="center"/>
          </w:tcPr>
          <w:p w:rsidR="00044D5A" w:rsidRDefault="00044D5A" w:rsidP="00E8520E">
            <w:pPr>
              <w:spacing w:line="480" w:lineRule="auto"/>
              <w:jc w:val="center"/>
              <w:rPr>
                <w:rtl/>
              </w:rPr>
            </w:pPr>
            <w:r>
              <w:rPr>
                <w:rFonts w:hint="cs"/>
                <w:rtl/>
              </w:rPr>
              <w:t>1,000,000</w:t>
            </w:r>
          </w:p>
        </w:tc>
        <w:tc>
          <w:tcPr>
            <w:tcW w:w="2766" w:type="dxa"/>
            <w:vAlign w:val="center"/>
          </w:tcPr>
          <w:p w:rsidR="00044D5A" w:rsidRDefault="00044D5A" w:rsidP="00E8520E">
            <w:pPr>
              <w:spacing w:line="480" w:lineRule="auto"/>
              <w:jc w:val="center"/>
              <w:rPr>
                <w:rtl/>
              </w:rPr>
            </w:pPr>
            <w:r>
              <w:rPr>
                <w:rFonts w:hint="cs"/>
                <w:rtl/>
              </w:rPr>
              <w:t>משרד החינוך\ זרוע העבודה</w:t>
            </w:r>
          </w:p>
        </w:tc>
      </w:tr>
      <w:tr w:rsidR="00044D5A" w:rsidTr="00E8520E">
        <w:trPr>
          <w:jc w:val="center"/>
        </w:trPr>
        <w:tc>
          <w:tcPr>
            <w:tcW w:w="2765" w:type="dxa"/>
            <w:vAlign w:val="center"/>
          </w:tcPr>
          <w:p w:rsidR="00044D5A" w:rsidRDefault="00044D5A" w:rsidP="00E8520E">
            <w:pPr>
              <w:spacing w:line="480" w:lineRule="auto"/>
              <w:jc w:val="center"/>
              <w:rPr>
                <w:rtl/>
              </w:rPr>
            </w:pPr>
            <w:r>
              <w:rPr>
                <w:rFonts w:hint="cs"/>
                <w:rtl/>
              </w:rPr>
              <w:t>כנסי משתחררים</w:t>
            </w:r>
          </w:p>
        </w:tc>
        <w:tc>
          <w:tcPr>
            <w:tcW w:w="2765" w:type="dxa"/>
            <w:vAlign w:val="center"/>
          </w:tcPr>
          <w:p w:rsidR="00044D5A" w:rsidRDefault="00044D5A" w:rsidP="00E8520E">
            <w:pPr>
              <w:spacing w:line="480" w:lineRule="auto"/>
              <w:jc w:val="center"/>
              <w:rPr>
                <w:rtl/>
              </w:rPr>
            </w:pPr>
            <w:r>
              <w:rPr>
                <w:rFonts w:hint="cs"/>
                <w:rtl/>
              </w:rPr>
              <w:t>50,000</w:t>
            </w:r>
          </w:p>
        </w:tc>
        <w:tc>
          <w:tcPr>
            <w:tcW w:w="2766" w:type="dxa"/>
            <w:vAlign w:val="center"/>
          </w:tcPr>
          <w:p w:rsidR="00044D5A" w:rsidRDefault="00044D5A" w:rsidP="00E8520E">
            <w:pPr>
              <w:spacing w:line="480" w:lineRule="auto"/>
              <w:jc w:val="center"/>
              <w:rPr>
                <w:rtl/>
              </w:rPr>
            </w:pPr>
            <w:r>
              <w:rPr>
                <w:rFonts w:hint="cs"/>
                <w:rtl/>
              </w:rPr>
              <w:t>תקציב קיים במנהלת חרדים</w:t>
            </w:r>
          </w:p>
        </w:tc>
      </w:tr>
      <w:tr w:rsidR="00044D5A" w:rsidTr="00E8520E">
        <w:trPr>
          <w:jc w:val="center"/>
        </w:trPr>
        <w:tc>
          <w:tcPr>
            <w:tcW w:w="2765" w:type="dxa"/>
            <w:vAlign w:val="center"/>
          </w:tcPr>
          <w:p w:rsidR="00044D5A" w:rsidRDefault="00044D5A" w:rsidP="00E8520E">
            <w:pPr>
              <w:spacing w:line="480" w:lineRule="auto"/>
              <w:jc w:val="center"/>
              <w:rPr>
                <w:rtl/>
              </w:rPr>
            </w:pPr>
            <w:r>
              <w:rPr>
                <w:rFonts w:hint="cs"/>
                <w:rtl/>
              </w:rPr>
              <w:t>ייעוץ תעסוקתי</w:t>
            </w:r>
          </w:p>
        </w:tc>
        <w:tc>
          <w:tcPr>
            <w:tcW w:w="2765" w:type="dxa"/>
            <w:vAlign w:val="center"/>
          </w:tcPr>
          <w:p w:rsidR="00044D5A" w:rsidRDefault="00044D5A" w:rsidP="00E8520E">
            <w:pPr>
              <w:spacing w:line="480" w:lineRule="auto"/>
              <w:jc w:val="center"/>
              <w:rPr>
                <w:rtl/>
              </w:rPr>
            </w:pPr>
            <w:r>
              <w:rPr>
                <w:rFonts w:hint="cs"/>
                <w:rtl/>
              </w:rPr>
              <w:t>100,000</w:t>
            </w:r>
          </w:p>
        </w:tc>
        <w:tc>
          <w:tcPr>
            <w:tcW w:w="2766" w:type="dxa"/>
            <w:vAlign w:val="center"/>
          </w:tcPr>
          <w:p w:rsidR="00044D5A" w:rsidRDefault="00044D5A" w:rsidP="00E8520E">
            <w:pPr>
              <w:spacing w:line="480" w:lineRule="auto"/>
              <w:jc w:val="center"/>
              <w:rPr>
                <w:rtl/>
              </w:rPr>
            </w:pPr>
            <w:r>
              <w:rPr>
                <w:rFonts w:hint="cs"/>
                <w:rtl/>
              </w:rPr>
              <w:t>תקציב קיים במנהלת חרדים</w:t>
            </w:r>
          </w:p>
        </w:tc>
      </w:tr>
      <w:tr w:rsidR="00044D5A" w:rsidTr="00E8520E">
        <w:trPr>
          <w:jc w:val="center"/>
        </w:trPr>
        <w:tc>
          <w:tcPr>
            <w:tcW w:w="2765" w:type="dxa"/>
            <w:vAlign w:val="center"/>
          </w:tcPr>
          <w:p w:rsidR="00044D5A" w:rsidRDefault="00044D5A" w:rsidP="00E8520E">
            <w:pPr>
              <w:spacing w:line="480" w:lineRule="auto"/>
              <w:jc w:val="center"/>
              <w:rPr>
                <w:rtl/>
              </w:rPr>
            </w:pPr>
            <w:r>
              <w:rPr>
                <w:rFonts w:hint="cs"/>
                <w:rtl/>
              </w:rPr>
              <w:t>ליווי, השמה והכוון</w:t>
            </w:r>
          </w:p>
        </w:tc>
        <w:tc>
          <w:tcPr>
            <w:tcW w:w="2765" w:type="dxa"/>
            <w:vAlign w:val="center"/>
          </w:tcPr>
          <w:p w:rsidR="00044D5A" w:rsidRDefault="00044D5A" w:rsidP="00E8520E">
            <w:pPr>
              <w:spacing w:line="480" w:lineRule="auto"/>
              <w:jc w:val="center"/>
              <w:rPr>
                <w:rtl/>
              </w:rPr>
            </w:pPr>
            <w:r>
              <w:rPr>
                <w:rFonts w:hint="cs"/>
                <w:rtl/>
              </w:rPr>
              <w:t>140,000</w:t>
            </w:r>
          </w:p>
        </w:tc>
        <w:tc>
          <w:tcPr>
            <w:tcW w:w="2766" w:type="dxa"/>
            <w:vAlign w:val="center"/>
          </w:tcPr>
          <w:p w:rsidR="00044D5A" w:rsidRDefault="00044D5A" w:rsidP="00E8520E">
            <w:pPr>
              <w:spacing w:line="480" w:lineRule="auto"/>
              <w:jc w:val="center"/>
              <w:rPr>
                <w:rtl/>
              </w:rPr>
            </w:pPr>
            <w:r>
              <w:rPr>
                <w:rFonts w:hint="cs"/>
                <w:rtl/>
              </w:rPr>
              <w:t xml:space="preserve">זרוע העבודה </w:t>
            </w:r>
            <w:r>
              <w:rPr>
                <w:rtl/>
              </w:rPr>
              <w:t>–</w:t>
            </w:r>
            <w:r>
              <w:rPr>
                <w:rFonts w:hint="cs"/>
                <w:rtl/>
              </w:rPr>
              <w:t xml:space="preserve"> מרכזי כיוון</w:t>
            </w:r>
          </w:p>
        </w:tc>
      </w:tr>
      <w:tr w:rsidR="00044D5A" w:rsidTr="00E8520E">
        <w:trPr>
          <w:jc w:val="center"/>
        </w:trPr>
        <w:tc>
          <w:tcPr>
            <w:tcW w:w="2765" w:type="dxa"/>
            <w:vAlign w:val="center"/>
          </w:tcPr>
          <w:p w:rsidR="00044D5A" w:rsidRDefault="00044D5A" w:rsidP="00E8520E">
            <w:pPr>
              <w:spacing w:line="480" w:lineRule="auto"/>
              <w:jc w:val="center"/>
              <w:rPr>
                <w:rtl/>
              </w:rPr>
            </w:pPr>
            <w:r>
              <w:rPr>
                <w:rFonts w:hint="cs"/>
                <w:rtl/>
              </w:rPr>
              <w:t>מכינה</w:t>
            </w:r>
          </w:p>
        </w:tc>
        <w:tc>
          <w:tcPr>
            <w:tcW w:w="2765" w:type="dxa"/>
            <w:vAlign w:val="center"/>
          </w:tcPr>
          <w:p w:rsidR="00044D5A" w:rsidRDefault="00044D5A" w:rsidP="00E8520E">
            <w:pPr>
              <w:spacing w:line="480" w:lineRule="auto"/>
              <w:jc w:val="center"/>
              <w:rPr>
                <w:rtl/>
              </w:rPr>
            </w:pPr>
            <w:r>
              <w:rPr>
                <w:rFonts w:hint="cs"/>
                <w:rtl/>
              </w:rPr>
              <w:t>1,200,000</w:t>
            </w:r>
          </w:p>
        </w:tc>
        <w:tc>
          <w:tcPr>
            <w:tcW w:w="2766" w:type="dxa"/>
            <w:vAlign w:val="center"/>
          </w:tcPr>
          <w:p w:rsidR="00044D5A" w:rsidRDefault="00044D5A" w:rsidP="00E8520E">
            <w:pPr>
              <w:spacing w:line="276" w:lineRule="auto"/>
              <w:jc w:val="center"/>
              <w:rPr>
                <w:rtl/>
              </w:rPr>
            </w:pPr>
            <w:r>
              <w:rPr>
                <w:rFonts w:hint="cs"/>
                <w:rtl/>
              </w:rPr>
              <w:t xml:space="preserve">תקציב קיים </w:t>
            </w:r>
            <w:proofErr w:type="spellStart"/>
            <w:r>
              <w:rPr>
                <w:rFonts w:hint="cs"/>
                <w:rtl/>
              </w:rPr>
              <w:t>משהב"ט</w:t>
            </w:r>
            <w:proofErr w:type="spellEnd"/>
            <w:r w:rsidR="001F7DBA">
              <w:rPr>
                <w:rFonts w:hint="cs"/>
                <w:rtl/>
              </w:rPr>
              <w:t xml:space="preserve"> (חיימ"ש)</w:t>
            </w:r>
            <w:bookmarkStart w:id="0" w:name="_GoBack"/>
            <w:bookmarkEnd w:id="0"/>
            <w:r>
              <w:rPr>
                <w:rFonts w:hint="cs"/>
                <w:rtl/>
              </w:rPr>
              <w:t xml:space="preserve"> </w:t>
            </w:r>
            <w:r>
              <w:rPr>
                <w:rtl/>
              </w:rPr>
              <w:t>–</w:t>
            </w:r>
            <w:r>
              <w:rPr>
                <w:rFonts w:hint="cs"/>
                <w:rtl/>
              </w:rPr>
              <w:t xml:space="preserve"> משרד החינוך</w:t>
            </w:r>
          </w:p>
        </w:tc>
      </w:tr>
      <w:tr w:rsidR="00044D5A" w:rsidTr="00E8520E">
        <w:trPr>
          <w:jc w:val="center"/>
        </w:trPr>
        <w:tc>
          <w:tcPr>
            <w:tcW w:w="2765" w:type="dxa"/>
            <w:vAlign w:val="center"/>
          </w:tcPr>
          <w:p w:rsidR="00044D5A" w:rsidRDefault="00044D5A" w:rsidP="00E8520E">
            <w:pPr>
              <w:spacing w:line="276" w:lineRule="auto"/>
              <w:jc w:val="center"/>
              <w:rPr>
                <w:rtl/>
              </w:rPr>
            </w:pPr>
            <w:r>
              <w:rPr>
                <w:rFonts w:hint="cs"/>
                <w:rtl/>
              </w:rPr>
              <w:t xml:space="preserve">מלגת קיום\ שיפוי </w:t>
            </w:r>
            <w:proofErr w:type="spellStart"/>
            <w:r>
              <w:rPr>
                <w:rFonts w:hint="cs"/>
                <w:rtl/>
              </w:rPr>
              <w:t>בפקדון</w:t>
            </w:r>
            <w:proofErr w:type="spellEnd"/>
            <w:r>
              <w:rPr>
                <w:rFonts w:hint="cs"/>
                <w:rtl/>
              </w:rPr>
              <w:t xml:space="preserve"> לעידוד לימודים (2000 בחודש לבין 10 ל20 חודשים)</w:t>
            </w:r>
          </w:p>
        </w:tc>
        <w:tc>
          <w:tcPr>
            <w:tcW w:w="2765" w:type="dxa"/>
            <w:vAlign w:val="center"/>
          </w:tcPr>
          <w:p w:rsidR="00044D5A" w:rsidRDefault="00044D5A" w:rsidP="00E8520E">
            <w:pPr>
              <w:spacing w:line="480" w:lineRule="auto"/>
              <w:jc w:val="center"/>
              <w:rPr>
                <w:rtl/>
              </w:rPr>
            </w:pPr>
            <w:r>
              <w:rPr>
                <w:rFonts w:hint="cs"/>
                <w:rtl/>
              </w:rPr>
              <w:t xml:space="preserve">2,000,000 </w:t>
            </w:r>
            <w:r>
              <w:rPr>
                <w:rtl/>
              </w:rPr>
              <w:t>–</w:t>
            </w:r>
            <w:r>
              <w:rPr>
                <w:rFonts w:hint="cs"/>
                <w:rtl/>
              </w:rPr>
              <w:t xml:space="preserve"> 4,000,000</w:t>
            </w:r>
          </w:p>
        </w:tc>
        <w:tc>
          <w:tcPr>
            <w:tcW w:w="2766" w:type="dxa"/>
            <w:vAlign w:val="center"/>
          </w:tcPr>
          <w:p w:rsidR="00044D5A" w:rsidRDefault="00044D5A" w:rsidP="00E8520E">
            <w:pPr>
              <w:spacing w:line="276" w:lineRule="auto"/>
              <w:jc w:val="center"/>
              <w:rPr>
                <w:rtl/>
              </w:rPr>
            </w:pPr>
            <w:r>
              <w:rPr>
                <w:rFonts w:hint="cs"/>
                <w:rtl/>
              </w:rPr>
              <w:t xml:space="preserve">תקציב קיים </w:t>
            </w:r>
            <w:proofErr w:type="spellStart"/>
            <w:r>
              <w:rPr>
                <w:rFonts w:hint="cs"/>
                <w:rtl/>
              </w:rPr>
              <w:t>משהב"ט</w:t>
            </w:r>
            <w:proofErr w:type="spellEnd"/>
            <w:r>
              <w:rPr>
                <w:rFonts w:hint="cs"/>
                <w:rtl/>
              </w:rPr>
              <w:t xml:space="preserve"> (</w:t>
            </w:r>
            <w:proofErr w:type="spellStart"/>
            <w:r>
              <w:rPr>
                <w:rFonts w:hint="cs"/>
                <w:rtl/>
              </w:rPr>
              <w:t>חיימ"ש</w:t>
            </w:r>
            <w:proofErr w:type="spellEnd"/>
            <w:r>
              <w:rPr>
                <w:rFonts w:hint="cs"/>
                <w:rtl/>
              </w:rPr>
              <w:t xml:space="preserve">) </w:t>
            </w:r>
            <w:r>
              <w:rPr>
                <w:rtl/>
              </w:rPr>
              <w:t>–</w:t>
            </w:r>
            <w:r>
              <w:rPr>
                <w:rFonts w:hint="cs"/>
                <w:rtl/>
              </w:rPr>
              <w:t xml:space="preserve"> משרד החינוך</w:t>
            </w:r>
          </w:p>
        </w:tc>
      </w:tr>
      <w:tr w:rsidR="00044D5A" w:rsidTr="00E8520E">
        <w:trPr>
          <w:jc w:val="center"/>
        </w:trPr>
        <w:tc>
          <w:tcPr>
            <w:tcW w:w="2765" w:type="dxa"/>
            <w:vAlign w:val="center"/>
          </w:tcPr>
          <w:p w:rsidR="00044D5A" w:rsidRPr="00043D98" w:rsidRDefault="00044D5A" w:rsidP="00E8520E">
            <w:pPr>
              <w:spacing w:line="276" w:lineRule="auto"/>
              <w:jc w:val="center"/>
              <w:rPr>
                <w:b/>
                <w:bCs/>
                <w:rtl/>
              </w:rPr>
            </w:pPr>
            <w:r w:rsidRPr="00043D98">
              <w:rPr>
                <w:rFonts w:hint="cs"/>
                <w:b/>
                <w:bCs/>
                <w:rtl/>
              </w:rPr>
              <w:t>סה"כ</w:t>
            </w:r>
          </w:p>
        </w:tc>
        <w:tc>
          <w:tcPr>
            <w:tcW w:w="5531" w:type="dxa"/>
            <w:gridSpan w:val="2"/>
            <w:vAlign w:val="center"/>
          </w:tcPr>
          <w:p w:rsidR="00044D5A" w:rsidRPr="00043D98" w:rsidRDefault="00044D5A" w:rsidP="00E8520E">
            <w:pPr>
              <w:spacing w:line="276" w:lineRule="auto"/>
              <w:jc w:val="center"/>
              <w:rPr>
                <w:b/>
                <w:bCs/>
                <w:rtl/>
              </w:rPr>
            </w:pPr>
            <w:r w:rsidRPr="00043D98">
              <w:rPr>
                <w:rFonts w:hint="cs"/>
                <w:b/>
                <w:bCs/>
                <w:rtl/>
              </w:rPr>
              <w:t xml:space="preserve">4,690,000 </w:t>
            </w:r>
            <w:r w:rsidRPr="00043D98">
              <w:rPr>
                <w:b/>
                <w:bCs/>
                <w:rtl/>
              </w:rPr>
              <w:t>–</w:t>
            </w:r>
            <w:r w:rsidRPr="00043D98">
              <w:rPr>
                <w:rFonts w:hint="cs"/>
                <w:b/>
                <w:bCs/>
                <w:rtl/>
              </w:rPr>
              <w:t xml:space="preserve"> 6,690,000</w:t>
            </w:r>
          </w:p>
        </w:tc>
      </w:tr>
    </w:tbl>
    <w:p w:rsidR="00044D5A" w:rsidRDefault="00044D5A" w:rsidP="00044D5A">
      <w:pPr>
        <w:spacing w:line="480" w:lineRule="auto"/>
        <w:jc w:val="both"/>
        <w:rPr>
          <w:rtl/>
        </w:rPr>
      </w:pPr>
    </w:p>
    <w:p w:rsidR="00044D5A" w:rsidRDefault="00044D5A" w:rsidP="00044D5A">
      <w:pPr>
        <w:spacing w:line="480" w:lineRule="auto"/>
        <w:jc w:val="both"/>
        <w:rPr>
          <w:rtl/>
        </w:rPr>
      </w:pPr>
      <w:r>
        <w:rPr>
          <w:rFonts w:hint="cs"/>
          <w:rtl/>
        </w:rPr>
        <w:t xml:space="preserve"> </w:t>
      </w:r>
    </w:p>
    <w:p w:rsidR="00044D5A" w:rsidRDefault="00044D5A" w:rsidP="00044D5A">
      <w:pPr>
        <w:spacing w:line="480" w:lineRule="auto"/>
        <w:jc w:val="both"/>
      </w:pPr>
    </w:p>
    <w:p w:rsidR="003E1670" w:rsidRDefault="003E1670"/>
    <w:sectPr w:rsidR="003E1670" w:rsidSect="00970C5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04F" w:rsidRDefault="00A6204F" w:rsidP="00503DB9">
      <w:pPr>
        <w:spacing w:after="0" w:line="240" w:lineRule="auto"/>
      </w:pPr>
      <w:r>
        <w:separator/>
      </w:r>
    </w:p>
  </w:endnote>
  <w:endnote w:type="continuationSeparator" w:id="0">
    <w:p w:rsidR="00A6204F" w:rsidRDefault="00A6204F" w:rsidP="0050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DB9" w:rsidRDefault="00503D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DB9" w:rsidRDefault="00503D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DB9" w:rsidRDefault="00503D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04F" w:rsidRDefault="00A6204F" w:rsidP="00503DB9">
      <w:pPr>
        <w:spacing w:after="0" w:line="240" w:lineRule="auto"/>
      </w:pPr>
      <w:r>
        <w:separator/>
      </w:r>
    </w:p>
  </w:footnote>
  <w:footnote w:type="continuationSeparator" w:id="0">
    <w:p w:rsidR="00A6204F" w:rsidRDefault="00A6204F" w:rsidP="00503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DB9" w:rsidRDefault="00A6204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304399" o:spid="_x0000_s2053" type="#_x0000_t75" style="position:absolute;left:0;text-align:left;margin-left:0;margin-top:0;width:595.75pt;height:842.7pt;z-index:-251657216;mso-position-horizontal:center;mso-position-horizontal-relative:margin;mso-position-vertical:center;mso-position-vertical-relative:margin" o:allowincell="f">
          <v:imagedata r:id="rId1" o:title="דף לוגו2 (מיתוג חד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DB9" w:rsidRDefault="00A6204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304400" o:spid="_x0000_s2054" type="#_x0000_t75" style="position:absolute;left:0;text-align:left;margin-left:0;margin-top:0;width:595.75pt;height:842.7pt;z-index:-251656192;mso-position-horizontal:center;mso-position-horizontal-relative:margin;mso-position-vertical:center;mso-position-vertical-relative:margin" o:allowincell="f">
          <v:imagedata r:id="rId1" o:title="דף לוגו2 (מיתוג חד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DB9" w:rsidRDefault="00A6204F">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1304398" o:spid="_x0000_s2052" type="#_x0000_t75" style="position:absolute;left:0;text-align:left;margin-left:0;margin-top:0;width:595.75pt;height:842.7pt;z-index:-251658240;mso-position-horizontal:center;mso-position-horizontal-relative:margin;mso-position-vertical:center;mso-position-vertical-relative:margin" o:allowincell="f">
          <v:imagedata r:id="rId1" o:title="דף לוגו2 (מיתוג חד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179F2"/>
    <w:multiLevelType w:val="hybridMultilevel"/>
    <w:tmpl w:val="EB301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DB9"/>
    <w:rsid w:val="00044D5A"/>
    <w:rsid w:val="001F7DBA"/>
    <w:rsid w:val="00260448"/>
    <w:rsid w:val="0035482A"/>
    <w:rsid w:val="003E1670"/>
    <w:rsid w:val="004D2BC2"/>
    <w:rsid w:val="00503DB9"/>
    <w:rsid w:val="00506F83"/>
    <w:rsid w:val="005633FD"/>
    <w:rsid w:val="00970C57"/>
    <w:rsid w:val="00A6204F"/>
    <w:rsid w:val="00F232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552629B"/>
  <w15:chartTrackingRefBased/>
  <w15:docId w15:val="{B94D988E-4434-4472-B39E-8E32780B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4D5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DB9"/>
    <w:pPr>
      <w:tabs>
        <w:tab w:val="center" w:pos="4153"/>
        <w:tab w:val="right" w:pos="8306"/>
      </w:tabs>
      <w:spacing w:after="0" w:line="240" w:lineRule="auto"/>
    </w:pPr>
  </w:style>
  <w:style w:type="character" w:customStyle="1" w:styleId="a4">
    <w:name w:val="כותרת עליונה תו"/>
    <w:basedOn w:val="a0"/>
    <w:link w:val="a3"/>
    <w:uiPriority w:val="99"/>
    <w:rsid w:val="00503DB9"/>
  </w:style>
  <w:style w:type="paragraph" w:styleId="a5">
    <w:name w:val="footer"/>
    <w:basedOn w:val="a"/>
    <w:link w:val="a6"/>
    <w:uiPriority w:val="99"/>
    <w:unhideWhenUsed/>
    <w:rsid w:val="00503DB9"/>
    <w:pPr>
      <w:tabs>
        <w:tab w:val="center" w:pos="4153"/>
        <w:tab w:val="right" w:pos="8306"/>
      </w:tabs>
      <w:spacing w:after="0" w:line="240" w:lineRule="auto"/>
    </w:pPr>
  </w:style>
  <w:style w:type="character" w:customStyle="1" w:styleId="a6">
    <w:name w:val="כותרת תחתונה תו"/>
    <w:basedOn w:val="a0"/>
    <w:link w:val="a5"/>
    <w:uiPriority w:val="99"/>
    <w:rsid w:val="00503DB9"/>
  </w:style>
  <w:style w:type="paragraph" w:styleId="a7">
    <w:name w:val="List Paragraph"/>
    <w:basedOn w:val="a"/>
    <w:uiPriority w:val="34"/>
    <w:qFormat/>
    <w:rsid w:val="00044D5A"/>
    <w:pPr>
      <w:ind w:left="720"/>
      <w:contextualSpacing/>
    </w:pPr>
  </w:style>
  <w:style w:type="table" w:styleId="a8">
    <w:name w:val="Table Grid"/>
    <w:basedOn w:val="a1"/>
    <w:uiPriority w:val="39"/>
    <w:rsid w:val="00044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707</Words>
  <Characters>3535</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Snir Abuksis - Bluran</dc:creator>
  <cp:keywords/>
  <dc:description/>
  <cp:lastModifiedBy>User</cp:lastModifiedBy>
  <cp:revision>5</cp:revision>
  <dcterms:created xsi:type="dcterms:W3CDTF">2019-03-04T08:22:00Z</dcterms:created>
  <dcterms:modified xsi:type="dcterms:W3CDTF">2019-03-04T08:33:00Z</dcterms:modified>
</cp:coreProperties>
</file>